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291465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3" w:lineRule="exact"/>
        <w:rPr>
          <w:sz w:val="24"/>
          <w:szCs w:val="24"/>
          <w:color w:val="auto"/>
        </w:rPr>
      </w:pPr>
    </w:p>
    <w:p>
      <w:pPr>
        <w:ind w:left="660" w:hanging="34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720" w:right="340" w:hanging="2399"/>
        <w:spacing w:after="0" w:line="352" w:lineRule="auto"/>
        <w:tabs>
          <w:tab w:leader="none" w:pos="65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 to__________</w:t>
      </w: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2443480</wp:posOffset>
            </wp:positionH>
            <wp:positionV relativeFrom="paragraph">
              <wp:posOffset>69215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HELIX ENERGY SOLUTIONS GROUP,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2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Minnesota</w:t>
            </w:r>
          </w:p>
        </w:tc>
        <w:tc>
          <w:tcPr>
            <w:tcW w:w="3440" w:type="dxa"/>
            <w:vAlign w:val="bottom"/>
          </w:tcPr>
          <w:p>
            <w:pPr>
              <w:jc w:val="right"/>
              <w:ind w:right="739"/>
              <w:spacing w:after="0"/>
              <w:rPr>
                <w:sz w:val="20"/>
                <w:szCs w:val="20"/>
                <w:color w:val="auto"/>
              </w:rPr>
            </w:pPr>
            <w:r>
              <w:rPr>
                <w:rFonts w:ascii="Arial" w:cs="Arial" w:eastAsia="Arial" w:hAnsi="Arial"/>
                <w:sz w:val="16"/>
                <w:szCs w:val="16"/>
                <w:b w:val="1"/>
                <w:bCs w:val="1"/>
                <w:color w:val="auto"/>
              </w:rPr>
              <w:t>95-3409686</w:t>
            </w:r>
          </w:p>
        </w:tc>
      </w:tr>
      <w:tr>
        <w:trPr>
          <w:trHeight w:val="275"/>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(I.R.S. Employer Identification No.)</w:t>
            </w:r>
          </w:p>
        </w:tc>
      </w:tr>
      <w:tr>
        <w:trPr>
          <w:trHeight w:val="292"/>
        </w:trPr>
        <w:tc>
          <w:tcPr>
            <w:tcW w:w="5120" w:type="dxa"/>
            <w:vAlign w:val="bottom"/>
          </w:tcPr>
          <w:p>
            <w:pPr>
              <w:jc w:val="center"/>
              <w:ind w:right="859"/>
              <w:spacing w:after="0"/>
              <w:rPr>
                <w:sz w:val="20"/>
                <w:szCs w:val="20"/>
                <w:color w:val="auto"/>
              </w:rPr>
            </w:pPr>
            <w:r>
              <w:rPr>
                <w:rFonts w:ascii="Arial" w:cs="Arial" w:eastAsia="Arial" w:hAnsi="Arial"/>
                <w:sz w:val="16"/>
                <w:szCs w:val="16"/>
                <w:b w:val="1"/>
                <w:bCs w:val="1"/>
                <w:color w:val="auto"/>
              </w:rPr>
              <w:t>3505 West Sam Houston Parkway North</w:t>
            </w:r>
          </w:p>
        </w:tc>
        <w:tc>
          <w:tcPr>
            <w:tcW w:w="3440" w:type="dxa"/>
            <w:vAlign w:val="bottom"/>
          </w:tcPr>
          <w:p>
            <w:pPr>
              <w:spacing w:after="0"/>
              <w:rPr>
                <w:sz w:val="24"/>
                <w:szCs w:val="24"/>
                <w:color w:val="auto"/>
              </w:rPr>
            </w:pP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Suite 400</w:t>
            </w:r>
          </w:p>
        </w:tc>
        <w:tc>
          <w:tcPr>
            <w:tcW w:w="3440" w:type="dxa"/>
            <w:vAlign w:val="bottom"/>
          </w:tcPr>
          <w:p>
            <w:pPr>
              <w:spacing w:after="0"/>
              <w:rPr>
                <w:sz w:val="24"/>
                <w:szCs w:val="24"/>
                <w:color w:val="auto"/>
              </w:rPr>
            </w:pPr>
          </w:p>
        </w:tc>
      </w:tr>
      <w:tr>
        <w:trPr>
          <w:trHeight w:val="284"/>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Houston Texas</w:t>
            </w:r>
          </w:p>
        </w:tc>
        <w:tc>
          <w:tcPr>
            <w:tcW w:w="3440" w:type="dxa"/>
            <w:vAlign w:val="bottom"/>
          </w:tcPr>
          <w:p>
            <w:pPr>
              <w:jc w:val="right"/>
              <w:ind w:right="939"/>
              <w:spacing w:after="0"/>
              <w:rPr>
                <w:sz w:val="20"/>
                <w:szCs w:val="20"/>
                <w:color w:val="auto"/>
              </w:rPr>
            </w:pPr>
            <w:r>
              <w:rPr>
                <w:rFonts w:ascii="Arial" w:cs="Arial" w:eastAsia="Arial" w:hAnsi="Arial"/>
                <w:sz w:val="16"/>
                <w:szCs w:val="16"/>
                <w:b w:val="1"/>
                <w:bCs w:val="1"/>
                <w:color w:val="auto"/>
              </w:rPr>
              <w:t>77043</w:t>
            </w:r>
          </w:p>
        </w:tc>
      </w:tr>
      <w:tr>
        <w:trPr>
          <w:trHeight w:val="275"/>
        </w:trPr>
        <w:tc>
          <w:tcPr>
            <w:tcW w:w="5120" w:type="dxa"/>
            <w:vAlign w:val="bottom"/>
          </w:tcPr>
          <w:p>
            <w:pPr>
              <w:jc w:val="center"/>
              <w:ind w:right="839"/>
              <w:spacing w:after="0"/>
              <w:rPr>
                <w:sz w:val="20"/>
                <w:szCs w:val="20"/>
                <w:color w:val="auto"/>
              </w:rPr>
            </w:pPr>
            <w:r>
              <w:rPr>
                <w:rFonts w:ascii="Arial" w:cs="Arial" w:eastAsia="Arial" w:hAnsi="Arial"/>
                <w:sz w:val="16"/>
                <w:szCs w:val="16"/>
                <w:i w:val="1"/>
                <w:iCs w:val="1"/>
                <w:color w:val="auto"/>
              </w:rPr>
              <w:t>(Address of principal executive offices)</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(Zip Code)</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618–0400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2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2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Common Stock, no par value</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rPr>
              <w:t>HLX</w:t>
            </w:r>
          </w:p>
        </w:tc>
        <w:tc>
          <w:tcPr>
            <w:tcW w:w="180" w:type="dxa"/>
            <w:vAlign w:val="bottom"/>
            <w:vMerge w:val="continue"/>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jc w:val="both"/>
        <w:ind w:right="2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7"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28"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2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49" w:lineRule="exact"/>
        <w:rPr>
          <w:sz w:val="24"/>
          <w:szCs w:val="24"/>
          <w:color w:val="auto"/>
        </w:rPr>
      </w:pPr>
    </w:p>
    <w:p>
      <w:pPr>
        <w:sectPr>
          <w:pgSz w:w="11900" w:h="16838" w:orient="portrait"/>
          <w:cols w:equalWidth="0" w:num="5">
            <w:col w:w="1920" w:space="340"/>
            <w:col w:w="1360" w:space="380"/>
            <w:col w:w="1680" w:space="460"/>
            <w:col w:w="1240" w:space="500"/>
            <w:col w:w="2340"/>
          </w:cols>
          <w:pgMar w:left="840" w:top="661" w:right="839" w:bottom="1440" w:gutter="0" w:footer="0" w:header="0"/>
          <w:type w:val="continuous"/>
        </w:sectPr>
      </w:pPr>
    </w:p>
    <w:p>
      <w:pPr>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9" w:lineRule="exact"/>
        <w:rPr>
          <w:sz w:val="24"/>
          <w:szCs w:val="24"/>
          <w:color w:val="auto"/>
        </w:rPr>
      </w:pPr>
    </w:p>
    <w:p>
      <w:pPr>
        <w:ind w:left="2680"/>
        <w:spacing w:after="0"/>
        <w:rPr>
          <w:sz w:val="20"/>
          <w:szCs w:val="20"/>
          <w:color w:val="auto"/>
        </w:rPr>
      </w:pPr>
      <w:r>
        <w:rPr>
          <w:rFonts w:ascii="Arial" w:cs="Arial" w:eastAsia="Arial" w:hAnsi="Arial"/>
          <w:sz w:val="16"/>
          <w:szCs w:val="16"/>
          <w:color w:val="auto"/>
        </w:rPr>
        <w:t>As of July 21, 2025, 146,985,573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72390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114935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gridSpan w:val="11"/>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6"/>
              </w:rPr>
              <w:t>PART I.</w:t>
            </w:r>
          </w:p>
        </w:tc>
        <w:tc>
          <w:tcPr>
            <w:tcW w:w="600" w:type="dxa"/>
            <w:vAlign w:val="bottom"/>
            <w:gridSpan w:val="3"/>
          </w:tcPr>
          <w:p>
            <w:pPr>
              <w:spacing w:after="0"/>
              <w:rPr>
                <w:sz w:val="24"/>
                <w:szCs w:val="24"/>
                <w:color w:val="auto"/>
              </w:rPr>
            </w:pPr>
          </w:p>
        </w:tc>
        <w:tc>
          <w:tcPr>
            <w:tcW w:w="22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5400" w:type="dxa"/>
            <w:vAlign w:val="bottom"/>
            <w:gridSpan w:val="1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Financial Statements: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80" w:type="dxa"/>
            <w:vAlign w:val="bottom"/>
            <w:gridSpan w:val="25"/>
          </w:tcPr>
          <w:p>
            <w:pPr>
              <w:spacing w:after="0" w:line="182" w:lineRule="exact"/>
              <w:rPr>
                <w:sz w:val="20"/>
                <w:szCs w:val="20"/>
                <w:color w:val="auto"/>
              </w:rPr>
            </w:pPr>
            <w:r>
              <w:rPr>
                <w:rFonts w:ascii="Arial" w:cs="Arial" w:eastAsia="Arial" w:hAnsi="Arial"/>
                <w:sz w:val="18"/>
                <w:szCs w:val="18"/>
                <w:color w:val="0000EE"/>
              </w:rPr>
              <w:t>Condensed Consolidated Balance Sheets – June 30, 2025 (Unaudited) and December 31, 2024</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40" w:type="dxa"/>
            <w:vAlign w:val="bottom"/>
            <w:tcBorders>
              <w:top w:val="single" w:sz="8" w:color="0000EE"/>
            </w:tcBorders>
            <w:gridSpan w:val="24"/>
          </w:tcPr>
          <w:p>
            <w:pPr>
              <w:spacing w:after="0"/>
              <w:rPr>
                <w:sz w:val="20"/>
                <w:szCs w:val="20"/>
                <w:color w:val="auto"/>
              </w:rPr>
            </w:pPr>
            <w:r>
              <w:rPr>
                <w:rFonts w:ascii="Arial" w:cs="Arial" w:eastAsia="Arial" w:hAnsi="Arial"/>
                <w:sz w:val="18"/>
                <w:szCs w:val="18"/>
                <w:color w:val="0000EE"/>
              </w:rPr>
              <w:t>Condensed Consolidated Statements of Operations (Unaudited) – Three and six months ended</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June 30, 2025 and 2024</w:t>
            </w:r>
          </w:p>
        </w:tc>
        <w:tc>
          <w:tcPr>
            <w:tcW w:w="5620" w:type="dxa"/>
            <w:vAlign w:val="bottom"/>
            <w:tcBorders>
              <w:top w:val="single" w:sz="8" w:color="0000EE"/>
            </w:tcBorders>
            <w:gridSpan w:val="12"/>
          </w:tcPr>
          <w:p>
            <w:pPr>
              <w:spacing w:after="0"/>
              <w:rPr>
                <w:sz w:val="15"/>
                <w:szCs w:val="15"/>
                <w:color w:val="auto"/>
              </w:rPr>
            </w:pPr>
          </w:p>
        </w:tc>
        <w:tc>
          <w:tcPr>
            <w:tcW w:w="10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Condensed Consolidated Statements of Comprehensive Income (Loss) (Unaudited) – Three and</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Borders>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six months ended June 30, 2025 and 2024</w:t>
            </w:r>
          </w:p>
        </w:tc>
        <w:tc>
          <w:tcPr>
            <w:tcW w:w="4280" w:type="dxa"/>
            <w:vAlign w:val="bottom"/>
            <w:gridSpan w:val="9"/>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Condensed Consolidated Statements of Shareholders’ Equity (Unaudited) – Three and six</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16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months ended June 30, 2025 and 2024</w:t>
            </w:r>
          </w:p>
        </w:tc>
        <w:tc>
          <w:tcPr>
            <w:tcW w:w="38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Condensed Consolidated Statements of Cash Flows (Unaudited) – Six months ended June 30,</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2025 and 2024</w:t>
            </w:r>
          </w:p>
        </w:tc>
        <w:tc>
          <w:tcPr>
            <w:tcW w:w="6340" w:type="dxa"/>
            <w:vAlign w:val="bottom"/>
            <w:tcBorders>
              <w:top w:val="single" w:sz="8" w:color="0000EE"/>
            </w:tcBorders>
            <w:gridSpan w:val="17"/>
          </w:tcPr>
          <w:p>
            <w:pPr>
              <w:spacing w:after="0"/>
              <w:rPr>
                <w:sz w:val="15"/>
                <w:szCs w:val="15"/>
                <w:color w:val="auto"/>
              </w:rPr>
            </w:pPr>
          </w:p>
        </w:tc>
        <w:tc>
          <w:tcPr>
            <w:tcW w:w="14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Notes to Condensed Consolidated Financial Statements (Unaudited)</w:t>
            </w:r>
          </w:p>
        </w:tc>
        <w:tc>
          <w:tcPr>
            <w:tcW w:w="222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0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60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470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Controls and Procedures</w:t>
            </w:r>
          </w:p>
        </w:tc>
        <w:tc>
          <w:tcPr>
            <w:tcW w:w="298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540" w:type="dxa"/>
            <w:vAlign w:val="bottom"/>
          </w:tcPr>
          <w:p>
            <w:pPr>
              <w:spacing w:after="0"/>
              <w:rPr>
                <w:sz w:val="24"/>
                <w:szCs w:val="24"/>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8"/>
              </w:rPr>
              <w:t>OTHER INFORMATION</w:t>
            </w:r>
          </w:p>
        </w:tc>
        <w:tc>
          <w:tcPr>
            <w:tcW w:w="5740" w:type="dxa"/>
            <w:vAlign w:val="bottom"/>
            <w:gridSpan w:val="1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Legal Proceedings</w:t>
            </w: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1A.</w:t>
            </w:r>
          </w:p>
        </w:tc>
        <w:tc>
          <w:tcPr>
            <w:tcW w:w="560" w:type="dxa"/>
            <w:vAlign w:val="bottom"/>
            <w:gridSpan w:val="2"/>
          </w:tcPr>
          <w:p>
            <w:pPr>
              <w:spacing w:after="0"/>
              <w:rPr>
                <w:sz w:val="24"/>
                <w:szCs w:val="24"/>
                <w:color w:val="auto"/>
              </w:rPr>
            </w:pPr>
          </w:p>
        </w:tc>
        <w:tc>
          <w:tcPr>
            <w:tcW w:w="10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6680" w:type="dxa"/>
            <w:vAlign w:val="bottom"/>
            <w:gridSpan w:val="21"/>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8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Defaults Upon Senior Securities</w:t>
            </w:r>
          </w:p>
        </w:tc>
        <w:tc>
          <w:tcPr>
            <w:tcW w:w="2840" w:type="dxa"/>
            <w:vAlign w:val="bottom"/>
            <w:gridSpan w:val="7"/>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25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Mine Safety Disclosures</w:t>
            </w:r>
          </w:p>
        </w:tc>
        <w:tc>
          <w:tcPr>
            <w:tcW w:w="5140" w:type="dxa"/>
            <w:vAlign w:val="bottom"/>
            <w:gridSpan w:val="11"/>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24"/>
                <w:szCs w:val="24"/>
                <w:color w:val="auto"/>
              </w:rPr>
            </w:pPr>
          </w:p>
        </w:tc>
        <w:tc>
          <w:tcPr>
            <w:tcW w:w="5760" w:type="dxa"/>
            <w:vAlign w:val="bottom"/>
            <w:gridSpan w:val="1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680" w:type="dxa"/>
            <w:vAlign w:val="bottom"/>
            <w:gridSpan w:val="4"/>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Exhibits</w:t>
            </w: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20" w:type="dxa"/>
            <w:vAlign w:val="bottom"/>
            <w:gridSpan w:val="2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Signatures</w:t>
            </w:r>
          </w:p>
        </w:tc>
        <w:tc>
          <w:tcPr>
            <w:tcW w:w="6820" w:type="dxa"/>
            <w:vAlign w:val="bottom"/>
            <w:gridSpan w:val="2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HELIX ENERGY SOLUTIONS GROUP, INC. AND SUBSIDIARIES CONDENSED CONSOLIDATED BALANCE SHEETS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7"/>
                <w:szCs w:val="17"/>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r>
      <w:tr>
        <w:trPr>
          <w:trHeight w:val="196"/>
        </w:trPr>
        <w:tc>
          <w:tcPr>
            <w:tcW w:w="6700" w:type="dxa"/>
            <w:vAlign w:val="bottom"/>
            <w:shd w:val="clear" w:color="auto" w:fill="CCEEFF"/>
          </w:tcPr>
          <w:p>
            <w:pPr>
              <w:ind w:left="296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319,743</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368,030</w:t>
            </w:r>
          </w:p>
        </w:tc>
      </w:tr>
      <w:tr>
        <w:trPr>
          <w:trHeight w:val="184"/>
        </w:trPr>
        <w:tc>
          <w:tcPr>
            <w:tcW w:w="6700" w:type="dxa"/>
            <w:vAlign w:val="bottom"/>
          </w:tcPr>
          <w:p>
            <w:pPr>
              <w:ind w:left="120"/>
              <w:spacing w:after="0" w:line="183" w:lineRule="exact"/>
              <w:rPr>
                <w:sz w:val="20"/>
                <w:szCs w:val="20"/>
                <w:color w:val="auto"/>
              </w:rPr>
            </w:pPr>
            <w:r>
              <w:rPr>
                <w:rFonts w:ascii="Arial" w:cs="Arial" w:eastAsia="Arial" w:hAnsi="Arial"/>
                <w:sz w:val="18"/>
                <w:szCs w:val="18"/>
                <w:color w:val="auto"/>
              </w:rPr>
              <w:t>Accounts receivable, net of allowance for credit losses of $3,795 and $3,682,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1"/>
        </w:trPr>
        <w:tc>
          <w:tcPr>
            <w:tcW w:w="670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327,921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258,630</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112,735</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83,022</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760,399</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709,682</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3,199,321</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3,068,755</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(1,745,033)</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(1,630,902)</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1,454,288</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1,437,853</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314,263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329,649</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recertification and dry dock costs, net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97,576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71,718</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46,035</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48,178</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2,672,561</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2,597,080</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6700" w:type="dxa"/>
            <w:vAlign w:val="bottom"/>
            <w:shd w:val="clear" w:color="auto" w:fill="CCEEFF"/>
          </w:tcPr>
          <w:p>
            <w:pPr>
              <w:ind w:left="142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172,255</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144,793</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104,772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90,455</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9,412</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r>
      <w:tr>
        <w:trPr>
          <w:trHeight w:val="202"/>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Current operating lease liabilities</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61,525</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59,982</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347,964</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304,416</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302,200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305,971</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270,119</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285,984</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114,734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113,973</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68,768</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66,971</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1,103,785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1,077,315</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4"/>
        </w:trPr>
        <w:tc>
          <w:tcPr>
            <w:tcW w:w="67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Common stock, no par, 240,000 shares authorized, 146,986 and 150,243 shares</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1"/>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1,219,477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1,252,253</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368,561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368,087</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(19,262)</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(100,575)</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1,568,776</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1,519,765</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2,672,561</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2,597,080</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60" w:type="dxa"/>
            <w:vAlign w:val="bottom"/>
            <w:gridSpan w:val="9"/>
          </w:tcPr>
          <w:p>
            <w:pPr>
              <w:jc w:val="center"/>
              <w:ind w:left="71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560" w:type="dxa"/>
            <w:vAlign w:val="bottom"/>
            <w:gridSpan w:val="9"/>
          </w:tcPr>
          <w:p>
            <w:pPr>
              <w:jc w:val="center"/>
              <w:ind w:left="71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60" w:type="dxa"/>
            <w:vAlign w:val="bottom"/>
            <w:gridSpan w:val="3"/>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(UNAUDITED)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120" w:type="dxa"/>
            <w:vAlign w:val="bottom"/>
            <w:gridSpan w:val="7"/>
          </w:tcPr>
          <w:p>
            <w:pPr>
              <w:jc w:val="center"/>
              <w:ind w:left="115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302,288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364,797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580,352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661,008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10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287,340</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289,311</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537,866</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565,968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14,948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75,486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42,486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Loss on disposition of assets, net</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(18,100)</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(22,293)</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(37,466)</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(42,973)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tcPr>
          <w:p>
            <w:pPr>
              <w:spacing w:after="0" w:line="196" w:lineRule="exact"/>
              <w:rPr>
                <w:sz w:val="20"/>
                <w:szCs w:val="20"/>
                <w:color w:val="auto"/>
              </w:rPr>
            </w:pPr>
            <w:r>
              <w:rPr>
                <w:rFonts w:ascii="Arial" w:cs="Arial" w:eastAsia="Arial" w:hAnsi="Arial"/>
                <w:sz w:val="18"/>
                <w:szCs w:val="18"/>
                <w:color w:val="auto"/>
              </w:rPr>
              <w:t>Income (loss) from operations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(3,152)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53,193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5,020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51,917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(11,581)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10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1,411</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(8,595)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47,014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(5,070)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Income tax provision (benefit)</w:t>
            </w:r>
          </w:p>
        </w:tc>
        <w:tc>
          <w:tcPr>
            <w:tcW w:w="10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(5,997)</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14,725</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(5,544)</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(2,598)</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32,289</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(loss) per share of common stock:</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c>
          <w:tcPr>
            <w:tcW w:w="4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Borders>
              <w:top w:val="single" w:sz="8" w:color="CCEEFF"/>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0.21</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0.00</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10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148,515</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152,234</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149,770</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152,301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Borders>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10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148,515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155,024</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150,539</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155,072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ind w:left="438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32,289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6,002</w:t>
            </w:r>
          </w:p>
        </w:tc>
      </w:tr>
      <w:tr>
        <w:trPr>
          <w:trHeight w:val="184"/>
        </w:trPr>
        <w:tc>
          <w:tcPr>
            <w:tcW w:w="5120" w:type="dxa"/>
            <w:vAlign w:val="bottom"/>
          </w:tcPr>
          <w:p>
            <w:pPr>
              <w:spacing w:after="0" w:line="183" w:lineRule="exact"/>
              <w:rPr>
                <w:sz w:val="20"/>
                <w:szCs w:val="20"/>
                <w:color w:val="auto"/>
              </w:rPr>
            </w:pPr>
            <w:r>
              <w:rPr>
                <w:rFonts w:ascii="Arial" w:cs="Arial" w:eastAsia="Arial" w:hAnsi="Arial"/>
                <w:sz w:val="18"/>
                <w:szCs w:val="18"/>
                <w:color w:val="auto"/>
              </w:rPr>
              <w:t>Other comprehensive income (loss) - foreign currency</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translation gain (loss), net of tax</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54,128</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81,313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r>
      <w:tr>
        <w:trPr>
          <w:trHeight w:val="196"/>
        </w:trPr>
        <w:tc>
          <w:tcPr>
            <w:tcW w:w="5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51,530</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32,555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81,787</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(415)</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200" w:type="dxa"/>
            <w:vAlign w:val="bottom"/>
            <w:gridSpan w:val="9"/>
          </w:tcPr>
          <w:p>
            <w:pPr>
              <w:jc w:val="center"/>
              <w:ind w:left="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0" w:type="dxa"/>
            <w:vAlign w:val="bottom"/>
            <w:gridSpan w:val="9"/>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40" w:type="dxa"/>
            <w:vAlign w:val="bottom"/>
            <w:gridSpan w:val="3"/>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0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(in thousands)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March 31, 2025</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151,530</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$ 1,247,496</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$ 371,159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(73,390)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1,545,265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54,128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(4,643)</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(30,183)</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(30,183)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1,521</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2025</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146,986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$ 1,219,477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$ 368,561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(19,262)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1,568,776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March 31, 2024</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152,450</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$ 1,270,357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$ 286,163</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(89,698)</w:t>
            </w:r>
          </w:p>
        </w:tc>
        <w:tc>
          <w:tcPr>
            <w:tcW w:w="4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1,466,822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32,289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(5,186)</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1,828</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2024</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152,051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$ 1,267,768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$ 318,452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(89,432)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1,496,788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December 31, 2024</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150,243</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$ 1,252,253</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$ 368,087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(100,575)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1,519,765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81,313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(4,643)</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(30,183)</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(30,183)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3,043</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2025</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146,986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$ 1,219,477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$ 368,561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(19,262)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1,568,776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2023</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152,291</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$ 1,271,565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$ 312,450</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(83,015)</w:t>
            </w:r>
          </w:p>
        </w:tc>
        <w:tc>
          <w:tcPr>
            <w:tcW w:w="4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Settlement of convertible debt conversion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(10,218)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Termination of capped calls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4,381</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3,426</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2024</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152,051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$ 1,267,768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$ 318,452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(89,432)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1,496,788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735"/>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7"/>
                <w:szCs w:val="17"/>
                <w:b w:val="1"/>
                <w:bCs w:val="1"/>
                <w:color w:val="auto"/>
              </w:rPr>
              <w:t>2025</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line="183" w:lineRule="exact"/>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Net income</w:t>
            </w:r>
          </w:p>
        </w:tc>
        <w:tc>
          <w:tcPr>
            <w:tcW w:w="5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474</w:t>
            </w:r>
          </w:p>
        </w:tc>
        <w:tc>
          <w:tcPr>
            <w:tcW w:w="620" w:type="dxa"/>
            <w:vAlign w:val="bottom"/>
            <w:gridSpan w:val="2"/>
          </w:tcPr>
          <w:p>
            <w:pPr>
              <w:jc w:val="right"/>
              <w:ind w:right="20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6,002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00" w:type="dxa"/>
            <w:vAlign w:val="bottom"/>
          </w:tcPr>
          <w:p>
            <w:pPr>
              <w:ind w:left="200"/>
              <w:spacing w:after="0" w:line="167" w:lineRule="exact"/>
              <w:rPr>
                <w:sz w:val="20"/>
                <w:szCs w:val="20"/>
                <w:color w:val="auto"/>
              </w:rPr>
            </w:pPr>
            <w:r>
              <w:rPr>
                <w:rFonts w:ascii="Arial" w:cs="Arial" w:eastAsia="Arial" w:hAnsi="Arial"/>
                <w:sz w:val="17"/>
                <w:szCs w:val="17"/>
                <w:color w:val="auto"/>
              </w:rPr>
              <w:t>Depreciation and amortization, excluding amortization of deferred recertification</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7"/>
                <w:szCs w:val="17"/>
                <w:color w:val="auto"/>
              </w:rPr>
              <w:t>and dry dock costs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67,198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71,896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deferred recertification and dry dock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20,673</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17,928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Deferred recertification and dry dock costs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(33,931)</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(20,330)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Payment of earnout consideration</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(58,300)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Amortization of debt discount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117</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debt issuance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1,015</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Share-based compensation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3,306</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3,689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931</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9,613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Loss on disposition of assets, net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Losses related to convertible senior notes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20,922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Unrealized foreign currency (gain) loss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(1,333)</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2,114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(62,426)</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(5,621)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Other current assets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(143)</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Income tax receivable, net of income tax payable</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(26,729)</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payable and accrued liabilities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26,618</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(16,850)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320"/>
              <w:spacing w:after="0" w:line="189" w:lineRule="exact"/>
              <w:rPr>
                <w:sz w:val="20"/>
                <w:szCs w:val="20"/>
                <w:color w:val="auto"/>
              </w:rPr>
            </w:pPr>
            <w:r>
              <w:rPr>
                <w:rFonts w:ascii="Arial" w:cs="Arial" w:eastAsia="Arial" w:hAnsi="Arial"/>
                <w:sz w:val="17"/>
                <w:szCs w:val="17"/>
                <w:color w:val="auto"/>
              </w:rPr>
              <w:t>Other, net</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3,539</w:t>
            </w: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provided by (used in) operating activities</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(691)</w:t>
            </w:r>
          </w:p>
        </w:tc>
        <w:tc>
          <w:tcPr>
            <w:tcW w:w="2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52,320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Capital expenditures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(8,958)</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(7,594)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insurance recoveries</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tcBorders>
              <w:bottom w:val="single" w:sz="8" w:color="CCEEFF"/>
            </w:tcBorders>
          </w:tcPr>
          <w:p>
            <w:pPr>
              <w:ind w:left="420"/>
              <w:spacing w:after="0" w:line="183" w:lineRule="exact"/>
              <w:rPr>
                <w:sz w:val="20"/>
                <w:szCs w:val="20"/>
                <w:color w:val="auto"/>
              </w:rPr>
            </w:pPr>
            <w:r>
              <w:rPr>
                <w:rFonts w:ascii="Arial" w:cs="Arial" w:eastAsia="Arial" w:hAnsi="Arial"/>
                <w:sz w:val="17"/>
                <w:szCs w:val="17"/>
                <w:color w:val="auto"/>
              </w:rPr>
              <w:t>Net cash used in investing activities</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(8,958)</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(7,231)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Payments related to convertible senior notes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(60,720)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Repayment of MARAD Debt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(4,537)</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(4,322)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settlement of capped calls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Debt issuance costs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Repurchases of common stock</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(30,214)</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Payments related to tax withholding for share-based compensation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(7,266)</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(4,003)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issuance of ESPP shares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1,237</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Payment of earnout consideration</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(26,700)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financing activities</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(40,780)</w:t>
            </w:r>
          </w:p>
        </w:tc>
        <w:tc>
          <w:tcPr>
            <w:tcW w:w="2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(101,526)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2,142</w:t>
            </w:r>
          </w:p>
        </w:tc>
        <w:tc>
          <w:tcPr>
            <w:tcW w:w="2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line="183" w:lineRule="exact"/>
              <w:rPr>
                <w:sz w:val="20"/>
                <w:szCs w:val="20"/>
                <w:color w:val="auto"/>
              </w:rPr>
            </w:pPr>
            <w:r>
              <w:rPr>
                <w:rFonts w:ascii="Arial" w:cs="Arial" w:eastAsia="Arial" w:hAnsi="Arial"/>
                <w:sz w:val="17"/>
                <w:szCs w:val="17"/>
                <w:color w:val="auto"/>
              </w:rPr>
              <w:t>Net decrease in cash and cash equivalents</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(48,287)</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(57,125)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Balance, beginning of year</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368,030</w:t>
            </w: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332,191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tcBorders>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Balance, end of period</w:t>
            </w:r>
          </w:p>
        </w:tc>
        <w:tc>
          <w:tcPr>
            <w:tcW w:w="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319,743</w:t>
            </w:r>
          </w:p>
        </w:tc>
        <w:tc>
          <w:tcPr>
            <w:tcW w:w="2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275,066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New Accounting Standards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accounting principles generally accepted in the U.S. (“GAAP”).</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loss, statements of shareholders’ equity and statements of cash flows, as applicable. The operating results for the three- and six-month periods ended June 30, 2025 are not necessarily indicative of the results that may be expected for the year ending December 31, 2025. Our balance sheet as of December 31, 2024 included herein has been derived from the audited balance sheet as of December 31, 2024 included in our 2024 Annual Report on Form 10-K (our “2024 Form 10-K”). These unaudited condensed consolidated financial statements should be read in conjunction with the audited annual consolidated financial statements and notes thereto included in our 2024 Form 10-K.</w:t>
      </w:r>
    </w:p>
    <w:p>
      <w:pPr>
        <w:spacing w:after="0" w:line="180"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presentation format.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210"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In December 2023, the Financial Accounting Standards Board (the “FASB”) issued accounting Standards Update (“ASU”) No. 2023-09, “Improvements to Income Tax Disclosures,” which requires entities to disclose, on an annual basis, specific categories in a tabular rate reconciliation using both percentages and reporting currency amounts and to provide additional information for reconciling items that meet a quantitative threshold. This ASU also requires that entities disclose on an annual basis: a) income taxes paid (net) disaggregated by federal, state and foreign taxes; b) income taxes paid (net) by individual jurisdiction; c) income (or loss) from continuing operations before income tax expense (or benefit) between domestic and foreign; and d) income tax expense (or benefit) from continuing operations by federal, state and foreign. Certain previous disclosure requirements on unrecognized tax benefits and cumulative amount of temporary differences are eliminated. ASU No. 2023-09 will be effective for us for annual periods beginning January 1, 2025. This ASU is not expected to have a material impact on our consolidated financial statements other than increased disclosure requirements.</w:t>
      </w:r>
    </w:p>
    <w:p>
      <w:pPr>
        <w:spacing w:after="0" w:line="180" w:lineRule="exact"/>
        <w:rPr>
          <w:sz w:val="20"/>
          <w:szCs w:val="20"/>
          <w:color w:val="auto"/>
        </w:rPr>
      </w:pPr>
    </w:p>
    <w:p>
      <w:pPr>
        <w:ind w:right="140" w:firstLine="648"/>
        <w:spacing w:after="0" w:line="241" w:lineRule="auto"/>
        <w:rPr>
          <w:sz w:val="20"/>
          <w:szCs w:val="20"/>
          <w:color w:val="auto"/>
        </w:rPr>
      </w:pPr>
      <w:r>
        <w:rPr>
          <w:rFonts w:ascii="Arial" w:cs="Arial" w:eastAsia="Arial" w:hAnsi="Arial"/>
          <w:sz w:val="18"/>
          <w:szCs w:val="18"/>
          <w:color w:val="auto"/>
        </w:rPr>
        <w:t>In November 2024, the FASB issued ASU No. 2024-03, “Disaggregation of Income Statement Expenses,” which requires entities to disclose, on an annual and interim basis, specified information about certain costs and expenses: a) the amounts of (i) purchases of inventory, (ii) employee compensation, (iii) depreciation, (iv) intangible asset amortization, and</w:t>
      </w:r>
    </w:p>
    <w:p>
      <w:pPr>
        <w:spacing w:after="0" w:line="2" w:lineRule="exact"/>
        <w:rPr>
          <w:sz w:val="20"/>
          <w:szCs w:val="20"/>
          <w:color w:val="auto"/>
        </w:rPr>
      </w:pPr>
    </w:p>
    <w:p>
      <w:pPr>
        <w:ind w:right="40" w:firstLine="8"/>
        <w:spacing w:after="0" w:line="23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depletion, and amortization recognized as part of oil and gas-producing activities (or other amounts of depletion expense) included in each relevant expense caption; b) certain amounts that are already required to be disclosed under current GAAP in the same disclosure as the other disaggregation requirements; c) a qualitative description of the amounts remaining in relevant expense captions that are not separately disaggregated quantitatively; and d) the total amount of selling expenses and, in annual periods, an entity’s definition of selling expenses. ASU No. 2024-03 will be effective for us for annual periods beginning January 1, 2027 and for interim periods beginning January 1, 2028. This ASU is not expected to have a material impact on our consolidated financial statements other than increased disclosure requirements.</w:t>
      </w:r>
    </w:p>
    <w:p>
      <w:pPr>
        <w:spacing w:after="0" w:line="183"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color w:val="auto"/>
        </w:rPr>
        <w:t>We do not expect other recently issued accounting standards to have a material impact on our financial position, results of operations or cash flows when they become effective.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Company Overview</w:t>
      </w:r>
    </w:p>
    <w:p>
      <w:pPr>
        <w:spacing w:after="0" w:line="212"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robotics and decommissioning operations. Our services are key in supporting a global energy transition:</w:t>
      </w:r>
    </w:p>
    <w:p>
      <w:pPr>
        <w:spacing w:after="0" w:line="169" w:lineRule="exact"/>
        <w:rPr>
          <w:sz w:val="20"/>
          <w:szCs w:val="20"/>
          <w:color w:val="auto"/>
        </w:rPr>
      </w:pPr>
    </w:p>
    <w:p>
      <w:pPr>
        <w:ind w:left="680" w:right="720" w:hanging="321"/>
        <w:spacing w:after="0" w:line="244"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Production maximization </w:t>
      </w:r>
      <w:r>
        <w:rPr>
          <w:rFonts w:ascii="Arial" w:cs="Arial" w:eastAsia="Arial" w:hAnsi="Arial"/>
          <w:sz w:val="18"/>
          <w:szCs w:val="18"/>
          <w:color w:val="auto"/>
        </w:rPr>
        <w:t>— our assets and methodologies are specifically designed to safely and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and extend the lives of existing oil and gas reserves;</w:t>
      </w:r>
    </w:p>
    <w:p>
      <w:pPr>
        <w:spacing w:after="0" w:line="1" w:lineRule="exact"/>
        <w:rPr>
          <w:rFonts w:ascii="Times New Roman" w:cs="Times New Roman" w:eastAsia="Times New Roman" w:hAnsi="Times New Roman"/>
          <w:sz w:val="18"/>
          <w:szCs w:val="18"/>
          <w:color w:val="auto"/>
        </w:rPr>
      </w:pPr>
    </w:p>
    <w:p>
      <w:pPr>
        <w:ind w:left="680" w:right="300" w:hanging="321"/>
        <w:spacing w:after="0" w:line="234"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 we are a full-field abandonment contractor and believe that regulatory push for plug and</w:t>
      </w:r>
      <w:r>
        <w:rPr>
          <w:rFonts w:ascii="Arial" w:cs="Arial" w:eastAsia="Arial" w:hAnsi="Arial"/>
          <w:sz w:val="18"/>
          <w:szCs w:val="18"/>
          <w:i w:val="1"/>
          <w:iCs w:val="1"/>
          <w:color w:val="auto"/>
        </w:rPr>
        <w:t xml:space="preserve"> </w:t>
      </w:r>
      <w:r>
        <w:rPr>
          <w:rFonts w:ascii="Arial" w:cs="Arial" w:eastAsia="Arial" w:hAnsi="Arial"/>
          <w:sz w:val="18"/>
          <w:szCs w:val="18"/>
          <w:color w:val="auto"/>
        </w:rPr>
        <w:t>abandonment (“P&amp;A”) and transition to renewable energy will facilitate the continued growth of the abandonment market; and</w:t>
      </w:r>
    </w:p>
    <w:p>
      <w:pPr>
        <w:spacing w:after="0" w:line="1" w:lineRule="exact"/>
        <w:rPr>
          <w:rFonts w:ascii="Times New Roman" w:cs="Times New Roman" w:eastAsia="Times New Roman" w:hAnsi="Times New Roman"/>
          <w:sz w:val="18"/>
          <w:szCs w:val="18"/>
          <w:color w:val="auto"/>
        </w:rPr>
      </w:pPr>
    </w:p>
    <w:p>
      <w:pPr>
        <w:ind w:left="680" w:right="620" w:hanging="321"/>
        <w:spacing w:after="0" w:line="242"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Renewables </w:t>
      </w:r>
      <w:r>
        <w:rPr>
          <w:rFonts w:ascii="Arial" w:cs="Arial" w:eastAsia="Arial" w:hAnsi="Arial"/>
          <w:sz w:val="18"/>
          <w:szCs w:val="18"/>
          <w:color w:val="auto"/>
        </w:rPr>
        <w:t>— we are an established global leader in jet trenching and provide specialty support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developments (primarily offshore wind farms), including boulder removal and unexploded ordnance clearance.</w:t>
      </w:r>
    </w:p>
    <w:p>
      <w:pPr>
        <w:spacing w:after="0" w:line="179"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We provide a range of services to the oil and gas and renewable energy markets primarily in the Gulf of America (deepwater and shelf), U.S. East Coast, Brazil, North Sea, Asia Pacific and West Africa regions. Our North Sea operations and our Gulf of America shelf operations are usually subject to seasonal changes in activity levels, which generally peak in the summer months and decline in the winter months. Our services are segregated into four reportable business segments: Well Intervention, Robotics, Shallow Water Abandonment and Production Facilities.</w:t>
      </w:r>
    </w:p>
    <w:p>
      <w:pPr>
        <w:spacing w:after="0" w:line="17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vessels,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Robotics segment provides trenching, seabed clearance, offshore construction and inspection, repair and maintenance (“IRM”) services to both the oil and gas and the renewable energy markets globally, thereby assisting the delivery of renewable energy and supporting the responsible transition away from a carbon-based economy.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spacing w:after="0" w:line="185" w:lineRule="exact"/>
        <w:rPr>
          <w:sz w:val="20"/>
          <w:szCs w:val="20"/>
          <w:color w:val="auto"/>
        </w:rPr>
      </w:pPr>
    </w:p>
    <w:p>
      <w:pPr>
        <w:ind w:right="140" w:firstLine="648"/>
        <w:spacing w:after="0" w:line="242" w:lineRule="auto"/>
        <w:rPr>
          <w:sz w:val="20"/>
          <w:szCs w:val="20"/>
          <w:color w:val="auto"/>
        </w:rPr>
      </w:pPr>
      <w:r>
        <w:rPr>
          <w:rFonts w:ascii="Arial" w:cs="Arial" w:eastAsia="Arial" w:hAnsi="Arial"/>
          <w:sz w:val="18"/>
          <w:szCs w:val="18"/>
          <w:color w:val="auto"/>
        </w:rPr>
        <w:t>Our Shallow Water Abandonment segment provides services in support of the upstream and midstream ‎industries predominantly in the Gulf of America shelf, including offshore oilfield decommissioning and ‎reclamation, well intervention, IRM, heavy lift and commercial diving services. Our Shallow Water Abandonment segment includes Helix Alliance that was acquired in July 2022, a vertically integrated company which offers a diversified fleet of marine assets including liftboats, offshore supply vessels (“OSVs”), dive support vessels (“DSVs”), a heavy lift derrick barge, a crew boat, P&amp;A systems and coiled tubing (“CT”) systems.</w:t>
      </w:r>
    </w:p>
    <w:p>
      <w:pPr>
        <w:spacing w:after="0" w:line="179"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Helix Producer I</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a ship-shaped dynamically positioned floating production vessel, the Helix Fast Response System (the “HFRS”), which combines our capabilities with certain well control equipment that can be deployed to respond to a well control incident, and our ownership of mature oil and gas properties. All of our current Production Facilities activities are located in the Gulf of America.</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Note 3 — Details of Certain Accounts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100" w:type="dxa"/>
            <w:vAlign w:val="bottom"/>
            <w:gridSpan w:val="3"/>
          </w:tcPr>
          <w:p>
            <w:pPr>
              <w:ind w:left="660"/>
              <w:spacing w:after="0"/>
              <w:rPr>
                <w:sz w:val="20"/>
                <w:szCs w:val="20"/>
                <w:color w:val="auto"/>
              </w:rPr>
            </w:pPr>
            <w:r>
              <w:rPr>
                <w:rFonts w:ascii="Arial" w:cs="Arial" w:eastAsia="Arial" w:hAnsi="Arial"/>
                <w:sz w:val="18"/>
                <w:szCs w:val="18"/>
                <w:color w:val="auto"/>
              </w:rPr>
              <w:t>Other current assets consist of the following (in thousands):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6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Prepaids</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21,681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26,780</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Income tax receivable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28,523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Contract assets (Note 8)</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13,204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02"/>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8)</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41,107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31,874</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196"/>
        </w:trPr>
        <w:tc>
          <w:tcPr>
            <w:tcW w:w="610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Total other current assets</w:t>
            </w:r>
          </w:p>
        </w:tc>
        <w:tc>
          <w:tcPr>
            <w:tcW w:w="7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112,735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83,022</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10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6100" w:type="dxa"/>
            <w:vAlign w:val="bottom"/>
            <w:gridSpan w:val="3"/>
            <w:shd w:val="clear" w:color="auto" w:fill="CCEEFF"/>
          </w:tcPr>
          <w:p>
            <w:pPr>
              <w:spacing w:after="0" w:line="195"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28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8)</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2,273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(2)</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26,030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24,827</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3,507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196"/>
        </w:trPr>
        <w:tc>
          <w:tcPr>
            <w:tcW w:w="610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Total other assets, net</w:t>
            </w:r>
          </w:p>
        </w:tc>
        <w:tc>
          <w:tcPr>
            <w:tcW w:w="70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46,035</w:t>
            </w:r>
          </w:p>
        </w:tc>
        <w:tc>
          <w:tcPr>
            <w:tcW w:w="28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48,178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which may be used to offset certain payment obligations associated with the vessels at the end of their respective charter term.</w:t>
      </w:r>
    </w:p>
    <w:p>
      <w:pPr>
        <w:spacing w:after="0" w:line="45" w:lineRule="exact"/>
        <w:rPr>
          <w:rFonts w:ascii="Arial" w:cs="Arial" w:eastAsia="Arial" w:hAnsi="Arial"/>
          <w:sz w:val="18"/>
          <w:szCs w:val="18"/>
          <w:color w:val="auto"/>
        </w:rPr>
      </w:pPr>
    </w:p>
    <w:p>
      <w:pPr>
        <w:ind w:left="660" w:right="120" w:hanging="652"/>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present value of receivables for P&amp;A work to be performed by us on Droshky oil and gas properties we acquired from Marathon Oil Corporation in 2019.</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6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33,012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49,521</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10,196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10,278</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(Note 8)</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38,630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14,914</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22,934</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15,742</w:t>
            </w:r>
          </w:p>
        </w:tc>
      </w:tr>
      <w:tr>
        <w:trPr>
          <w:trHeight w:val="196"/>
        </w:trPr>
        <w:tc>
          <w:tcPr>
            <w:tcW w:w="68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104,772</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90,455</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revenue (Note 8)</w:t>
            </w:r>
          </w:p>
        </w:tc>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Asset retirement obligations (Note 12)</w:t>
            </w: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65,794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62,947</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2,974</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196"/>
        </w:trPr>
        <w:tc>
          <w:tcPr>
            <w:tcW w:w="3980" w:type="dxa"/>
            <w:vAlign w:val="bottom"/>
          </w:tcPr>
          <w:p>
            <w:pPr>
              <w:ind w:left="120"/>
              <w:spacing w:after="0" w:line="196" w:lineRule="exact"/>
              <w:rPr>
                <w:sz w:val="20"/>
                <w:szCs w:val="20"/>
                <w:color w:val="auto"/>
              </w:rPr>
            </w:pPr>
            <w:r>
              <w:rPr>
                <w:rFonts w:ascii="Arial" w:cs="Arial" w:eastAsia="Arial" w:hAnsi="Arial"/>
                <w:sz w:val="18"/>
                <w:szCs w:val="18"/>
                <w:color w:val="auto"/>
              </w:rPr>
              <w:t>Total other non-current liabilities</w:t>
            </w:r>
          </w:p>
        </w:tc>
        <w:tc>
          <w:tcPr>
            <w:tcW w:w="28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68,768</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66,971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820" w:type="dxa"/>
            <w:vAlign w:val="bottom"/>
            <w:vMerge w:val="restart"/>
          </w:tcPr>
          <w:p>
            <w:pPr>
              <w:jc w:val="right"/>
              <w:ind w:right="169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9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9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21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We charter vessels and lease facilities and equipment under non-cancelable contracts that expire on various dates through 2034.</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23,349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22,357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44,579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42,832</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2,686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5,032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6,117</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12,746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13,745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21,689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22,659</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lease cost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38,752</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39,140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71,242</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71,564</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June 30, 2025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79,119</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4,331</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65,767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3,684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69,451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64,491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55,173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2,652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57,825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52,749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60,099</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14,089</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74,188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377,398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33,787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(70,258)</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(9,283)</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(79,541)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307,140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24,504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57,884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249,256</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20,863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307,140</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24,504</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December 31, 2024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78,442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5,324</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66,020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3,442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69,462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55,933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3,368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59,301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52,748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86,257</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15,736</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101,993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401,171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34,926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436,097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(80,564)</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(9,567)</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(90,131)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320,607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6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55,643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264,964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21,020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285,984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320,607</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25,359</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64"/>
        </w:trPr>
        <w:tc>
          <w:tcPr>
            <w:tcW w:w="8440" w:type="dxa"/>
            <w:vAlign w:val="bottom"/>
            <w:gridSpan w:val="4"/>
          </w:tcPr>
          <w:p>
            <w:pPr>
              <w:ind w:left="6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tc>
        <w:tc>
          <w:tcPr>
            <w:tcW w:w="148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June 30,</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28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196"/>
        </w:trPr>
        <w:tc>
          <w:tcPr>
            <w:tcW w:w="6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 years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 years</w:t>
            </w:r>
          </w:p>
        </w:tc>
      </w:tr>
      <w:tr>
        <w:trPr>
          <w:trHeight w:val="239"/>
        </w:trPr>
        <w:tc>
          <w:tcPr>
            <w:tcW w:w="67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7.82 %</w:t>
            </w:r>
          </w:p>
        </w:tc>
        <w:tc>
          <w:tcPr>
            <w:tcW w:w="260" w:type="dxa"/>
            <w:vAlign w:val="bottom"/>
          </w:tcPr>
          <w:p>
            <w:pPr>
              <w:spacing w:after="0"/>
              <w:rPr>
                <w:sz w:val="20"/>
                <w:szCs w:val="20"/>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7.89 %</w:t>
            </w:r>
          </w:p>
        </w:tc>
      </w:tr>
    </w:tbl>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ind w:left="48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color w:val="auto"/>
              </w:rPr>
              <w:t>43,394</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38,877</w:t>
            </w:r>
          </w:p>
        </w:tc>
      </w:tr>
      <w:tr>
        <w:trPr>
          <w:trHeight w:val="359"/>
        </w:trPr>
        <w:tc>
          <w:tcPr>
            <w:tcW w:w="6800" w:type="dxa"/>
            <w:vAlign w:val="bottom"/>
          </w:tcPr>
          <w:p>
            <w:pPr>
              <w:spacing w:after="0"/>
              <w:rPr>
                <w:sz w:val="20"/>
                <w:szCs w:val="20"/>
                <w:color w:val="auto"/>
              </w:rPr>
            </w:pPr>
            <w:r>
              <w:rPr>
                <w:rFonts w:ascii="Arial" w:cs="Arial" w:eastAsia="Arial" w:hAnsi="Arial"/>
                <w:sz w:val="18"/>
                <w:szCs w:val="18"/>
                <w:color w:val="auto"/>
              </w:rPr>
              <w:t xml:space="preserve">Right-of-use assets related to new operating lease liabilities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14,692</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p>
    <w:p>
      <w:pPr>
        <w:ind w:left="660" w:right="380" w:hanging="652"/>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operating lease additions are primarily related to the charter for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during the six-month period ended June 30, 2025, and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Shelia Bordelon </w:t>
      </w:r>
      <w:r>
        <w:rPr>
          <w:rFonts w:ascii="Arial" w:cs="Arial" w:eastAsia="Arial" w:hAnsi="Arial"/>
          <w:sz w:val="18"/>
          <w:szCs w:val="18"/>
          <w:color w:val="auto"/>
        </w:rPr>
        <w:t>during the six-month period ended June 30, 2024 (Note 13).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our long-term debt outstanding as of June 30, 2025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MARAD</w:t>
            </w:r>
          </w:p>
        </w:tc>
        <w:tc>
          <w:tcPr>
            <w:tcW w:w="260" w:type="dxa"/>
            <w:vAlign w:val="bottom"/>
          </w:tcPr>
          <w:p>
            <w:pPr>
              <w:spacing w:after="0"/>
              <w:rPr>
                <w:sz w:val="17"/>
                <w:szCs w:val="17"/>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1"/>
        </w:trPr>
        <w:tc>
          <w:tcPr>
            <w:tcW w:w="24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Debt</w:t>
            </w: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Notes</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6"/>
        </w:trPr>
        <w:tc>
          <w:tcPr>
            <w:tcW w:w="5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9,412</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9,412</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9,882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9,882</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196"/>
        </w:trPr>
        <w:tc>
          <w:tcPr>
            <w:tcW w:w="536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Gross debt</w:t>
            </w: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19,294</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300,000</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319,294</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Unamortized debt discount </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(1,069)</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(1,069)</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(854)</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(5,759)</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(6,613)</w:t>
            </w:r>
          </w:p>
        </w:tc>
      </w:tr>
      <w:tr>
        <w:trPr>
          <w:trHeight w:val="196"/>
        </w:trPr>
        <w:tc>
          <w:tcPr>
            <w:tcW w:w="5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18,440</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293,172</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311,612</w:t>
            </w:r>
          </w:p>
        </w:tc>
      </w:tr>
      <w:tr>
        <w:trPr>
          <w:trHeight w:val="203"/>
        </w:trPr>
        <w:tc>
          <w:tcPr>
            <w:tcW w:w="53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(9,412)</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(9,412)</w:t>
            </w:r>
          </w:p>
        </w:tc>
      </w:tr>
      <w:tr>
        <w:trPr>
          <w:trHeight w:val="196"/>
        </w:trPr>
        <w:tc>
          <w:tcPr>
            <w:tcW w:w="5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9,028</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293,172</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302,200</w:t>
            </w:r>
          </w:p>
        </w:tc>
      </w:tr>
      <w:tr>
        <w:trPr>
          <w:trHeight w:val="20"/>
        </w:trPr>
        <w:tc>
          <w:tcPr>
            <w:tcW w:w="2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76" w:lineRule="exact"/>
        <w:rPr>
          <w:sz w:val="20"/>
          <w:szCs w:val="20"/>
          <w:color w:val="auto"/>
        </w:rPr>
      </w:pPr>
    </w:p>
    <w:p>
      <w:pPr>
        <w:ind w:left="660" w:right="600" w:hanging="652"/>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discount and debt issuance costs are amortized to interest expense over the term of the applicable debt agreement.</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Below is a summary of our indebtedness: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0"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On September 30, 2021, we entered into an asset-based credit agreement with Bank of America, N.A. (“Bank of America”), Wells Fargo Bank, N.A. and Zions Bancorporation and subsequently we entered into various amendments (collectively, the “Amended ABL Facility”). The Amended ABL Facility provides a $120 million asset-based revolving credit line that matures on August 2, 2029, with a springing maturity 91 days prior to the maturity of any outstanding indebtedness with a principal amount in excess of $ 50 million. The Amended ABL Facility permits us to request an increase of the facility of up to $30 million, subject to certain conditions.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$55 million sub-limit for the issuance of letters of credit. As of June 30, 2025, we had no borrowings under the Amended ABL Facility, and our available borrowing capacity, based on the borrowing base, totaled $70.5 million, net of $1.5 million of letters of credit issued.</w:t>
      </w:r>
    </w:p>
    <w:p>
      <w:pPr>
        <w:spacing w:after="0" w:line="179"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17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7"/>
          <w:szCs w:val="17"/>
          <w:color w:val="auto"/>
        </w:rPr>
        <w:t>U.S. borrowings under the Amended ABL Facility bear interest at the Term SOFR rate (also known as CME Term SOFR as administered by CME Group, Inc.) plus a margin of 1.50% to 2.00% or at a base rate plus a margin of 0.50%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180"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1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 xml:space="preserve">In 2005, Helix’s subsidiary CDI-Title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CDI-Title XI to reimburse MARAD in the event CDI-Title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CDI-Title XI for so long as the MARAD Debt remains outstanding. The MARAD Debt is payable in equal semi-annual installments through February 2027 and bears interest at a rate of 4.93%.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 (“2029 Notes”)</w:t>
      </w:r>
    </w:p>
    <w:p>
      <w:pPr>
        <w:spacing w:after="0" w:line="210" w:lineRule="exact"/>
        <w:rPr>
          <w:sz w:val="20"/>
          <w:szCs w:val="20"/>
          <w:color w:val="auto"/>
        </w:rPr>
      </w:pPr>
    </w:p>
    <w:p>
      <w:pPr>
        <w:ind w:right="260" w:firstLine="648"/>
        <w:spacing w:after="0" w:line="247" w:lineRule="auto"/>
        <w:rPr>
          <w:sz w:val="20"/>
          <w:szCs w:val="20"/>
          <w:color w:val="auto"/>
        </w:rPr>
      </w:pPr>
      <w:r>
        <w:rPr>
          <w:rFonts w:ascii="Arial" w:cs="Arial" w:eastAsia="Arial" w:hAnsi="Arial"/>
          <w:sz w:val="18"/>
          <w:szCs w:val="18"/>
          <w:color w:val="auto"/>
        </w:rPr>
        <w:t>On December 1, 2023, we issued $300 million aggregate principal amount of the 2029 Notes. The net proceeds from the issuance of the 2029 Notes were approximately $291.1 million after deducting the purchasers’ discount and debt issuance costs. We used cash proceeds from the offering to redeem our former Convertible Senior Notes due 2026 (the “2026 Notes”). See details regarding the redemption of the 2026 Notes below.</w:t>
      </w:r>
    </w:p>
    <w:p>
      <w:pPr>
        <w:spacing w:after="0" w:line="174"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The 2029 Notes bear interest at a coupon interest rate of 9.75% per annum payable semi-annually in arrears on March 1 and September 1 of each year, beginning on March 1, 2024. The 2029 Notes mature on March 1, 2029 unless earlier redeemed or repurchased by 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Prior to March 1, 2026, we may, at our option, redeem the 2029 Notes, in whole or in part, at a price equal to 100% of the aggregate principal amount of the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notes to be redeemed, plus accrued and unpaid interest, if any, to, but excluding, the redemption date, in an amount not exceeding the proceeds of such equity offerings.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Redemption</w:t>
            </w:r>
          </w:p>
        </w:tc>
      </w:tr>
      <w:tr>
        <w:trPr>
          <w:trHeight w:val="22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Price</w:t>
            </w:r>
          </w:p>
        </w:tc>
      </w:tr>
      <w:tr>
        <w:trPr>
          <w:trHeight w:val="196"/>
        </w:trPr>
        <w:tc>
          <w:tcPr>
            <w:tcW w:w="8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2026</w:t>
            </w: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104.875%</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8"/>
              </w:rPr>
              <w:t>102.438%</w:t>
            </w: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2028 and thereafter</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100.000%</w:t>
            </w:r>
          </w:p>
        </w:tc>
      </w:tr>
    </w:tbl>
    <w:p>
      <w:pPr>
        <w:spacing w:after="0" w:line="18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Upon the occurrence of a Change of Control Triggering Event, as defined in the indenture governing the 2029 Notes, we may be required to make an offer to repurchase all of the notes then outstanding at a price equal to 101% of the principal amount thereof, plus accrued and unpaid interest, if any, to, but not including, the repurchase date.</w:t>
      </w:r>
    </w:p>
    <w:p>
      <w:pPr>
        <w:spacing w:after="0" w:line="169"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color w:val="auto"/>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spacing w:after="0" w:line="169"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 Redemption</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January 2024, we issued a notice for the redemption of the remaining $ 40.0 million aggregate principal amount of the 2026 Notes to be settled in March 2024 (the “2026 Notes Redemptions”). The redemption price consisted of the principal amount and the make-whole premium, plus accrued and unpaid interest. Our redemption notice enabled holders of $39.7 million aggregate principal amount of the 2026 Notes to tender their notes for conversion prior to the redemption date, with the remaining $0.3 million aggregate principal amount of the notes redeemed. We settled both the conversions and redemptions for an aggregate $ 60.2 million cash in March 2024 and recognized pre-tax losses of $20.9 million. These losses are reflected in “Losses related to convertible senior notes” in the accompanying condensed consolidated statement of operations. The 2026 Notes had a coupon interest rate of 6.75% per annum and an effective interest rate of 7.6%. For the six-month period ended June 30, 2024, total interest expense related to the 2026 Notes was $0.4 million with coupon interest expense of $0.3 million and the amortization of debt issuance costs of $0.1 million.</w:t>
      </w:r>
    </w:p>
    <w:p>
      <w:pPr>
        <w:spacing w:after="0" w:line="180"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In connection with the 2026 Notes offering, we entered into capped call transactions (the “2026 Capped Calls”) with three separate counterparties to hedge the dilution risk of the 2026 Notes. Concurrent with the settlement of the 2026 Notes Redemptions in March 2024, we terminated the remaining 2026 Capped Calls and received $4.4 million in cash, recognizing an increase to “Common stock” in the shareholders’ equity section of the accompanying condensed consolidated balance sheets.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10"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June 30, 2025, we were in compliance with these covenants.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8,253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8,402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16,492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17,180</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(4,911)</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(5,812)</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interest expense</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5,875</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5,891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11,581</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11,368</w:t>
            </w: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12"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spacing w:after="0" w:line="16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For the three- and six-month periods ended June 30, 2025, we recognized income tax benefit of $6.0 million and $5.5 million, respectively, resulting in effective tax rates of 69.8% and 109.3% respectively. The effective tax rates for these periods were impacted by certain non-U.S. discrete items and the jurisdictional mix of earnings. For the three- and six-month periods ended June 30, 2024, we recognized income tax provision of $14.7 million and $13.0 million, respectively, resulting in effective tax rates of 31.3% and 68.5%, respectively. The effective rate for the three-month period ended June 30, 2024 was impacted by certain non-deductible expenses and non-creditable foreign income taxes. The effective rate for the six-month period ended June 30, 2024 was impacted by the non-deductibility of certain losses associated with the 2026 Notes Redemptions, which was characterized as a discrete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Repurchase Programs</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 February 2023, our Board of Directors (our “Board”) authorized a share repurchase program to repurchase issued and outstanding shares of our common stock up to $200 million (the “2023 Repurchase Program”). As of June 30, 2025, approximately $128.4 million remained authorized for the repurchase of shares under the 2023 Repurchase Program. During the six-month period ended June 30, 2025, we repurchased a total of 4,643,060 shares of our common stock pursuant to the 2023 Repurchase Program for approximately $30.0 million. During the six-month period ended June 30, 2024, we repurchased a total of 937,585 shares of our common stock pursuant to the 2023 Repurchase Program for approximately $10.2 million.</w:t>
      </w:r>
    </w:p>
    <w:p>
      <w:pPr>
        <w:spacing w:after="0" w:line="185"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2023 Repurchase Program has no set expiration date. Repurchases under the 2023 Repurchase Program have been made through open market purchases in compliance with Rule 10b-18 as well as a plan established under Rule 10b5-1 under the Exchange Act, and may also be made through privately negotiated transactions or future plans, instructions or contracts established under Rule 10b5-1.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cancelled.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 from Contracts with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spacing w:after="0" w:line="169"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Our revenues are primarily derived from short-term and long-term service contracts with customers.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We provide services to our customers in the following markets that are key to our energy transition strategy: Production maximization, Decommissioning and Renewables. The following tables provide information about disaggregated revenue by contract duration and by market strategy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Shallow Water</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Production</w:t>
            </w:r>
          </w:p>
        </w:tc>
        <w:tc>
          <w:tcPr>
            <w:tcW w:w="20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Intercompany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21"/>
        </w:trPr>
        <w:tc>
          <w:tcPr>
            <w:tcW w:w="1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Abandonment</w:t>
            </w:r>
          </w:p>
        </w:tc>
        <w:tc>
          <w:tcPr>
            <w:tcW w:w="1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Facilities</w:t>
            </w:r>
          </w:p>
        </w:tc>
        <w:tc>
          <w:tcPr>
            <w:tcW w:w="20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Eliminations</w:t>
            </w:r>
          </w:p>
        </w:tc>
        <w:tc>
          <w:tcPr>
            <w:tcW w:w="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Revenue</w:t>
            </w:r>
          </w:p>
        </w:tc>
      </w:tr>
      <w:tr>
        <w:trPr>
          <w:trHeight w:val="210"/>
        </w:trPr>
        <w:tc>
          <w:tcPr>
            <w:tcW w:w="2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w:t>
            </w:r>
          </w:p>
        </w:tc>
        <w:tc>
          <w:tcPr>
            <w:tcW w:w="1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03"/>
        </w:trPr>
        <w:tc>
          <w:tcPr>
            <w:tcW w:w="1820" w:type="dxa"/>
            <w:vAlign w:val="bottom"/>
          </w:tcPr>
          <w:p>
            <w:pPr>
              <w:ind w:left="120"/>
              <w:spacing w:after="0" w:line="202" w:lineRule="exact"/>
              <w:rPr>
                <w:sz w:val="20"/>
                <w:szCs w:val="20"/>
                <w:color w:val="auto"/>
              </w:rPr>
            </w:pPr>
            <w:r>
              <w:rPr>
                <w:rFonts w:ascii="Arial" w:cs="Arial" w:eastAsia="Arial" w:hAnsi="Arial"/>
                <w:sz w:val="18"/>
                <w:szCs w:val="18"/>
                <w:color w:val="auto"/>
              </w:rPr>
              <w:t>Short-term</w:t>
            </w:r>
          </w:p>
        </w:tc>
        <w:tc>
          <w:tcPr>
            <w:tcW w:w="104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46,130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64,779</w:t>
            </w:r>
          </w:p>
        </w:tc>
        <w:tc>
          <w:tcPr>
            <w:tcW w:w="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46,550</w:t>
            </w:r>
          </w:p>
        </w:tc>
        <w:tc>
          <w:tcPr>
            <w:tcW w:w="2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157,451</w:t>
            </w:r>
          </w:p>
        </w:tc>
      </w:tr>
      <w:tr>
        <w:trPr>
          <w:trHeight w:val="203"/>
        </w:trPr>
        <w:tc>
          <w:tcPr>
            <w:tcW w:w="1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110,656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20,793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17,081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(7,761)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144,837</w:t>
            </w:r>
          </w:p>
        </w:tc>
      </w:tr>
      <w:tr>
        <w:trPr>
          <w:trHeight w:val="196"/>
        </w:trPr>
        <w:tc>
          <w:tcPr>
            <w:tcW w:w="182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8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156,786</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85,572</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50,618</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17,081</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(7,769)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302,288</w:t>
            </w:r>
          </w:p>
        </w:tc>
      </w:tr>
      <w:tr>
        <w:trPr>
          <w:trHeight w:val="20"/>
        </w:trPr>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Three months ended June 30, 2024 </w:t>
      </w:r>
      <w:r>
        <w:rPr>
          <w:rFonts w:ascii="Arial" w:cs="Arial" w:eastAsia="Arial" w:hAnsi="Arial"/>
          <w:sz w:val="26"/>
          <w:szCs w:val="26"/>
          <w:b w:val="1"/>
          <w:bCs w:val="1"/>
          <w:color w:val="auto"/>
          <w:vertAlign w:val="superscript"/>
        </w:rPr>
        <w:t>(1)</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Short-term</w:t>
            </w:r>
          </w:p>
        </w:tc>
        <w:tc>
          <w:tcPr>
            <w:tcW w:w="106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153,152</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44,193</w:t>
            </w:r>
          </w:p>
        </w:tc>
        <w:tc>
          <w:tcPr>
            <w:tcW w:w="560" w:type="dxa"/>
            <w:vAlign w:val="bottom"/>
            <w:gridSpan w:val="2"/>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42,369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(106)</w:t>
            </w:r>
          </w:p>
        </w:tc>
        <w:tc>
          <w:tcPr>
            <w:tcW w:w="1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64,609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37,056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8,472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25,400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(10,348)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125,189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217,761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81,249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50,841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(10,454)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2025</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10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70,353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87,329</w:t>
            </w:r>
          </w:p>
        </w:tc>
        <w:tc>
          <w:tcPr>
            <w:tcW w:w="5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62,121</w:t>
            </w: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219,743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284,807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49,285</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36,918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(15,716)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360,609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8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355,160</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136,614</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67,436</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36,918</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(15,776)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580,352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Six months ended June 30, 2024 </w:t>
      </w:r>
      <w:r>
        <w:rPr>
          <w:rFonts w:ascii="Arial" w:cs="Arial" w:eastAsia="Arial" w:hAnsi="Arial"/>
          <w:sz w:val="26"/>
          <w:szCs w:val="26"/>
          <w:b w:val="1"/>
          <w:bCs w:val="1"/>
          <w:color w:val="auto"/>
          <w:vertAlign w:val="superscript"/>
        </w:rPr>
        <w:t>(1)</w:t>
      </w:r>
    </w:p>
    <w:tbl>
      <w:tblPr>
        <w:tblLayout w:type="fixed"/>
        <w:tblInd w:w="0" w:type="dxa"/>
        <w:tblCellMar>
          <w:top w:w="0" w:type="dxa"/>
          <w:left w:w="0" w:type="dxa"/>
          <w:bottom w:w="0" w:type="dxa"/>
          <w:right w:w="0" w:type="dxa"/>
        </w:tblCellMar>
      </w:tblPr>
      <w:tr>
        <w:trPr>
          <w:trHeight w:val="203"/>
        </w:trPr>
        <w:tc>
          <w:tcPr>
            <w:tcW w:w="18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Short-term</w:t>
            </w:r>
          </w:p>
        </w:tc>
        <w:tc>
          <w:tcPr>
            <w:tcW w:w="104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287,566</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69,369</w:t>
            </w:r>
          </w:p>
        </w:tc>
        <w:tc>
          <w:tcPr>
            <w:tcW w:w="560" w:type="dxa"/>
            <w:vAlign w:val="bottom"/>
            <w:gridSpan w:val="2"/>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67,732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(6,433)</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418,234</w:t>
            </w:r>
          </w:p>
        </w:tc>
      </w:tr>
      <w:tr>
        <w:trPr>
          <w:trHeight w:val="203"/>
        </w:trPr>
        <w:tc>
          <w:tcPr>
            <w:tcW w:w="1820" w:type="dxa"/>
            <w:vAlign w:val="bottom"/>
          </w:tcPr>
          <w:p>
            <w:pPr>
              <w:ind w:left="12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141,495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62,189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9,962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49,552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242,774</w:t>
            </w:r>
          </w:p>
        </w:tc>
      </w:tr>
      <w:tr>
        <w:trPr>
          <w:trHeight w:val="196"/>
        </w:trPr>
        <w:tc>
          <w:tcPr>
            <w:tcW w:w="182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429,061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131,558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77,694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49,552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661,008</w:t>
            </w:r>
          </w:p>
        </w:tc>
      </w:tr>
      <w:tr>
        <w:trPr>
          <w:trHeight w:val="20"/>
        </w:trPr>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35"/>
        </w:trPr>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15</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30"/>
        </w:trPr>
        <w:tc>
          <w:tcPr>
            <w:tcW w:w="1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9"/>
              </w:rPr>
              <w:t>Shallow Water</w:t>
            </w:r>
          </w:p>
        </w:tc>
        <w:tc>
          <w:tcPr>
            <w:tcW w:w="20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Production</w:t>
            </w:r>
          </w:p>
        </w:tc>
        <w:tc>
          <w:tcPr>
            <w:tcW w:w="2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Intercompany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21"/>
        </w:trPr>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Intervention</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Facilities</w:t>
            </w:r>
          </w:p>
        </w:tc>
        <w:tc>
          <w:tcPr>
            <w:tcW w:w="20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Eliminations</w:t>
            </w:r>
          </w:p>
        </w:tc>
        <w:tc>
          <w:tcPr>
            <w:tcW w:w="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Revenue</w:t>
            </w:r>
          </w:p>
        </w:tc>
      </w:tr>
      <w:tr>
        <w:trPr>
          <w:trHeight w:val="210"/>
        </w:trPr>
        <w:tc>
          <w:tcPr>
            <w:tcW w:w="26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w:t>
            </w:r>
          </w:p>
        </w:tc>
        <w:tc>
          <w:tcPr>
            <w:tcW w:w="1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03"/>
        </w:trPr>
        <w:tc>
          <w:tcPr>
            <w:tcW w:w="23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Production maximization</w:t>
            </w:r>
          </w:p>
        </w:tc>
        <w:tc>
          <w:tcPr>
            <w:tcW w:w="5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26,800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29,554</w:t>
            </w:r>
          </w:p>
        </w:tc>
        <w:tc>
          <w:tcPr>
            <w:tcW w:w="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1,270</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17,081</w:t>
            </w:r>
          </w:p>
        </w:tc>
        <w:tc>
          <w:tcPr>
            <w:tcW w:w="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(702)</w:t>
            </w:r>
          </w:p>
        </w:tc>
        <w:tc>
          <w:tcPr>
            <w:tcW w:w="2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74,003</w:t>
            </w:r>
          </w:p>
        </w:tc>
      </w:tr>
      <w:tr>
        <w:trPr>
          <w:trHeight w:val="203"/>
        </w:trPr>
        <w:tc>
          <w:tcPr>
            <w:tcW w:w="23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Decommissioning</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128,762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49,348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178,721</w:t>
            </w:r>
          </w:p>
        </w:tc>
      </w:tr>
      <w:tr>
        <w:trPr>
          <w:trHeight w:val="203"/>
        </w:trPr>
        <w:tc>
          <w:tcPr>
            <w:tcW w:w="23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Renewables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41,987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41,987</w:t>
            </w:r>
          </w:p>
        </w:tc>
      </w:tr>
      <w:tr>
        <w:trPr>
          <w:trHeight w:val="203"/>
        </w:trPr>
        <w:tc>
          <w:tcPr>
            <w:tcW w:w="23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6,798</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7,577</w:t>
            </w:r>
          </w:p>
        </w:tc>
      </w:tr>
      <w:tr>
        <w:trPr>
          <w:trHeight w:val="196"/>
        </w:trPr>
        <w:tc>
          <w:tcPr>
            <w:tcW w:w="2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156,786</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85,572</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50,618</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17,081</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(7,769)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302,288</w:t>
            </w:r>
          </w:p>
        </w:tc>
      </w:tr>
      <w:tr>
        <w:trPr>
          <w:trHeight w:val="20"/>
        </w:trPr>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Three months ended June 30, 2024 </w:t>
      </w:r>
      <w:r>
        <w:rPr>
          <w:rFonts w:ascii="Arial" w:cs="Arial" w:eastAsia="Arial" w:hAnsi="Arial"/>
          <w:sz w:val="26"/>
          <w:szCs w:val="26"/>
          <w:b w:val="1"/>
          <w:bCs w:val="1"/>
          <w:color w:val="auto"/>
          <w:vertAlign w:val="superscript"/>
        </w:rPr>
        <w:t>(1)</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Production maximization</w:t>
            </w:r>
          </w:p>
        </w:tc>
        <w:tc>
          <w:tcPr>
            <w:tcW w:w="52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108,043</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20,596</w:t>
            </w:r>
          </w:p>
        </w:tc>
        <w:tc>
          <w:tcPr>
            <w:tcW w:w="560" w:type="dxa"/>
            <w:vAlign w:val="bottom"/>
            <w:gridSpan w:val="2"/>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3,009</w:t>
            </w:r>
          </w:p>
        </w:tc>
        <w:tc>
          <w:tcPr>
            <w:tcW w:w="42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25,400</w:t>
            </w:r>
          </w:p>
        </w:tc>
        <w:tc>
          <w:tcPr>
            <w:tcW w:w="520" w:type="dxa"/>
            <w:vAlign w:val="bottom"/>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(6,560)</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ind w:left="100"/>
              <w:spacing w:after="0" w:line="202" w:lineRule="exact"/>
              <w:rPr>
                <w:sz w:val="20"/>
                <w:szCs w:val="20"/>
                <w:color w:val="auto"/>
              </w:rPr>
            </w:pPr>
            <w:r>
              <w:rPr>
                <w:rFonts w:ascii="Arial" w:cs="Arial" w:eastAsia="Arial" w:hAnsi="Arial"/>
                <w:sz w:val="18"/>
                <w:szCs w:val="18"/>
                <w:color w:val="auto"/>
              </w:rPr>
              <w:t>Decommissioning</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109,546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7,099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47,832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(3,547)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160,930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Renewables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50,493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3,061</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217,761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81,249</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50,841</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25,400</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(10,454)</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2025</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ind w:left="100"/>
              <w:spacing w:after="0" w:line="202" w:lineRule="exact"/>
              <w:rPr>
                <w:sz w:val="20"/>
                <w:szCs w:val="20"/>
                <w:color w:val="auto"/>
              </w:rPr>
            </w:pPr>
            <w:r>
              <w:rPr>
                <w:rFonts w:ascii="Arial" w:cs="Arial" w:eastAsia="Arial" w:hAnsi="Arial"/>
                <w:sz w:val="18"/>
                <w:szCs w:val="18"/>
                <w:color w:val="auto"/>
              </w:rPr>
              <w:t>Production maximization</w:t>
            </w:r>
          </w:p>
        </w:tc>
        <w:tc>
          <w:tcPr>
            <w:tcW w:w="5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123,762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54,280</w:t>
            </w:r>
          </w:p>
        </w:tc>
        <w:tc>
          <w:tcPr>
            <w:tcW w:w="5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2,346</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36,918</w:t>
            </w:r>
          </w:p>
        </w:tc>
        <w:tc>
          <w:tcPr>
            <w:tcW w:w="5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(4,674)</w:t>
            </w:r>
          </w:p>
        </w:tc>
        <w:tc>
          <w:tcPr>
            <w:tcW w:w="2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212,632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Decommissioning</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229,445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11,249</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65,014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(10,657)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ind w:left="100"/>
              <w:spacing w:after="0" w:line="202" w:lineRule="exact"/>
              <w:rPr>
                <w:sz w:val="20"/>
                <w:szCs w:val="20"/>
                <w:color w:val="auto"/>
              </w:rPr>
            </w:pPr>
            <w:r>
              <w:rPr>
                <w:rFonts w:ascii="Arial" w:cs="Arial" w:eastAsia="Arial" w:hAnsi="Arial"/>
                <w:sz w:val="18"/>
                <w:szCs w:val="18"/>
                <w:color w:val="auto"/>
              </w:rPr>
              <w:t>Renewables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58,761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12,324</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355,160</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136,614</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67,436</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36,918</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(15,776)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580,352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Six months ended June 30, 2024 </w:t>
      </w:r>
      <w:r>
        <w:rPr>
          <w:rFonts w:ascii="Arial" w:cs="Arial" w:eastAsia="Arial" w:hAnsi="Arial"/>
          <w:sz w:val="26"/>
          <w:szCs w:val="26"/>
          <w:b w:val="1"/>
          <w:bCs w:val="1"/>
          <w:color w:val="auto"/>
          <w:vertAlign w:val="superscript"/>
        </w:rPr>
        <w:t>(1)</w:t>
      </w:r>
    </w:p>
    <w:tbl>
      <w:tblPr>
        <w:tblLayout w:type="fixed"/>
        <w:tblInd w:w="0" w:type="dxa"/>
        <w:tblCellMar>
          <w:top w:w="0" w:type="dxa"/>
          <w:left w:w="0" w:type="dxa"/>
          <w:bottom w:w="0" w:type="dxa"/>
          <w:right w:w="0" w:type="dxa"/>
        </w:tblCellMar>
      </w:tblPr>
      <w:tr>
        <w:trPr>
          <w:trHeight w:val="203"/>
        </w:trPr>
        <w:tc>
          <w:tcPr>
            <w:tcW w:w="248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Production maximization</w:t>
            </w:r>
          </w:p>
        </w:tc>
        <w:tc>
          <w:tcPr>
            <w:tcW w:w="38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177,978</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39,032</w:t>
            </w:r>
          </w:p>
        </w:tc>
        <w:tc>
          <w:tcPr>
            <w:tcW w:w="560" w:type="dxa"/>
            <w:vAlign w:val="bottom"/>
            <w:gridSpan w:val="2"/>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6,251</w:t>
            </w:r>
          </w:p>
        </w:tc>
        <w:tc>
          <w:tcPr>
            <w:tcW w:w="42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49,552</w:t>
            </w:r>
          </w:p>
        </w:tc>
        <w:tc>
          <w:tcPr>
            <w:tcW w:w="520" w:type="dxa"/>
            <w:vAlign w:val="bottom"/>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(17,438)</w:t>
            </w:r>
          </w:p>
        </w:tc>
        <w:tc>
          <w:tcPr>
            <w:tcW w:w="3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255,375</w:t>
            </w:r>
          </w:p>
        </w:tc>
      </w:tr>
      <w:tr>
        <w:trPr>
          <w:trHeight w:val="203"/>
        </w:trPr>
        <w:tc>
          <w:tcPr>
            <w:tcW w:w="2480" w:type="dxa"/>
            <w:vAlign w:val="bottom"/>
          </w:tcPr>
          <w:p>
            <w:pPr>
              <w:ind w:left="120"/>
              <w:spacing w:after="0" w:line="202" w:lineRule="exact"/>
              <w:rPr>
                <w:sz w:val="20"/>
                <w:szCs w:val="20"/>
                <w:color w:val="auto"/>
              </w:rPr>
            </w:pPr>
            <w:r>
              <w:rPr>
                <w:rFonts w:ascii="Arial" w:cs="Arial" w:eastAsia="Arial" w:hAnsi="Arial"/>
                <w:sz w:val="18"/>
                <w:szCs w:val="18"/>
                <w:color w:val="auto"/>
              </w:rPr>
              <w:t>Decommissioning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250,824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12,511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71,443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(9,068)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325,710</w:t>
            </w:r>
          </w:p>
        </w:tc>
      </w:tr>
      <w:tr>
        <w:trPr>
          <w:trHeight w:val="203"/>
        </w:trPr>
        <w:tc>
          <w:tcPr>
            <w:tcW w:w="2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Renewables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74,665</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74,665</w:t>
            </w:r>
          </w:p>
        </w:tc>
      </w:tr>
      <w:tr>
        <w:trPr>
          <w:trHeight w:val="203"/>
        </w:trPr>
        <w:tc>
          <w:tcPr>
            <w:tcW w:w="2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5,350</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5,258</w:t>
            </w:r>
          </w:p>
        </w:tc>
      </w:tr>
      <w:tr>
        <w:trPr>
          <w:trHeight w:val="196"/>
        </w:trPr>
        <w:tc>
          <w:tcPr>
            <w:tcW w:w="248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429,061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131,558</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77,694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49,552</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(26,857)</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661,008</w:t>
            </w:r>
          </w:p>
        </w:tc>
      </w:tr>
      <w:tr>
        <w:trPr>
          <w:trHeight w:val="20"/>
        </w:trPr>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76" w:lineRule="exact"/>
        <w:rPr>
          <w:sz w:val="20"/>
          <w:szCs w:val="20"/>
          <w:color w:val="auto"/>
        </w:rPr>
      </w:pPr>
    </w:p>
    <w:p>
      <w:pPr>
        <w:ind w:left="660" w:right="220" w:hanging="652"/>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and six-month periods ended June 30, 2024, $6.9 million and $12.1 million, respectively, have been removed from Well Intervention segment revenues and related intersegment eliminations. See Note 11 regarding this change in prior year reported segment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10"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color w:val="auto"/>
        </w:rPr>
        <w:t>Net contract assets were $13.2 million as of June 30, 2025 and $12.2 million as of December 31, 2024 and are reflected in “Other current assets” in the accompanying condensed consolidated balance sheets (Note 3). The increase in net contract assets was primarily attributable to more revenue recognized in excess of the amount billed to the customer for lump sum contracts, offset in part by less revenue recognized for demobilization fees. We had no credit losses on our contract assets for the three- and six-month periods ended June 30, 2025 and 2024.</w:t>
      </w:r>
    </w:p>
    <w:p>
      <w:pPr>
        <w:spacing w:after="0" w:line="17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Net contract liabilities totaled $38.6 million as of June 30, 2025 and $15.6 million as of December 31, 2024 and are reflected as “Deferred revenue,” a component of “Accrued liabilities” and ‘Other non-current liabilities” in the accompanying condensed consolidated balance sheets (Note 3). The increase was primarily attributable to an increase in deferred mobilization revenue. Revenue recognized for the three- and six-month periods ended June 30, 2025 included $13.8 million and $19.0 million, respectively, that were included in the contract liability balance at the beginning of each period. Revenue recognized for the three- and six-month periods ended June 30, 2024 included $18.2 million and $31.0 million, respectively, that were included in the contract liability balance at the beginning of each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10"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As of June 30, 2025, $1.3 billion related to unsatisfied performance obligations was expected to be recognized as revenue in the future, with $424.7 million, $ 450.4 million and $407.5 million in 2025, 2026, 2027 and beyond,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June 30, 2025.</w:t>
      </w:r>
    </w:p>
    <w:p>
      <w:pPr>
        <w:spacing w:after="0" w:line="179" w:lineRule="exact"/>
        <w:rPr>
          <w:sz w:val="20"/>
          <w:szCs w:val="20"/>
          <w:color w:val="auto"/>
        </w:rPr>
      </w:pPr>
    </w:p>
    <w:p>
      <w:pPr>
        <w:ind w:right="580" w:firstLine="648"/>
        <w:spacing w:after="0" w:line="271" w:lineRule="auto"/>
        <w:rPr>
          <w:sz w:val="20"/>
          <w:szCs w:val="20"/>
          <w:color w:val="auto"/>
        </w:rPr>
      </w:pPr>
      <w:r>
        <w:rPr>
          <w:rFonts w:ascii="Arial" w:cs="Arial" w:eastAsia="Arial" w:hAnsi="Arial"/>
          <w:sz w:val="18"/>
          <w:szCs w:val="18"/>
          <w:color w:val="auto"/>
        </w:rPr>
        <w:t>For the three- and six-month periods ended June 30, 2025 and 2024, revenues recognized from performance obligations satisfied (or partially satisfied) in previous periods were immaterial.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10"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Deferred contract costs are reflected as “Deferred costs,” a component of “Other current assets” and “Other assets, net” in the accompanying condensed consolidated balance sheets (Note 3). Our deferred contract costs totaled $43.4 million as of June 30, 2025 and $ 37.2 million as of December 31, 2024. For the three- and six-month periods ended June 30, 2025, we recorded $16.8 million and $33.2 million, respectively, related to amortization of these deferred contract costs. For the three- and six-month periods ended June 30, 2024, we recorded $11.0 million and $ 31.3 million, respectively, related to amortization of these deferred contract costs. There were no associated impairment losses for any period presented.</w:t>
      </w:r>
    </w:p>
    <w:p>
      <w:pPr>
        <w:spacing w:after="0" w:line="179" w:lineRule="exact"/>
        <w:rPr>
          <w:sz w:val="20"/>
          <w:szCs w:val="20"/>
          <w:color w:val="auto"/>
        </w:rPr>
      </w:pPr>
    </w:p>
    <w:p>
      <w:pPr>
        <w:ind w:right="1240" w:firstLine="648"/>
        <w:spacing w:after="0" w:line="477" w:lineRule="auto"/>
        <w:rPr>
          <w:sz w:val="20"/>
          <w:szCs w:val="20"/>
          <w:color w:val="auto"/>
        </w:rPr>
      </w:pPr>
      <w:r>
        <w:rPr>
          <w:rFonts w:ascii="Arial" w:cs="Arial" w:eastAsia="Arial" w:hAnsi="Arial"/>
          <w:sz w:val="18"/>
          <w:szCs w:val="18"/>
          <w:color w:val="auto"/>
        </w:rPr>
        <w:t xml:space="preserve">For additional information regarding revenue recognition, see Notes 2 and 11 to our 2024 Form 10-K. </w:t>
      </w:r>
      <w:r>
        <w:rPr>
          <w:rFonts w:ascii="Arial" w:cs="Arial" w:eastAsia="Arial" w:hAnsi="Arial"/>
          <w:sz w:val="18"/>
          <w:szCs w:val="18"/>
          <w:b w:val="1"/>
          <w:bCs w:val="1"/>
          <w:color w:val="auto"/>
        </w:rPr>
        <w:t>Note 9 — Earnings Per Share</w:t>
      </w:r>
    </w:p>
    <w:p>
      <w:pPr>
        <w:spacing w:after="0" w:line="1" w:lineRule="exact"/>
        <w:rPr>
          <w:sz w:val="20"/>
          <w:szCs w:val="20"/>
          <w:color w:val="auto"/>
        </w:rPr>
      </w:pPr>
    </w:p>
    <w:p>
      <w:pPr>
        <w:jc w:val="both"/>
        <w:ind w:right="400" w:firstLine="648"/>
        <w:spacing w:after="0" w:line="253" w:lineRule="auto"/>
        <w:rPr>
          <w:sz w:val="20"/>
          <w:szCs w:val="20"/>
          <w:color w:val="auto"/>
        </w:rPr>
      </w:pPr>
      <w:r>
        <w:rPr>
          <w:rFonts w:ascii="Arial" w:cs="Arial" w:eastAsia="Arial" w:hAnsi="Arial"/>
          <w:sz w:val="18"/>
          <w:szCs w:val="18"/>
          <w:color w:val="auto"/>
        </w:rPr>
        <w:t>The computations of the numerator (earnings or loss) and denominator (shares) to derive the basic and diluted earnings per share (“EPS”) amounts presented on the face of the accompanying condensed consolidated statements of operations are as follows (in thousands, except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June 30, 2025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(2,598)</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32,289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tcPr>
          <w:p>
            <w:pPr>
              <w:spacing w:after="0" w:line="196" w:lineRule="exact"/>
              <w:rPr>
                <w:sz w:val="20"/>
                <w:szCs w:val="20"/>
                <w:color w:val="auto"/>
              </w:rPr>
            </w:pPr>
            <w:r>
              <w:rPr>
                <w:rFonts w:ascii="Arial" w:cs="Arial" w:eastAsia="Arial" w:hAnsi="Arial"/>
                <w:sz w:val="18"/>
                <w:szCs w:val="18"/>
                <w:color w:val="auto"/>
              </w:rPr>
              <w:t>Net income (loss) available to common shareholders, basic</w:t>
            </w:r>
          </w:p>
        </w:tc>
        <w:tc>
          <w:tcPr>
            <w:tcW w:w="200" w:type="dxa"/>
            <w:vAlign w:val="bottom"/>
          </w:tcPr>
          <w:p>
            <w:pPr>
              <w:spacing w:after="0"/>
              <w:rPr>
                <w:sz w:val="20"/>
                <w:szCs w:val="20"/>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(2,598)</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148,515</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32,256</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152,234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Earnings (loss) per share, basic</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available to common shareholders, basic</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(2,598)</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148,515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32,256</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Undistributed earnings reallocated to participating securities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available to common shareholders, diluted</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(2,598)</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148,515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32,257</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(loss) per share, diluted</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June 30, 2025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6,002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gridSpan w:val="2"/>
          </w:tcPr>
          <w:p>
            <w:pPr>
              <w:spacing w:after="0" w:line="196" w:lineRule="exact"/>
              <w:rPr>
                <w:sz w:val="20"/>
                <w:szCs w:val="20"/>
                <w:color w:val="auto"/>
              </w:rPr>
            </w:pPr>
            <w:r>
              <w:rPr>
                <w:rFonts w:ascii="Arial" w:cs="Arial" w:eastAsia="Arial" w:hAnsi="Arial"/>
                <w:sz w:val="18"/>
                <w:szCs w:val="18"/>
                <w:color w:val="auto"/>
              </w:rPr>
              <w:t>Net income available to common shareholders, basic</w:t>
            </w:r>
          </w:p>
        </w:tc>
        <w:tc>
          <w:tcPr>
            <w:tcW w:w="200" w:type="dxa"/>
            <w:vAlign w:val="bottom"/>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474</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149,770</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5,996</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152,301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Earnings per share, basic</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available to common shareholders, basic</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149,770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5,996</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Undistributed earnings reallocated to participating securities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available to common shareholders, diluted</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150,539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5,996</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per share, diluted</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We had a net loss for the three-month period ended June 30, 2025. Accordingly, our diluted EPS calculation for this period excluded the dilutive effect of share-based awards because they were deemed to be anti-dilutive, meaning their inclusion would have reduced the reported net loss per share in the applicable period. Shares that otherwise would have been included in the diluted per share calculations assuming we had earnings are as follows (in thousands):</w:t>
      </w:r>
    </w:p>
    <w:p>
      <w:pPr>
        <w:sectPr>
          <w:pgSz w:w="11900" w:h="16838" w:orient="portrait"/>
          <w:cols w:equalWidth="0" w:num="1">
            <w:col w:w="9920"/>
          </w:cols>
          <w:pgMar w:left="980" w:top="500" w:right="99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Diluted shares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wp:posOffset>
            </wp:positionV>
            <wp:extent cx="62922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Share-based awards</w:t>
      </w: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June 30, 2025</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148,515</w:t>
      </w:r>
    </w:p>
    <w:p>
      <w:pPr>
        <w:jc w:val="right"/>
        <w:ind w:right="60"/>
        <w:spacing w:after="0"/>
        <w:rPr>
          <w:sz w:val="20"/>
          <w:szCs w:val="20"/>
          <w:color w:val="auto"/>
        </w:rPr>
      </w:pPr>
      <w:r>
        <w:rPr>
          <w:rFonts w:ascii="Arial" w:cs="Arial" w:eastAsia="Arial" w:hAnsi="Arial"/>
          <w:sz w:val="18"/>
          <w:szCs w:val="18"/>
          <w:color w:val="auto"/>
        </w:rPr>
        <w:t>742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149,257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1680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80" w:space="720"/>
            <w:col w:w="2220"/>
          </w:cols>
          <w:pgMar w:left="980" w:top="500" w:right="999" w:bottom="1440" w:gutter="0" w:footer="0" w:header="0"/>
          <w:type w:val="continuous"/>
        </w:sectPr>
      </w:pPr>
    </w:p>
    <w:p>
      <w:pPr>
        <w:spacing w:after="0" w:line="21"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following potentially dilutive shares related to the 2026 Notes were excluded from the diluted EPS calculation as they were anti-dilutive (in thousands):</w:t>
      </w:r>
    </w:p>
    <w:p>
      <w:pPr>
        <w:spacing w:after="0" w:line="73"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Six Months Ended</w:t>
      </w:r>
    </w:p>
    <w:p>
      <w:pPr>
        <w:spacing w:after="0" w:line="14"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-1905</wp:posOffset>
            </wp:positionV>
            <wp:extent cx="18256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7500"/>
        <w:spacing w:after="0"/>
        <w:tabs>
          <w:tab w:leader="none" w:pos="904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tabs>
          <w:tab w:leader="none" w:pos="8080" w:val="left"/>
          <w:tab w:leader="none" w:pos="9380" w:val="left"/>
        </w:tabs>
        <w:rPr>
          <w:sz w:val="20"/>
          <w:szCs w:val="20"/>
          <w:color w:val="auto"/>
        </w:rPr>
      </w:pPr>
      <w:r>
        <w:rPr>
          <w:rFonts w:ascii="Arial" w:cs="Arial" w:eastAsia="Arial" w:hAnsi="Arial"/>
          <w:sz w:val="18"/>
          <w:szCs w:val="18"/>
          <w:color w:val="auto"/>
        </w:rPr>
        <w:t>2026 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74"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We have outstanding restricted stock units (“RSUs”) (Note 10) that can be settled in either cash or shares of our common stock, or a combination thereof, which are not included in the computation of diluted EPS as cash settlement is assumed.</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10"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We currently have one active long-term incentive plan: the 2005 Long-Term Incentive Plan, as amended and restated (the “2005 Incentive Plan”). As of June 30, 2025, there were approximately 8.1 million shares of our common stock available for issuance under the 2005 Incentive Plan, assuming outstanding performance share units (“PSUs”) vest in shares of our common stock at 100% of the original awards and outstanding RSUs are settled in cash. During the six-month period ended June 30, 2025, the following grants of share-based awards were made under the 2005 Incentive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Grant Date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21"/>
        </w:trPr>
        <w:tc>
          <w:tcPr>
            <w:tcW w:w="19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b w:val="1"/>
                <w:bCs w:val="1"/>
                <w:color w:val="auto"/>
              </w:rPr>
              <w:t>Award Type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Shares/Units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Per Share/Unit</w:t>
            </w:r>
          </w:p>
        </w:tc>
        <w:tc>
          <w:tcPr>
            <w:tcW w:w="240" w:type="dxa"/>
            <w:vAlign w:val="bottom"/>
          </w:tcPr>
          <w:p>
            <w:pPr>
              <w:spacing w:after="0"/>
              <w:rPr>
                <w:sz w:val="19"/>
                <w:szCs w:val="19"/>
                <w:color w:val="auto"/>
              </w:rPr>
            </w:pPr>
          </w:p>
        </w:tc>
        <w:tc>
          <w:tcPr>
            <w:tcW w:w="2660" w:type="dxa"/>
            <w:vAlign w:val="bottom"/>
          </w:tcPr>
          <w:p>
            <w:pPr>
              <w:ind w:left="140"/>
              <w:spacing w:after="0"/>
              <w:rPr>
                <w:sz w:val="20"/>
                <w:szCs w:val="20"/>
                <w:color w:val="auto"/>
              </w:rPr>
            </w:pPr>
            <w:r>
              <w:rPr>
                <w:rFonts w:ascii="Arial" w:cs="Arial" w:eastAsia="Arial" w:hAnsi="Arial"/>
                <w:sz w:val="18"/>
                <w:szCs w:val="18"/>
                <w:b w:val="1"/>
                <w:bCs w:val="1"/>
                <w:color w:val="auto"/>
              </w:rPr>
              <w:t>Vesting Period/Vesting Date</w:t>
            </w:r>
          </w:p>
        </w:tc>
      </w:tr>
      <w:tr>
        <w:trPr>
          <w:trHeight w:val="196"/>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443,401</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w:t>
            </w:r>
          </w:p>
        </w:tc>
        <w:tc>
          <w:tcPr>
            <w:tcW w:w="24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3"/>
                <w:szCs w:val="23"/>
                <w:color w:val="auto"/>
                <w:vertAlign w:val="superscript"/>
              </w:rPr>
              <w:t>(2)</w:t>
            </w:r>
          </w:p>
        </w:tc>
        <w:tc>
          <w:tcPr>
            <w:tcW w:w="194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PSU</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397,264</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December 31, 2027</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3"/>
                <w:szCs w:val="23"/>
                <w:color w:val="auto"/>
                <w:vertAlign w:val="superscript"/>
              </w:rPr>
              <w:t>(3)</w:t>
            </w:r>
          </w:p>
        </w:tc>
        <w:tc>
          <w:tcPr>
            <w:tcW w:w="194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2027</w:t>
            </w:r>
          </w:p>
        </w:tc>
      </w:tr>
      <w:tr>
        <w:trPr>
          <w:trHeight w:val="108"/>
        </w:trPr>
        <w:tc>
          <w:tcPr>
            <w:tcW w:w="1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60" w:type="dxa"/>
            <w:vAlign w:val="bottom"/>
          </w:tcPr>
          <w:p>
            <w:pPr>
              <w:spacing w:after="0"/>
              <w:rPr>
                <w:sz w:val="9"/>
                <w:szCs w:val="9"/>
                <w:color w:val="auto"/>
              </w:rPr>
            </w:pPr>
          </w:p>
        </w:tc>
      </w:tr>
    </w:tbl>
    <w:p>
      <w:pPr>
        <w:spacing w:after="0" w:line="7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our executive officers and certain other officers.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60" w:right="160" w:hanging="652"/>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who have elected to take their quarterly fees in stock in lieu of cash.</w:t>
      </w:r>
    </w:p>
    <w:p>
      <w:pPr>
        <w:spacing w:after="0" w:line="140" w:lineRule="exact"/>
        <w:rPr>
          <w:sz w:val="20"/>
          <w:szCs w:val="20"/>
          <w:color w:val="auto"/>
        </w:rPr>
      </w:pPr>
    </w:p>
    <w:p>
      <w:pPr>
        <w:jc w:val="both"/>
        <w:ind w:right="60" w:firstLine="648"/>
        <w:spacing w:after="0" w:line="247" w:lineRule="auto"/>
        <w:rPr>
          <w:sz w:val="20"/>
          <w:szCs w:val="20"/>
          <w:color w:val="auto"/>
        </w:rPr>
      </w:pPr>
      <w:r>
        <w:rPr>
          <w:rFonts w:ascii="Arial" w:cs="Arial" w:eastAsia="Arial" w:hAnsi="Arial"/>
          <w:sz w:val="18"/>
          <w:szCs w:val="18"/>
          <w:color w:val="auto"/>
        </w:rPr>
        <w:t>We have restricted stock outstanding granted to members of our Board. For the three- and six-month periods ended June 30, 2025, we recognized $0.2 million and $0.5 million, respectively, as share-based compensation related to restricted stock. For the three- and six-month periods ended June 30, 2024, we recognized $0.3 million and $0.6 million, respectively, as share-based compensation related to restricted stock.</w:t>
      </w:r>
    </w:p>
    <w:p>
      <w:pPr>
        <w:spacing w:after="0" w:line="174"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Our outstanding PSUs can be settled in either cash or shares of our common stock, or a combination thereof, at the discretion of the Compensation Committee of our Board upon vesting and generally have been accounted for as equity awards. Those PSUs consist of two components measured across a three-year performance period: (i) 50% containing a service and market condition based on the performance of our common stock against peer group companies, and (ii) 50% containing a service and performance condition based on cumulative total Free Cash Flow. Free Cash Flow is calculated as cash flows from operating activities less capital expenditures, net of proceeds from sale of assets. Our PSUs cliff vest at the end of the three-year period with the maximum amount of the award being 200% of the original PSU awards and the minimum amount being zero.</w:t>
      </w:r>
    </w:p>
    <w:p>
      <w:pPr>
        <w:spacing w:after="0" w:line="18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For the three- and six-month periods ended June 30, 2025, $1.3 million and $2.6 million, respectively, were recognized as share-based compensation related to PSUs. For the three- and six-month periods ended June 30, 2024, $1.5 million and $ 2.8 million, respectively, were recognized as share-based compensation related to PSUs. In the first quarter 2025, based on the performance of our common stock price as compared to our performance peer group and our cumulative total Free Cash Flow, in each case over a three-year performance period, 1,065,705 PSUs granted in 2022 vested at 200%, resulting in 1,958,334 shares of our common stock with a total market value of $18.3 million and $1.6 million of cash.</w:t>
      </w:r>
    </w:p>
    <w:p>
      <w:pPr>
        <w:spacing w:after="0" w:line="179"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Our outstanding RSUs can be settled in either cash or shares of our common stock, or a combination thereof, at the discretion of the Compensation Committee of our Board upon vesting and generally have been accounted for as liability awards. For the three- and six-month periods ended June 30, 2025, $0.5 million and $1.5 million, respectively, were recognized as compensation cost. For the three- and six-month periods ended June 30, 2024, $2.1 million and $3.7 million, respectively, were recognized as compensation cost.</w:t>
      </w:r>
    </w:p>
    <w:p>
      <w:pPr>
        <w:spacing w:after="0" w:line="176"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During the six-month period ended June 30, 2025 and the year ended December 31, 2024, we granted fixed-value cash awards of $6.7 million and $6.1 million, respectively, to select management employees under the 2005 Incentive Plan. The value of these cash awards is recognized on a straight-line basis over a vesting period of three years. For the three- and six-month periods ended June 30, 2025, $1.4 million and $2.9 million, respectively, were recognized as compensation cost. For the three- and six-month periods ended June 30, 2024, $1.3 million and $2.7 million, respectively, were recognized as compensation cost.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10"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We sponsor a defined contribution 401(k) retirement plan in the U.S. We also contribute to various other defined contribution plans globally. For the three- and six-month periods ended June 30, 2025, we made contributions to our defined contribution plans totaling $1.4 million and $ 2.9 million, respectively. For the three- and six-month periods ended June 30, 2024, we made contributions to our defined contribution plans totaling $1.4 million and $2.8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210" w:lineRule="exact"/>
        <w:rPr>
          <w:sz w:val="20"/>
          <w:szCs w:val="20"/>
          <w:color w:val="auto"/>
        </w:rPr>
      </w:pPr>
    </w:p>
    <w:p>
      <w:pPr>
        <w:ind w:right="460" w:firstLine="648"/>
        <w:spacing w:after="0" w:line="271" w:lineRule="auto"/>
        <w:rPr>
          <w:sz w:val="20"/>
          <w:szCs w:val="20"/>
          <w:color w:val="auto"/>
        </w:rPr>
      </w:pPr>
      <w:r>
        <w:rPr>
          <w:rFonts w:ascii="Arial" w:cs="Arial" w:eastAsia="Arial" w:hAnsi="Arial"/>
          <w:sz w:val="18"/>
          <w:szCs w:val="18"/>
          <w:color w:val="auto"/>
        </w:rPr>
        <w:t>As of June 30, 2025, 0.8 million shares were available for issuance under the ESPP. The ESPP currently has a purchase limit of 260 shares per employee per purchase period.</w:t>
      </w:r>
    </w:p>
    <w:p>
      <w:pPr>
        <w:spacing w:after="0" w:line="154" w:lineRule="exact"/>
        <w:rPr>
          <w:sz w:val="20"/>
          <w:szCs w:val="20"/>
          <w:color w:val="auto"/>
        </w:rPr>
      </w:pPr>
    </w:p>
    <w:p>
      <w:pPr>
        <w:ind w:right="840" w:firstLine="648"/>
        <w:spacing w:after="0" w:line="271" w:lineRule="auto"/>
        <w:rPr>
          <w:sz w:val="20"/>
          <w:szCs w:val="20"/>
          <w:color w:val="auto"/>
        </w:rPr>
      </w:pPr>
      <w:r>
        <w:rPr>
          <w:rFonts w:ascii="Arial" w:cs="Arial" w:eastAsia="Arial" w:hAnsi="Arial"/>
          <w:sz w:val="18"/>
          <w:szCs w:val="18"/>
          <w:color w:val="auto"/>
        </w:rPr>
        <w:t>For more information regarding our employee benefit plans, including the 2005 Incentive Plan, the defined contribution plans and the ESPP, see Note 13 to our 2024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Segment Information</w:t>
      </w:r>
    </w:p>
    <w:p>
      <w:pPr>
        <w:spacing w:after="0" w:line="212" w:lineRule="exact"/>
        <w:rPr>
          <w:sz w:val="20"/>
          <w:szCs w:val="20"/>
          <w:color w:val="auto"/>
        </w:rPr>
      </w:pPr>
    </w:p>
    <w:p>
      <w:pPr>
        <w:ind w:right="340" w:firstLine="648"/>
        <w:spacing w:after="0" w:line="244"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Our U.S., U.K. and Brazil Well Intervention operating segments are aggregated into the Well Intervention segment for financial reporting purposes. These reportable segments are strategic business units that utilize different mix of vessels and/or equipment to perform different types of services. All material intercompany transactions between the segments have been eliminated. See Note 2 for more information on our business segments.</w:t>
      </w:r>
    </w:p>
    <w:p>
      <w:pPr>
        <w:spacing w:after="0" w:line="176"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Our chief operating decision maker (“CODM”) is the chief operating officer. The CODM uses segment operating income or loss as the measure of segment profit or loss to evaluate segment performance by comparing the results of each segment with its annual budgeted amounts and monthly forecasts as well as the results of other segments. The CODM also uses segment operating income or loss to allocate company resources (including employees, property, and financial resources) to each segment. Information about our segment revenues and our measure of segment profit or loss is shown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Production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1"/>
        </w:trPr>
        <w:tc>
          <w:tcPr>
            <w:tcW w:w="33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Intervention</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Robotics</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Facilities</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2025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3380" w:type="dxa"/>
            <w:vAlign w:val="bottom"/>
          </w:tcPr>
          <w:p>
            <w:pPr>
              <w:ind w:left="120"/>
              <w:spacing w:after="0" w:line="202" w:lineRule="exact"/>
              <w:rPr>
                <w:sz w:val="20"/>
                <w:szCs w:val="20"/>
                <w:color w:val="auto"/>
              </w:rPr>
            </w:pPr>
            <w:r>
              <w:rPr>
                <w:rFonts w:ascii="Arial" w:cs="Arial" w:eastAsia="Arial" w:hAnsi="Arial"/>
                <w:sz w:val="18"/>
                <w:szCs w:val="18"/>
                <w:color w:val="auto"/>
              </w:rPr>
              <w:t>External revenues</w:t>
            </w:r>
          </w:p>
        </w:tc>
        <w:tc>
          <w:tcPr>
            <w:tcW w:w="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156,786</w:t>
            </w:r>
          </w:p>
        </w:tc>
        <w:tc>
          <w:tcPr>
            <w:tcW w:w="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77,815</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50,606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17,081</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302,288</w:t>
            </w:r>
          </w:p>
        </w:tc>
      </w:tr>
      <w:tr>
        <w:trPr>
          <w:trHeight w:val="203"/>
        </w:trPr>
        <w:tc>
          <w:tcPr>
            <w:tcW w:w="338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7,757</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7,769</w:t>
            </w:r>
          </w:p>
        </w:tc>
      </w:tr>
      <w:tr>
        <w:trPr>
          <w:trHeight w:val="196"/>
        </w:trPr>
        <w:tc>
          <w:tcPr>
            <w:tcW w:w="3380" w:type="dxa"/>
            <w:vAlign w:val="bottom"/>
          </w:tcPr>
          <w:p>
            <w:pPr>
              <w:ind w:left="220"/>
              <w:spacing w:after="0" w:line="196" w:lineRule="exact"/>
              <w:rPr>
                <w:sz w:val="20"/>
                <w:szCs w:val="20"/>
                <w:color w:val="auto"/>
              </w:rPr>
            </w:pPr>
            <w:r>
              <w:rPr>
                <w:rFonts w:ascii="Arial" w:cs="Arial" w:eastAsia="Arial" w:hAnsi="Arial"/>
                <w:sz w:val="18"/>
                <w:szCs w:val="18"/>
                <w:color w:val="auto"/>
              </w:rPr>
              <w:t>Segment revenues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156,786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85,572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50,618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17,081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310,057</w:t>
            </w:r>
          </w:p>
        </w:tc>
      </w:tr>
      <w:tr>
        <w:trPr>
          <w:trHeight w:val="203"/>
        </w:trPr>
        <w:tc>
          <w:tcPr>
            <w:tcW w:w="3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Elimination of intersegment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(7,769)</w:t>
            </w:r>
          </w:p>
        </w:tc>
      </w:tr>
      <w:tr>
        <w:trPr>
          <w:trHeight w:val="236"/>
        </w:trPr>
        <w:tc>
          <w:tcPr>
            <w:tcW w:w="338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Total consolidated net revenues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302,288</w:t>
            </w:r>
          </w:p>
        </w:tc>
      </w:tr>
      <w:tr>
        <w:trPr>
          <w:trHeight w:val="183"/>
        </w:trPr>
        <w:tc>
          <w:tcPr>
            <w:tcW w:w="3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3"/>
        </w:trPr>
        <w:tc>
          <w:tcPr>
            <w:tcW w:w="3380" w:type="dxa"/>
            <w:vAlign w:val="bottom"/>
          </w:tcPr>
          <w:p>
            <w:pPr>
              <w:ind w:left="12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Direct cost of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(165,154)</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(62,573)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(46,460)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(12,173)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3380" w:type="dxa"/>
            <w:vAlign w:val="bottom"/>
          </w:tcPr>
          <w:p>
            <w:pPr>
              <w:ind w:left="220"/>
              <w:spacing w:after="0" w:line="202" w:lineRule="exact"/>
              <w:rPr>
                <w:sz w:val="20"/>
                <w:szCs w:val="20"/>
                <w:color w:val="auto"/>
              </w:rPr>
            </w:pPr>
            <w:r>
              <w:rPr>
                <w:rFonts w:ascii="Arial" w:cs="Arial" w:eastAsia="Arial" w:hAnsi="Arial"/>
                <w:sz w:val="18"/>
                <w:szCs w:val="18"/>
                <w:color w:val="auto"/>
              </w:rPr>
              <w:t>Operations support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(3,938)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(1,345)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(2,664)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4"/>
        </w:trPr>
        <w:tc>
          <w:tcPr>
            <w:tcW w:w="33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1"/>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96"/>
        </w:trPr>
        <w:tc>
          <w:tcPr>
            <w:tcW w:w="3380" w:type="dxa"/>
            <w:vAlign w:val="bottom"/>
          </w:tcPr>
          <w:p>
            <w:pPr>
              <w:ind w:left="340"/>
              <w:spacing w:after="0" w:line="196" w:lineRule="exact"/>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(16,430)</w:t>
            </w:r>
          </w:p>
        </w:tc>
        <w:tc>
          <w:tcPr>
            <w:tcW w:w="200" w:type="dxa"/>
            <w:vAlign w:val="bottom"/>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19,044</w:t>
            </w:r>
          </w:p>
        </w:tc>
        <w:tc>
          <w:tcPr>
            <w:tcW w:w="20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(357)</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4,425</w:t>
            </w:r>
          </w:p>
        </w:tc>
        <w:tc>
          <w:tcPr>
            <w:tcW w:w="4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6,682</w:t>
            </w:r>
          </w:p>
        </w:tc>
      </w:tr>
      <w:tr>
        <w:trPr>
          <w:trHeight w:val="20"/>
        </w:trPr>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835"/>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20</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30"/>
        </w:trPr>
        <w:tc>
          <w:tcPr>
            <w:tcW w:w="3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Production</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Intervention</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Robotics</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Facilities</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217,761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70,901</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50,735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25,400</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364,797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10,348</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217,761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81,249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50,841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25,400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375,251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(10,454)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tcBorders>
              <w:bottom w:val="single" w:sz="8" w:color="CCEEFF"/>
            </w:tcBorders>
            <w:gridSpan w:val="3"/>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364,797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(180,529)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(49,111)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(45,909)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(15,384)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(1,250)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gridSpan w:val="3"/>
            <w:shd w:val="clear" w:color="auto" w:fill="CCEEFF"/>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20"/>
                <w:szCs w:val="20"/>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29,299</w:t>
            </w:r>
          </w:p>
        </w:tc>
        <w:tc>
          <w:tcPr>
            <w:tcW w:w="200" w:type="dxa"/>
            <w:vAlign w:val="bottom"/>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28,400</w:t>
            </w:r>
          </w:p>
        </w:tc>
        <w:tc>
          <w:tcPr>
            <w:tcW w:w="200" w:type="dxa"/>
            <w:vAlign w:val="bottom"/>
          </w:tcPr>
          <w:p>
            <w:pPr>
              <w:spacing w:after="0"/>
              <w:rPr>
                <w:sz w:val="20"/>
                <w:szCs w:val="20"/>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(281)</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9,097</w:t>
            </w:r>
          </w:p>
        </w:tc>
        <w:tc>
          <w:tcPr>
            <w:tcW w:w="4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66,515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Six months ended June 30, 2025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355,160</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120,902</w:t>
            </w:r>
          </w:p>
        </w:tc>
        <w:tc>
          <w:tcPr>
            <w:tcW w:w="5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67,372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36,918</w:t>
            </w:r>
          </w:p>
        </w:tc>
        <w:tc>
          <w:tcPr>
            <w:tcW w:w="4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bottom w:val="single" w:sz="8" w:color="CCEEFF"/>
            </w:tcBorders>
            <w:gridSpan w:val="3"/>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15,712</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355,160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136,614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67,436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596,128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bottom w:val="single" w:sz="8" w:color="CCEEFF"/>
            </w:tcBorders>
            <w:gridSpan w:val="3"/>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bottom w:val="single" w:sz="8" w:color="CCEEFF"/>
            </w:tcBorders>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580,352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(335,187)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(104,208)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(71,999)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(24,437)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gridSpan w:val="3"/>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Segment operating income (loss)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24,391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11,369</w:t>
            </w:r>
          </w:p>
        </w:tc>
        <w:tc>
          <w:tcPr>
            <w:tcW w:w="4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Six months ended June 30, 2024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422,968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110,982</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77,506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49,552</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661,008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6,093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20,576</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26,857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429,061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131,558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77,694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49,552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687,865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(26,857)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tcBorders>
              <w:bottom w:val="single" w:sz="8" w:color="CCEEFF"/>
            </w:tcBorders>
            <w:gridSpan w:val="3"/>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661,008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(364,722)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(89,824)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(79,133)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(40,699)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(7,580)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(2,663)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(6,670)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gridSpan w:val="3"/>
            <w:shd w:val="clear" w:color="auto" w:fill="CCEEFF"/>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bottom w:val="single" w:sz="8" w:color="CCEEFF"/>
            </w:tcBorders>
            <w:gridSpan w:val="3"/>
          </w:tcPr>
          <w:p>
            <w:pPr>
              <w:ind w:left="200"/>
              <w:spacing w:after="0" w:line="202"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3"/>
                <w:szCs w:val="23"/>
                <w:color w:val="auto"/>
                <w:vertAlign w:val="superscript"/>
              </w:rPr>
              <w:t>(3)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Segment operating income (loss)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47,978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33,850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(12,709)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7,554</w:t>
            </w:r>
          </w:p>
        </w:tc>
        <w:tc>
          <w:tcPr>
            <w:tcW w:w="4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60" w:hanging="652"/>
        <w:spacing w:after="0" w:line="25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Intersegment amounts are derived primarily from equipment and services provided to other business segments. Beginning with the full-year 2024, certain intersegment revenues of Well Intervention are no longer evaluated by the CODM in his assessment of the segment’s results as those revenues are pass-through amounts related to non-core services. Accordingly, for the three- and six-month periods ended June 30, 2024, $6.9 million and $12.1 million, respectively, have been removed from Well Intervention segment revenues and related intersegment eliminations. This change has no impact on our segment profit or our consolidated revenues and operating income (loss).</w:t>
      </w:r>
    </w:p>
    <w:p>
      <w:pPr>
        <w:spacing w:after="0" w:line="57" w:lineRule="exact"/>
        <w:rPr>
          <w:rFonts w:ascii="Arial" w:cs="Arial" w:eastAsia="Arial" w:hAnsi="Arial"/>
          <w:sz w:val="17"/>
          <w:szCs w:val="17"/>
          <w:color w:val="auto"/>
        </w:rPr>
      </w:pPr>
    </w:p>
    <w:p>
      <w:pPr>
        <w:ind w:left="660" w:right="180" w:hanging="652"/>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expense categories and amounts align with the segment-level information that is regularly provided to the CODM. Intersegment expenses are included within the amounts shown.</w:t>
      </w:r>
    </w:p>
    <w:p>
      <w:pPr>
        <w:spacing w:after="0" w:line="4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segment items relate to gain (loss) on disposition of assets, net.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reconciliation of segment profit to income (loss) before income taxes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of segment profit —</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5100" w:type="dxa"/>
            <w:vAlign w:val="bottom"/>
          </w:tcPr>
          <w:p>
            <w:pPr>
              <w:ind w:left="120"/>
              <w:spacing w:after="0" w:line="202" w:lineRule="exact"/>
              <w:rPr>
                <w:sz w:val="20"/>
                <w:szCs w:val="20"/>
                <w:color w:val="auto"/>
              </w:rPr>
            </w:pPr>
            <w:r>
              <w:rPr>
                <w:rFonts w:ascii="Arial" w:cs="Arial" w:eastAsia="Arial" w:hAnsi="Arial"/>
                <w:sz w:val="18"/>
                <w:szCs w:val="18"/>
                <w:color w:val="auto"/>
              </w:rPr>
              <w:t>Segment operating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6,682</w:t>
            </w:r>
          </w:p>
        </w:tc>
        <w:tc>
          <w:tcPr>
            <w:tcW w:w="100" w:type="dxa"/>
            <w:vAlign w:val="bottom"/>
          </w:tcPr>
          <w:p>
            <w:pPr>
              <w:spacing w:after="0"/>
              <w:rPr>
                <w:sz w:val="17"/>
                <w:szCs w:val="17"/>
                <w:color w:val="auto"/>
              </w:rPr>
            </w:pP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66,515</w:t>
            </w:r>
          </w:p>
        </w:tc>
        <w:tc>
          <w:tcPr>
            <w:tcW w:w="80" w:type="dxa"/>
            <w:vAlign w:val="bottom"/>
          </w:tcPr>
          <w:p>
            <w:pPr>
              <w:spacing w:after="0"/>
              <w:rPr>
                <w:sz w:val="17"/>
                <w:szCs w:val="17"/>
                <w:color w:val="auto"/>
              </w:rPr>
            </w:pP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25,502</w:t>
            </w:r>
          </w:p>
        </w:tc>
        <w:tc>
          <w:tcPr>
            <w:tcW w:w="100" w:type="dxa"/>
            <w:vAlign w:val="bottom"/>
          </w:tcPr>
          <w:p>
            <w:pPr>
              <w:spacing w:after="0"/>
              <w:rPr>
                <w:sz w:val="17"/>
                <w:szCs w:val="17"/>
                <w:color w:val="auto"/>
              </w:rPr>
            </w:pP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76,673</w:t>
            </w:r>
          </w:p>
        </w:tc>
      </w:tr>
      <w:tr>
        <w:trPr>
          <w:trHeight w:val="203"/>
        </w:trPr>
        <w:tc>
          <w:tcPr>
            <w:tcW w:w="5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Corporate, eliminations and other</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(13,322)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(20,482)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(24,756)</w:t>
            </w:r>
          </w:p>
        </w:tc>
      </w:tr>
      <w:tr>
        <w:trPr>
          <w:trHeight w:val="203"/>
        </w:trPr>
        <w:tc>
          <w:tcPr>
            <w:tcW w:w="5100" w:type="dxa"/>
            <w:vAlign w:val="bottom"/>
          </w:tcPr>
          <w:p>
            <w:pPr>
              <w:ind w:left="120"/>
              <w:spacing w:after="0" w:line="202" w:lineRule="exact"/>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(11,368)</w:t>
            </w:r>
          </w:p>
        </w:tc>
      </w:tr>
      <w:tr>
        <w:trPr>
          <w:trHeight w:val="203"/>
        </w:trPr>
        <w:tc>
          <w:tcPr>
            <w:tcW w:w="5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(20,922)</w:t>
            </w:r>
          </w:p>
        </w:tc>
      </w:tr>
      <w:tr>
        <w:trPr>
          <w:trHeight w:val="203"/>
        </w:trPr>
        <w:tc>
          <w:tcPr>
            <w:tcW w:w="5100" w:type="dxa"/>
            <w:vAlign w:val="bottom"/>
          </w:tcPr>
          <w:p>
            <w:pPr>
              <w:ind w:left="120"/>
              <w:spacing w:after="0" w:line="202" w:lineRule="exact"/>
              <w:rPr>
                <w:sz w:val="20"/>
                <w:szCs w:val="20"/>
                <w:color w:val="auto"/>
              </w:rPr>
            </w:pPr>
            <w:r>
              <w:rPr>
                <w:rFonts w:ascii="Arial" w:cs="Arial" w:eastAsia="Arial" w:hAnsi="Arial"/>
                <w:sz w:val="18"/>
                <w:szCs w:val="18"/>
                <w:color w:val="auto"/>
              </w:rPr>
              <w:t>Other non-operating expense, net</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(598)</w:t>
            </w:r>
          </w:p>
        </w:tc>
      </w:tr>
      <w:tr>
        <w:trPr>
          <w:trHeight w:val="196"/>
        </w:trPr>
        <w:tc>
          <w:tcPr>
            <w:tcW w:w="510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Income (loss) before income taxes</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19,029</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items are also regularly provided to the CODM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195"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1,391</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4,359</w:t>
            </w:r>
          </w:p>
        </w:tc>
        <w:tc>
          <w:tcPr>
            <w:tcW w:w="5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1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307</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4,470</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3,989</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8,958</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33,387</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30,523</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63,978</w:t>
            </w:r>
          </w:p>
        </w:tc>
        <w:tc>
          <w:tcPr>
            <w:tcW w:w="5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61,832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5,901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5,557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11,579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Corporate and eliminations</w:t>
            </w:r>
          </w:p>
        </w:tc>
        <w:tc>
          <w:tcPr>
            <w:tcW w:w="1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45,389</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43,471</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87,871</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60" w:hanging="652"/>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 cash paid principally for the acquisition, construction, upgrade, modification and refurbishment of long-lived property and equipment.</w:t>
      </w:r>
    </w:p>
    <w:p>
      <w:pPr>
        <w:spacing w:after="0" w:line="45" w:lineRule="exact"/>
        <w:rPr>
          <w:rFonts w:ascii="Arial" w:cs="Arial" w:eastAsia="Arial" w:hAnsi="Arial"/>
          <w:sz w:val="18"/>
          <w:szCs w:val="18"/>
          <w:color w:val="auto"/>
        </w:rPr>
      </w:pPr>
    </w:p>
    <w:p>
      <w:pPr>
        <w:ind w:left="660" w:right="80" w:hanging="652"/>
        <w:spacing w:after="0" w:line="24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aggregate of depreciation and amortization expense related to property and equipment and deferred recertification and dry dock costs, which is included within the segment expense captions “Direct cost of revenues” and “Selling, general and administrative expenses” as well as the line item caption “Corporate, eliminations and other” presented above.</w:t>
      </w:r>
    </w:p>
    <w:p>
      <w:pPr>
        <w:spacing w:after="0" w:line="160"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We have not included a disclosure of total assets by segment as management’s focus is on operating performance and cash flow generation and the CODM does not regularly review segment asset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 Retirement Obligations</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asset retirement obligations (“AROs”) relate to mature offshore oil and gas properties (Droshky and Thunder Hawk Field) that we acquired with the intention to perform decommissioning work at the end of their life cycles. The following table describes the changes in our AROs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4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35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62,947</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61,356</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Accretion expense</w:t>
            </w:r>
          </w:p>
        </w:tc>
        <w:tc>
          <w:tcPr>
            <w:tcW w:w="3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2,847</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AROs at June 30,</w:t>
            </w:r>
          </w:p>
        </w:tc>
        <w:tc>
          <w:tcPr>
            <w:tcW w:w="3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65,794</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64,150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560" w:type="dxa"/>
            <w:vAlign w:val="bottom"/>
            <w:vMerge w:val="restart"/>
          </w:tcPr>
          <w:p>
            <w:pPr>
              <w:jc w:val="right"/>
              <w:ind w:right="1650"/>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32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 and Other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Well Intervention segment has long-term charter agreements with Sea1 Offshore (formerly Siem Offshore)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whose terms expire in December 2030 and December 2031, respectively. Our</w:t>
      </w:r>
    </w:p>
    <w:p>
      <w:pPr>
        <w:spacing w:after="0" w:line="234" w:lineRule="auto"/>
        <w:rPr>
          <w:sz w:val="20"/>
          <w:szCs w:val="20"/>
          <w:color w:val="auto"/>
        </w:rPr>
      </w:pPr>
      <w:r>
        <w:rPr>
          <w:rFonts w:ascii="Arial" w:cs="Arial" w:eastAsia="Arial" w:hAnsi="Arial"/>
          <w:sz w:val="18"/>
          <w:szCs w:val="18"/>
          <w:color w:val="auto"/>
        </w:rPr>
        <w:t xml:space="preserve">Robotics segment has long-term vessel charters for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the </w:t>
      </w:r>
      <w:r>
        <w:rPr>
          <w:rFonts w:ascii="Arial" w:cs="Arial" w:eastAsia="Arial" w:hAnsi="Arial"/>
          <w:sz w:val="18"/>
          <w:szCs w:val="18"/>
          <w:i w:val="1"/>
          <w:iCs w:val="1"/>
          <w:color w:val="auto"/>
        </w:rPr>
        <w:t>Shelia Bordelon</w:t>
      </w:r>
      <w:r>
        <w:rPr>
          <w:rFonts w:ascii="Arial" w:cs="Arial" w:eastAsia="Arial" w:hAnsi="Arial"/>
          <w:sz w:val="18"/>
          <w:szCs w:val="18"/>
          <w:color w:val="auto"/>
        </w:rPr>
        <w:t>, the</w:t>
      </w:r>
    </w:p>
    <w:p>
      <w:pPr>
        <w:spacing w:after="0" w:line="235" w:lineRule="auto"/>
        <w:rPr>
          <w:sz w:val="20"/>
          <w:szCs w:val="20"/>
          <w:color w:val="auto"/>
        </w:rPr>
      </w:pPr>
      <w:r>
        <w:rPr>
          <w:rFonts w:ascii="Arial" w:cs="Arial" w:eastAsia="Arial" w:hAnsi="Arial"/>
          <w:sz w:val="18"/>
          <w:szCs w:val="18"/>
          <w:i w:val="1"/>
          <w:iCs w:val="1"/>
          <w:color w:val="auto"/>
        </w:rPr>
        <w:t xml:space="preserve">North Sea Enabler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Glomar Wave</w:t>
      </w:r>
      <w:r>
        <w:rPr>
          <w:rFonts w:ascii="Arial" w:cs="Arial" w:eastAsia="Arial" w:hAnsi="Arial"/>
          <w:sz w:val="18"/>
          <w:szCs w:val="18"/>
          <w:color w:val="auto"/>
        </w:rPr>
        <w:t>, which charter terms expire in December 2030, May 2028, June 2026,</w:t>
      </w:r>
    </w:p>
    <w:p>
      <w:pPr>
        <w:spacing w:after="0" w:line="235" w:lineRule="auto"/>
        <w:rPr>
          <w:sz w:val="20"/>
          <w:szCs w:val="20"/>
          <w:color w:val="auto"/>
        </w:rPr>
      </w:pPr>
      <w:r>
        <w:rPr>
          <w:rFonts w:ascii="Arial" w:cs="Arial" w:eastAsia="Arial" w:hAnsi="Arial"/>
          <w:sz w:val="18"/>
          <w:szCs w:val="18"/>
          <w:color w:val="auto"/>
        </w:rPr>
        <w:t xml:space="preserve">December 2025 and December 2025, respectively. In February 2025, our Robotics segment took delivery of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with a</w:t>
      </w:r>
    </w:p>
    <w:p>
      <w:pPr>
        <w:spacing w:after="0"/>
        <w:rPr>
          <w:sz w:val="20"/>
          <w:szCs w:val="20"/>
          <w:color w:val="auto"/>
        </w:rPr>
      </w:pPr>
      <w:r>
        <w:rPr>
          <w:rFonts w:ascii="Arial" w:cs="Arial" w:eastAsia="Arial" w:hAnsi="Arial"/>
          <w:sz w:val="18"/>
          <w:szCs w:val="18"/>
          <w:color w:val="auto"/>
        </w:rPr>
        <w:t xml:space="preserve">three-year charter that expires in February 2028. On April 1, 2025, we extended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charter by one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10"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spacing w:after="0" w:line="16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are involved in various legal proceedings in the normal course of business, including claims under the General Maritime Laws of the United States and the Merchant Marine Act of 1920 (commonly referred to as the Jones Act), contract-related disputes, employee-related disputes and legacy issues related to Alliance. We recognize losses for lawsuits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covered by insurance, will have a material adverse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Statement of Cash Flow Information</w:t>
      </w:r>
    </w:p>
    <w:p>
      <w:pPr>
        <w:spacing w:after="0" w:line="212"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We define cash and cash equivalents as cash and all highly liquid financial instruments with original maturities of three months or less. The following table provides supplemental cash flow information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ind w:left="48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color w:val="auto"/>
              </w:rPr>
              <w:t>15,442</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9,762</w:t>
            </w:r>
          </w:p>
        </w:tc>
      </w:tr>
      <w:tr>
        <w:trPr>
          <w:trHeight w:val="359"/>
        </w:trPr>
        <w:tc>
          <w:tcPr>
            <w:tcW w:w="6800" w:type="dxa"/>
            <w:vAlign w:val="bottom"/>
          </w:tcPr>
          <w:p>
            <w:pPr>
              <w:spacing w:after="0"/>
              <w:rPr>
                <w:sz w:val="20"/>
                <w:szCs w:val="20"/>
                <w:color w:val="auto"/>
              </w:rPr>
            </w:pPr>
            <w:r>
              <w:rPr>
                <w:rFonts w:ascii="Arial" w:cs="Arial" w:eastAsia="Arial" w:hAnsi="Arial"/>
                <w:sz w:val="18"/>
                <w:szCs w:val="18"/>
                <w:color w:val="auto"/>
              </w:rPr>
              <w:t xml:space="preserve">Income taxes paid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21,208</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Exclusive of any income tax refunds.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non-cash capital additions were $0.4 million at June 30, 2025 and $0.1 million at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Allowance for Credit Losses</w:t>
      </w:r>
    </w:p>
    <w:p>
      <w:pPr>
        <w:spacing w:after="0" w:line="212" w:lineRule="exact"/>
        <w:rPr>
          <w:sz w:val="20"/>
          <w:szCs w:val="20"/>
          <w:color w:val="auto"/>
        </w:rPr>
      </w:pPr>
    </w:p>
    <w:p>
      <w:pPr>
        <w:jc w:val="both"/>
        <w:ind w:right="240" w:firstLine="648"/>
        <w:spacing w:after="0" w:line="247" w:lineRule="auto"/>
        <w:rPr>
          <w:sz w:val="20"/>
          <w:szCs w:val="20"/>
          <w:color w:val="auto"/>
        </w:rPr>
      </w:pPr>
      <w:r>
        <w:rPr>
          <w:rFonts w:ascii="Arial" w:cs="Arial" w:eastAsia="Arial" w:hAnsi="Arial"/>
          <w:sz w:val="18"/>
          <w:szCs w:val="18"/>
          <w:color w:val="auto"/>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The following table sets forth the activity in our allowance for credit losses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3,682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3,407</w:t>
            </w:r>
          </w:p>
        </w:tc>
      </w:tr>
      <w:tr>
        <w:trPr>
          <w:trHeight w:val="203"/>
        </w:trPr>
        <w:tc>
          <w:tcPr>
            <w:tcW w:w="2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3"/>
                <w:szCs w:val="23"/>
                <w:color w:val="auto"/>
                <w:vertAlign w:val="superscript"/>
              </w:rPr>
              <w:t>(1)</w:t>
            </w:r>
          </w:p>
        </w:tc>
        <w:tc>
          <w:tcPr>
            <w:tcW w:w="4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w:t>
            </w:r>
          </w:p>
        </w:tc>
      </w:tr>
      <w:tr>
        <w:trPr>
          <w:trHeight w:val="196"/>
        </w:trPr>
        <w:tc>
          <w:tcPr>
            <w:tcW w:w="2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June 30,</w:t>
            </w:r>
          </w:p>
        </w:tc>
        <w:tc>
          <w:tcPr>
            <w:tcW w:w="4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3,795</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3,836</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7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reflect reserves for expected credit losses during the respective periods.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860"/>
        <w:spacing w:after="0"/>
        <w:rPr>
          <w:rFonts w:ascii="Arial" w:cs="Arial" w:eastAsia="Arial" w:hAnsi="Arial"/>
          <w:sz w:val="18"/>
          <w:szCs w:val="18"/>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5"/>
          </w:tcPr>
          <w:p>
            <w:pPr>
              <w:ind w:left="600"/>
              <w:spacing w:after="0"/>
              <w:rPr>
                <w:sz w:val="20"/>
                <w:szCs w:val="20"/>
                <w:color w:val="auto"/>
              </w:rPr>
            </w:pPr>
            <w:r>
              <w:rPr>
                <w:rFonts w:ascii="Arial" w:cs="Arial" w:eastAsia="Arial" w:hAnsi="Arial"/>
                <w:sz w:val="18"/>
                <w:szCs w:val="18"/>
                <w:b w:val="1"/>
                <w:bCs w:val="1"/>
                <w:color w:val="auto"/>
              </w:rPr>
              <w:t>June 30, 2025</w:t>
            </w:r>
          </w:p>
        </w:tc>
        <w:tc>
          <w:tcPr>
            <w:tcW w:w="120" w:type="dxa"/>
            <w:vAlign w:val="bottom"/>
          </w:tcPr>
          <w:p>
            <w:pPr>
              <w:spacing w:after="0"/>
              <w:rPr>
                <w:sz w:val="19"/>
                <w:szCs w:val="19"/>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 2024</w:t>
            </w:r>
          </w:p>
        </w:tc>
      </w:tr>
      <w:tr>
        <w:trPr>
          <w:trHeight w:val="168"/>
        </w:trPr>
        <w:tc>
          <w:tcPr>
            <w:tcW w:w="2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30"/>
              <w:spacing w:after="0" w:line="168" w:lineRule="exact"/>
              <w:rPr>
                <w:sz w:val="20"/>
                <w:szCs w:val="20"/>
                <w:color w:val="auto"/>
              </w:rPr>
            </w:pPr>
            <w:r>
              <w:rPr>
                <w:rFonts w:ascii="Arial" w:cs="Arial" w:eastAsia="Arial" w:hAnsi="Arial"/>
                <w:sz w:val="18"/>
                <w:szCs w:val="18"/>
                <w:b w:val="1"/>
                <w:bCs w:val="1"/>
                <w:color w:val="auto"/>
              </w:rPr>
              <w:t>Principal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10"/>
              <w:spacing w:after="0" w:line="16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50"/>
              <w:spacing w:after="0" w:line="168" w:lineRule="exact"/>
              <w:rPr>
                <w:sz w:val="20"/>
                <w:szCs w:val="20"/>
                <w:color w:val="auto"/>
              </w:rPr>
            </w:pPr>
            <w:r>
              <w:rPr>
                <w:rFonts w:ascii="Arial" w:cs="Arial" w:eastAsia="Arial" w:hAnsi="Arial"/>
                <w:sz w:val="18"/>
                <w:szCs w:val="18"/>
                <w:b w:val="1"/>
                <w:bCs w:val="1"/>
                <w:color w:val="auto"/>
              </w:rPr>
              <w:t>Principal</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0"/>
              <w:spacing w:after="0" w:line="168" w:lineRule="exact"/>
              <w:rPr>
                <w:sz w:val="20"/>
                <w:szCs w:val="20"/>
                <w:color w:val="auto"/>
              </w:rPr>
            </w:pPr>
            <w:r>
              <w:rPr>
                <w:rFonts w:ascii="Arial" w:cs="Arial" w:eastAsia="Arial" w:hAnsi="Arial"/>
                <w:sz w:val="18"/>
                <w:szCs w:val="18"/>
                <w:b w:val="1"/>
                <w:bCs w:val="1"/>
                <w:color w:val="auto"/>
              </w:rPr>
              <w:t>Fair</w:t>
            </w:r>
          </w:p>
        </w:tc>
      </w:tr>
      <w:tr>
        <w:trPr>
          <w:trHeight w:val="231"/>
        </w:trPr>
        <w:tc>
          <w:tcPr>
            <w:tcW w:w="2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line="231"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6"/>
                <w:szCs w:val="26"/>
                <w:b w:val="1"/>
                <w:bCs w:val="1"/>
                <w:color w:val="auto"/>
                <w:w w:val="91"/>
                <w:vertAlign w:val="superscript"/>
              </w:rPr>
              <w:t>(2)</w:t>
            </w:r>
          </w:p>
        </w:tc>
        <w:tc>
          <w:tcPr>
            <w:tcW w:w="120" w:type="dxa"/>
            <w:vAlign w:val="bottom"/>
          </w:tcPr>
          <w:p>
            <w:pPr>
              <w:spacing w:after="0"/>
              <w:rPr>
                <w:sz w:val="20"/>
                <w:szCs w:val="20"/>
                <w:color w:val="auto"/>
              </w:rPr>
            </w:pPr>
          </w:p>
        </w:tc>
        <w:tc>
          <w:tcPr>
            <w:tcW w:w="110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7"/>
              </w:rPr>
              <w:t xml:space="preserve">Amount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0"/>
              <w:spacing w:after="0" w:line="23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r>
      <w:tr>
        <w:trPr>
          <w:trHeight w:val="196"/>
        </w:trPr>
        <w:tc>
          <w:tcPr>
            <w:tcW w:w="4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MARAD Debt (matures February 2027)</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19,294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19,244</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23,831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23,505</w:t>
            </w:r>
          </w:p>
        </w:tc>
      </w:tr>
      <w:tr>
        <w:trPr>
          <w:trHeight w:val="203"/>
        </w:trPr>
        <w:tc>
          <w:tcPr>
            <w:tcW w:w="43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2029 Notes (mature March 2029)</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317,250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319,500</w:t>
            </w:r>
          </w:p>
        </w:tc>
      </w:tr>
      <w:tr>
        <w:trPr>
          <w:trHeight w:val="196"/>
        </w:trPr>
        <w:tc>
          <w:tcPr>
            <w:tcW w:w="436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319,294</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336,494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323,831</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343,005</w:t>
            </w:r>
          </w:p>
        </w:tc>
      </w:tr>
      <w:tr>
        <w:trPr>
          <w:trHeight w:val="20"/>
        </w:trPr>
        <w:tc>
          <w:tcPr>
            <w:tcW w:w="2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76" w:lineRule="exact"/>
        <w:rPr>
          <w:sz w:val="20"/>
          <w:szCs w:val="20"/>
          <w:color w:val="auto"/>
        </w:rPr>
      </w:pPr>
    </w:p>
    <w:p>
      <w:pPr>
        <w:ind w:left="660" w:right="60" w:hanging="652"/>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discount and debt issuance costs. See Note 5 for additional disclosures on our long-term debt.</w:t>
      </w:r>
    </w:p>
    <w:p>
      <w:pPr>
        <w:spacing w:after="0" w:line="45" w:lineRule="exact"/>
        <w:rPr>
          <w:rFonts w:ascii="Arial" w:cs="Arial" w:eastAsia="Arial" w:hAnsi="Arial"/>
          <w:sz w:val="18"/>
          <w:szCs w:val="18"/>
          <w:color w:val="auto"/>
        </w:rPr>
      </w:pPr>
    </w:p>
    <w:p>
      <w:pPr>
        <w:ind w:left="660" w:right="460" w:hanging="652"/>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estimated fair value was determined using Level 2 fair value inputs under the market approach, which was determined using quotes in inactive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ASSUMPTIONS</w:t>
      </w:r>
    </w:p>
    <w:p>
      <w:pPr>
        <w:spacing w:after="0" w:line="21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180" w:lineRule="exact"/>
        <w:rPr>
          <w:sz w:val="20"/>
          <w:szCs w:val="20"/>
          <w:color w:val="auto"/>
        </w:rPr>
      </w:pPr>
    </w:p>
    <w:p>
      <w:pPr>
        <w:ind w:left="680" w:right="720" w:hanging="321"/>
        <w:spacing w:after="0" w:line="24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Times New Roman" w:cs="Times New Roman" w:eastAsia="Times New Roman" w:hAnsi="Times New Roman"/>
          <w:sz w:val="18"/>
          <w:szCs w:val="18"/>
          <w:color w:val="auto"/>
        </w:rPr>
      </w:pPr>
    </w:p>
    <w:p>
      <w:pPr>
        <w:ind w:left="680" w:right="2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projections of revenues, gross margins, expenses, earnings or losses, capital spending, share repurchases, working capital, debt and liquidity, cash flows, future operations expenditures or other financial items;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backlog and commercial contracts and rates thereunder;</w:t>
      </w:r>
    </w:p>
    <w:p>
      <w:pPr>
        <w:spacing w:after="0" w:line="8" w:lineRule="exact"/>
        <w:rPr>
          <w:rFonts w:ascii="Times New Roman" w:cs="Times New Roman" w:eastAsia="Times New Roman" w:hAnsi="Times New Roman"/>
          <w:sz w:val="18"/>
          <w:szCs w:val="18"/>
          <w:color w:val="auto"/>
        </w:rPr>
      </w:pPr>
    </w:p>
    <w:p>
      <w:pPr>
        <w:ind w:left="680" w:right="46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enter into, renew and/or perform commercial contracts, including the scope, timing and outcome of those contracts;</w:t>
      </w:r>
    </w:p>
    <w:p>
      <w:pPr>
        <w:jc w:val="both"/>
        <w:ind w:left="680" w:right="36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p>
      <w:pPr>
        <w:spacing w:after="0" w:line="1" w:lineRule="exact"/>
        <w:rPr>
          <w:rFonts w:ascii="Times New Roman" w:cs="Times New Roman" w:eastAsia="Times New Roman" w:hAnsi="Times New Roman"/>
          <w:sz w:val="18"/>
          <w:szCs w:val="18"/>
          <w:color w:val="auto"/>
        </w:rPr>
      </w:pPr>
    </w:p>
    <w:p>
      <w:pPr>
        <w:ind w:left="680" w:right="26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energy transition and energy security;</w:t>
      </w:r>
    </w:p>
    <w:p>
      <w:pPr>
        <w:spacing w:after="0" w:line="8" w:lineRule="exact"/>
        <w:rPr>
          <w:rFonts w:ascii="Times New Roman" w:cs="Times New Roman" w:eastAsia="Times New Roman" w:hAnsi="Times New Roman"/>
          <w:sz w:val="18"/>
          <w:szCs w:val="18"/>
          <w:color w:val="auto"/>
        </w:rPr>
      </w:pPr>
    </w:p>
    <w:p>
      <w:pPr>
        <w:ind w:left="680" w:right="70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identify, effect and integrate mergers, acquisitions, joint ventures or other transactions and any subsequently identified legacy issues with respect thereto;</w:t>
      </w:r>
    </w:p>
    <w:p>
      <w:pPr>
        <w:ind w:left="680" w:right="560" w:hanging="321"/>
        <w:spacing w:after="0" w:line="248" w:lineRule="auto"/>
        <w:tabs>
          <w:tab w:leader="none" w:pos="68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statements regarding the acquisition, construction, completion, upgrades to or maintenance and/or regulatory certification of vessels, systems or equipment and any anticipated costs or downtime related thereto;</w:t>
      </w:r>
    </w:p>
    <w:p>
      <w:pPr>
        <w:ind w:left="680" w:right="30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trade receivables and their collectability;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80" w:right="340" w:hanging="321"/>
        <w:spacing w:after="0" w:line="24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spacing w:after="0" w:line="1" w:lineRule="exact"/>
        <w:rPr>
          <w:rFonts w:ascii="Times New Roman" w:cs="Times New Roman" w:eastAsia="Times New Roman" w:hAnsi="Times New Roman"/>
          <w:sz w:val="18"/>
          <w:szCs w:val="18"/>
          <w:color w:val="auto"/>
        </w:rPr>
      </w:pPr>
    </w:p>
    <w:p>
      <w:pPr>
        <w:ind w:left="680" w:right="2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sustainability initiatives and the successes thereon or regarding our environmental efforts, including with respect to greenhouse gas emissions;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8" w:lineRule="exact"/>
        <w:rPr>
          <w:rFonts w:ascii="Times New Roman" w:cs="Times New Roman" w:eastAsia="Times New Roman" w:hAnsi="Times New Roman"/>
          <w:sz w:val="18"/>
          <w:szCs w:val="18"/>
          <w:color w:val="auto"/>
        </w:rPr>
      </w:pPr>
    </w:p>
    <w:p>
      <w:pPr>
        <w:ind w:left="680" w:right="30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human capital management, including our ability to retain our senior management and other key employees;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share repurchase authorization or program;</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statements that relate to non-historical or future information.</w:t>
      </w:r>
    </w:p>
    <w:p>
      <w:pPr>
        <w:spacing w:after="0" w:line="2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169" w:lineRule="exact"/>
        <w:rPr>
          <w:sz w:val="20"/>
          <w:szCs w:val="20"/>
          <w:color w:val="auto"/>
        </w:rPr>
      </w:pPr>
    </w:p>
    <w:p>
      <w:pPr>
        <w:ind w:left="680" w:right="100" w:hanging="321"/>
        <w:spacing w:after="0" w:line="24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domestic and global economic and market conditions and the future impact of such conditions on the offshore energy industry and the demand for our services;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general impact of oil and natural gas price volatility and the cyclical nature of the oil and gas market;</w:t>
      </w:r>
    </w:p>
    <w:p>
      <w:pPr>
        <w:spacing w:after="0" w:line="8" w:lineRule="exact"/>
        <w:rPr>
          <w:rFonts w:ascii="Times New Roman" w:cs="Times New Roman" w:eastAsia="Times New Roman" w:hAnsi="Times New Roman"/>
          <w:sz w:val="18"/>
          <w:szCs w:val="18"/>
          <w:color w:val="auto"/>
        </w:rPr>
      </w:pPr>
    </w:p>
    <w:p>
      <w:pPr>
        <w:ind w:left="680" w:right="12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geopolitical and domestic policy changes, including tariffs, that may negatively affect oil and gas production and/or pricing or adversely impact offshore renewable energy projects, costs of materials, regulations surrounding safe offshore well intervention, regulations of decommissioning offshore oil and gas wells, and global trade, economic growth and stability;</w:t>
      </w:r>
    </w:p>
    <w:p>
      <w:pPr>
        <w:spacing w:after="0" w:line="1" w:lineRule="exact"/>
        <w:rPr>
          <w:rFonts w:ascii="Times New Roman" w:cs="Times New Roman" w:eastAsia="Times New Roman" w:hAnsi="Times New Roman"/>
          <w:sz w:val="18"/>
          <w:szCs w:val="18"/>
          <w:color w:val="auto"/>
        </w:rPr>
      </w:pPr>
    </w:p>
    <w:p>
      <w:pPr>
        <w:jc w:val="both"/>
        <w:ind w:left="680" w:right="20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the oil and gas market, our operations, international trade, or our ability to do business with certain parties or in certain regions, and any governmental sanctions resulting therefrom;</w:t>
      </w:r>
    </w:p>
    <w:p>
      <w:pPr>
        <w:spacing w:after="0" w:line="1" w:lineRule="exact"/>
        <w:rPr>
          <w:rFonts w:ascii="Times New Roman" w:cs="Times New Roman" w:eastAsia="Times New Roman" w:hAnsi="Times New Roman"/>
          <w:sz w:val="18"/>
          <w:szCs w:val="18"/>
          <w:color w:val="auto"/>
        </w:rPr>
      </w:pPr>
    </w:p>
    <w:p>
      <w:pPr>
        <w:ind w:left="680" w:right="8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and any amounts payable in connection therewith, or the determination not to pursue or effect such initiatives;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operating results of acquired properties and/or equipment;</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8" w:lineRule="exact"/>
        <w:rPr>
          <w:rFonts w:ascii="Times New Roman" w:cs="Times New Roman" w:eastAsia="Times New Roman" w:hAnsi="Times New Roman"/>
          <w:sz w:val="18"/>
          <w:szCs w:val="18"/>
          <w:color w:val="auto"/>
        </w:rPr>
      </w:pPr>
    </w:p>
    <w:p>
      <w:pPr>
        <w:ind w:left="680" w:right="14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ability to secure and realize backlog, including any potential cancellation, deferral or modification of our work or contracts by our customers;</w:t>
      </w: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8" w:lineRule="exact"/>
        <w:rPr>
          <w:rFonts w:ascii="Times New Roman" w:cs="Times New Roman" w:eastAsia="Times New Roman" w:hAnsi="Times New Roman"/>
          <w:sz w:val="18"/>
          <w:szCs w:val="18"/>
          <w:color w:val="auto"/>
        </w:rPr>
      </w:pPr>
    </w:p>
    <w:p>
      <w:pPr>
        <w:ind w:left="680" w:right="22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jc w:val="both"/>
        <w:ind w:left="680" w:right="28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fossil fuel production, decommissioning, and litigation and similar claims in which we may be involved;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contracts by customers, suppliers and other counterparties;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continuing efforts to control costs and improve performance;</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future operations expenditures, including the amount and nature thereof;</w:t>
      </w:r>
    </w:p>
    <w:p>
      <w:pPr>
        <w:spacing w:after="0" w:line="8" w:lineRule="exact"/>
        <w:rPr>
          <w:rFonts w:ascii="Times New Roman" w:cs="Times New Roman" w:eastAsia="Times New Roman" w:hAnsi="Times New Roman"/>
          <w:sz w:val="18"/>
          <w:szCs w:val="18"/>
          <w:color w:val="auto"/>
        </w:rPr>
      </w:pPr>
    </w:p>
    <w:p>
      <w:pPr>
        <w:ind w:left="68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and timing of our vessel and/or system upgrades, regulatory certification and inspection as well as major maintenance items;</w:t>
      </w:r>
    </w:p>
    <w:p>
      <w:pPr>
        <w:ind w:left="680" w:right="28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hazards, including unexpected delays in the delivery, chartering or customer acceptance, and terms of acceptance, of our assets;</w:t>
      </w: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8" w:lineRule="exact"/>
        <w:rPr>
          <w:rFonts w:ascii="Times New Roman" w:cs="Times New Roman" w:eastAsia="Times New Roman" w:hAnsi="Times New Roman"/>
          <w:sz w:val="18"/>
          <w:szCs w:val="18"/>
          <w:color w:val="auto"/>
        </w:rPr>
      </w:pPr>
    </w:p>
    <w:p>
      <w:pPr>
        <w:ind w:left="680" w:right="70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ind w:left="680" w:right="50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risk management activities and processes, including with respect to our cybersecurity initiatives and disclosures;</w:t>
      </w: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competition;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26" w:lineRule="exact"/>
        <w:rPr>
          <w:rFonts w:ascii="Times New Roman" w:cs="Times New Roman" w:eastAsia="Times New Roman" w:hAnsi="Times New Roman"/>
          <w:sz w:val="18"/>
          <w:szCs w:val="18"/>
          <w:color w:val="auto"/>
        </w:rPr>
      </w:pPr>
    </w:p>
    <w:p>
      <w:pPr>
        <w:ind w:left="680" w:right="90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ind w:left="680" w:right="48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stock price on our financing activities such as repurchases of our common stock under share repurchase programs;</w:t>
      </w: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sustainability initiatives and disclosures;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any future hedging activities;</w:t>
      </w:r>
    </w:p>
    <w:p>
      <w:pPr>
        <w:spacing w:after="0" w:line="8" w:lineRule="exact"/>
        <w:rPr>
          <w:rFonts w:ascii="Times New Roman" w:cs="Times New Roman" w:eastAsia="Times New Roman" w:hAnsi="Times New Roman"/>
          <w:sz w:val="18"/>
          <w:szCs w:val="18"/>
          <w:color w:val="auto"/>
        </w:rPr>
      </w:pPr>
    </w:p>
    <w:p>
      <w:pPr>
        <w:ind w:left="680" w:right="18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a negative event related to our human capital management, including a loss of one or more key employees;</w:t>
      </w: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general, market, industry or business conditions;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factors generally described in Item 1A. Risk Factors in our 2024 Form 10-K.</w:t>
      </w:r>
    </w:p>
    <w:p>
      <w:pPr>
        <w:spacing w:after="0" w:line="206"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Our actual results could also differ materially from those anticipated in any forward-looking statements as a result of a variety of factors, including those described in Item 7. “Management’s Discussion and Analysis of Financial Condition and Results of Operations” in our 2024 Form 10-K. Should one or more of the risks or uncertainties described in this Quarterly Report occur, or should underlying assumptions prove incorrect, our actual results and plans could differ materially from those expressed in any forward-looking statements.</w:t>
      </w:r>
    </w:p>
    <w:p>
      <w:pPr>
        <w:spacing w:after="0" w:line="176"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2024 Form 10-K that attempt to advise interested parties of the risks and factors that may affect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SUMMARY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4"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Our Well Intervention segment includes seven purpose-built well intervention vessels and 12 intervention systems. Our Robotics segment includes 39 work-class ROVs, six trenchers, three IROV boulder grabs, and robotics support vessels chartered on long-term, short-term and flexible bases to facilitate our ROV and trenching operations. Our Shallow Water Abandonment segment includes nine liftboats, six OSVs, three DSVs, one heavy lift derrick barge, one crew boat, 20 P&amp;A systems and six CT systems.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mature oil and gas properties.</w:t>
      </w:r>
    </w:p>
    <w:p>
      <w:pPr>
        <w:spacing w:after="0" w:line="183"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level of spending of offshore energy companies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 Demand for decommissioning is affected by commodity prices as well as governmental regulations and political forces globally.</w:t>
      </w:r>
    </w:p>
    <w:p>
      <w:pPr>
        <w:spacing w:after="0" w:line="179"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We maximize production of existing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well intervention assets and services.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Once end-of-life oil and gas wells have depleted their production, we decommission wells and infrastructure in our Well Intervention and Shallow Water Abandonment segments. Our operations service the life cycle of an oil and gas field and provide P&amp;A and decommissioning services at the end of the life of a field as required by governmental regulations. We believe that our well intervention vessels have a competitive advantage in performing these services efficiently and with our suite of shallow water assets and capabilities, we are the only provider capable of providing all facets of decommissioning services in the Gulf of America shelf.</w:t>
      </w:r>
    </w:p>
    <w:p>
      <w:pPr>
        <w:spacing w:after="0" w:line="17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support renewable energy primarily in our Robotics segment through our services in offshore wind farm developments,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and/or other governmental regulations supporting or restricting renewable energy developments.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Market Environment</w:t>
      </w:r>
    </w:p>
    <w:p>
      <w:pPr>
        <w:spacing w:after="0" w:line="212"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Commodity prices continued to be volatile during the first half 2025 due to domestic and geopolitical events and uncertainties. Oil prices dropped precipitously into the low $60s in early April 2025 following the U.S. government’s enactment of record tariffs levied globally and the announcement of significant increases in oil production by members of the Organization of Petroleum Exporting Countries (“OPEC”) and other non-OPEC producer nations (collectively with OPEC members, “OPEC+”). Oil prices recovered in June 2025 only to fall sharply once again following the escalation of the conflict between Israel and Iran.</w:t>
      </w:r>
    </w:p>
    <w:p>
      <w:pPr>
        <w:spacing w:after="0" w:line="179" w:lineRule="exact"/>
        <w:rPr>
          <w:sz w:val="20"/>
          <w:szCs w:val="20"/>
          <w:color w:val="auto"/>
        </w:rPr>
      </w:pPr>
    </w:p>
    <w:p>
      <w:pPr>
        <w:jc w:val="both"/>
        <w:ind w:right="300" w:firstLine="648"/>
        <w:spacing w:after="0" w:line="241" w:lineRule="auto"/>
        <w:rPr>
          <w:sz w:val="20"/>
          <w:szCs w:val="20"/>
          <w:color w:val="auto"/>
        </w:rPr>
      </w:pPr>
      <w:r>
        <w:rPr>
          <w:rFonts w:ascii="Arial" w:cs="Arial" w:eastAsia="Arial" w:hAnsi="Arial"/>
          <w:sz w:val="18"/>
          <w:szCs w:val="18"/>
          <w:color w:val="auto"/>
        </w:rPr>
        <w:t>The production increases, tariffs and resulting trade wars are expected to result in slower economic growth and substantially increase the risk of a recession, both of which would reduce global demand for oil. Reduced global demand places further pressure on commodity prices, which is likely to result in lower customer spending for the industry.</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Additionally, the industry continues to be threatened by decisions from OPEC+, governmental regulations and changes thereto, including the ongoing effects of the U.K. government’s Energy Profits Levy (windfall tax), geopolitical instability and uncertainty, regional conflicts, unrest in the Middle East, customer spending declines following mergers in the U.K. North Sea, various governmental and customer sustainability initiatives and continued shifting of resource allocation to renewable energy. We expect these factors will continue to contribute to commodity price volatility and may prolong existing lower commodity prices with the potential to temper customer spending for offshore oil and gas projects.</w:t>
      </w:r>
    </w:p>
    <w:p>
      <w:pPr>
        <w:spacing w:after="0" w:line="181"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The international wind market continues to be robust, with continued activity and sanctioned work primarily in Europe and Asia Pacific. U.S. wind farm activity is expected to decline following the 2025 Wind Energy Ban, a Presidential Memorandum issued in the U.S. in January 2025 temporarily withdrawing wind energy leasing in the U.S. Outer Continental Shelf.</w:t>
      </w:r>
    </w:p>
    <w:p>
      <w:pPr>
        <w:spacing w:after="0" w:line="174" w:lineRule="exact"/>
        <w:rPr>
          <w:sz w:val="20"/>
          <w:szCs w:val="20"/>
          <w:color w:val="auto"/>
        </w:rPr>
      </w:pPr>
    </w:p>
    <w:p>
      <w:pPr>
        <w:ind w:right="700" w:firstLine="648"/>
        <w:spacing w:after="0" w:line="271" w:lineRule="auto"/>
        <w:rPr>
          <w:sz w:val="20"/>
          <w:szCs w:val="20"/>
          <w:color w:val="auto"/>
        </w:rPr>
      </w:pPr>
      <w:r>
        <w:rPr>
          <w:rFonts w:ascii="Arial" w:cs="Arial" w:eastAsia="Arial" w:hAnsi="Arial"/>
          <w:sz w:val="18"/>
          <w:szCs w:val="18"/>
          <w:color w:val="auto"/>
        </w:rPr>
        <w:t>On July 4, 2025, the One Big Beautiful Bill Act (the “OBBBA”) was signed into law. We are in the process of evaluating the impact of the OBBBA legislation on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2" w:lineRule="exact"/>
        <w:rPr>
          <w:sz w:val="20"/>
          <w:szCs w:val="20"/>
          <w:color w:val="auto"/>
        </w:rPr>
      </w:pPr>
    </w:p>
    <w:p>
      <w:pPr>
        <w:ind w:right="60" w:firstLine="648"/>
        <w:spacing w:after="0" w:line="256" w:lineRule="auto"/>
        <w:rPr>
          <w:sz w:val="20"/>
          <w:szCs w:val="20"/>
          <w:color w:val="auto"/>
        </w:rPr>
      </w:pPr>
      <w:r>
        <w:rPr>
          <w:rFonts w:ascii="Arial" w:cs="Arial" w:eastAsia="Arial" w:hAnsi="Arial"/>
          <w:sz w:val="17"/>
          <w:szCs w:val="17"/>
          <w:color w:val="auto"/>
        </w:rPr>
        <w:t>We anticipate more uncertainty and expect a more challenging spot market for Well Intervention and Shallow Water Abandonment during the remainder of 2025, although our performance should be supported by our backlog from new contracting at improved rates and by increasing demand for our decommissioning services internationally, which should grow over mid- to long-term as the subsea tree base expands, as customers reduce their decommissioning obligations, and as customers shift resources to renewable energy. We expect the demand for shallow water decommissioning services in the Gulf of America to improve over time as former owners address their decommissioning obligations related to oil and gas properties that have reverted to them following bankruptcies. We expect growth in our renewables services as the global demand for energy increases and the international energy market continues offshore renewable energy developments.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1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Our backlog is represented by signed contracts. As of June 30, 2025, our consolidated backlog totaled approximately $1.3 billion, of which $425 million is expected to be performed over the remainder of 2025. Our various contracts with Shell and Subsea 7 globally, our contracts with Trident Energy and Petrobras in Brazil, and our contracts with Talos in the Gulf of America represented approximately 87% of our total backlog as of June 30, 2025. Backlog is not necessarily a reliable indicator of revenues derived from our contracts as (i) services are often added but may sometimes be subtracted; (ii) contracts may be renegotiated, deferred, canceled and in many cases modified while in progress; and (iii)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17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spacing w:after="0" w:line="189"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define EBITDA as earnings before income taxes, net interest expense, net other income or expense, and depreciation and amortization expense. Non-cash impairment losses on goodwill and other long-lived assets are also added back if applicable. To arrive at our measure of Adjusted EBITDA, we exclude gains or losses on disposition of assets, acquisition and integration costs, gains or losses related to convertible senior notes, the change in fair value of contingent consideration and the general provision for (release of)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condensed consolidated financial statements unless otherwise noted.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565"/>
        </w:trPr>
        <w:tc>
          <w:tcPr>
            <w:tcW w:w="8880" w:type="dxa"/>
            <w:vAlign w:val="bottom"/>
            <w:gridSpan w:val="11"/>
          </w:tcPr>
          <w:p>
            <w:pPr>
              <w:ind w:left="660"/>
              <w:spacing w:after="0"/>
              <w:rPr>
                <w:sz w:val="20"/>
                <w:szCs w:val="20"/>
                <w:color w:val="auto"/>
              </w:rPr>
            </w:pPr>
            <w:r>
              <w:rPr>
                <w:rFonts w:ascii="Arial" w:cs="Arial" w:eastAsia="Arial" w:hAnsi="Arial"/>
                <w:sz w:val="18"/>
                <w:szCs w:val="18"/>
                <w:color w:val="auto"/>
              </w:rPr>
              <w:t>The reconciliation of our net loss to EBITDA and Adjusted EBITDA is as follows (in thousands):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1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32,289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6,002</w:t>
            </w:r>
          </w:p>
        </w:tc>
      </w:tr>
      <w:tr>
        <w:trPr>
          <w:trHeight w:val="203"/>
        </w:trPr>
        <w:tc>
          <w:tcPr>
            <w:tcW w:w="5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1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(5,997)</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14,725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(5,544)</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13,027</w:t>
            </w:r>
          </w:p>
        </w:tc>
      </w:tr>
      <w:tr>
        <w:trPr>
          <w:trHeight w:val="203"/>
        </w:trPr>
        <w:tc>
          <w:tcPr>
            <w:tcW w:w="5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5,875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5,891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11,581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11,368</w:t>
            </w:r>
          </w:p>
        </w:tc>
      </w:tr>
      <w:tr>
        <w:trPr>
          <w:trHeight w:val="203"/>
        </w:trPr>
        <w:tc>
          <w:tcPr>
            <w:tcW w:w="51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(437)</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2,598</w:t>
            </w:r>
          </w:p>
        </w:tc>
      </w:tr>
      <w:tr>
        <w:trPr>
          <w:trHeight w:val="203"/>
        </w:trPr>
        <w:tc>
          <w:tcPr>
            <w:tcW w:w="512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45,389</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43,471</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87,871</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89,824</w:t>
            </w:r>
          </w:p>
        </w:tc>
      </w:tr>
      <w:tr>
        <w:trPr>
          <w:trHeight w:val="196"/>
        </w:trPr>
        <w:tc>
          <w:tcPr>
            <w:tcW w:w="5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42,232</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96,758</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94,302</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122,819</w:t>
            </w:r>
          </w:p>
        </w:tc>
      </w:tr>
      <w:tr>
        <w:trPr>
          <w:trHeight w:val="196"/>
        </w:trPr>
        <w:tc>
          <w:tcPr>
            <w:tcW w:w="51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1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disposition of assets, net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184"/>
        </w:trPr>
        <w:tc>
          <w:tcPr>
            <w:tcW w:w="512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General provision for (release of) current expected credit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3"/>
        </w:trPr>
        <w:tc>
          <w:tcPr>
            <w:tcW w:w="51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20,922</w:t>
            </w:r>
          </w:p>
        </w:tc>
      </w:tr>
      <w:tr>
        <w:trPr>
          <w:trHeight w:val="196"/>
        </w:trPr>
        <w:tc>
          <w:tcPr>
            <w:tcW w:w="512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42,430</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96,895</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94,415</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143,885</w:t>
            </w: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(691)</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52,320</w:t>
            </w:r>
          </w:p>
        </w:tc>
      </w:tr>
      <w:tr>
        <w:trPr>
          <w:trHeight w:val="184"/>
        </w:trPr>
        <w:tc>
          <w:tcPr>
            <w:tcW w:w="6800" w:type="dxa"/>
            <w:vAlign w:val="bottom"/>
          </w:tcPr>
          <w:p>
            <w:pPr>
              <w:ind w:left="120"/>
              <w:spacing w:after="0" w:line="183" w:lineRule="exact"/>
              <w:rPr>
                <w:sz w:val="20"/>
                <w:szCs w:val="20"/>
                <w:color w:val="auto"/>
              </w:rPr>
            </w:pPr>
            <w:r>
              <w:rPr>
                <w:rFonts w:ascii="Arial" w:cs="Arial" w:eastAsia="Arial" w:hAnsi="Arial"/>
                <w:sz w:val="18"/>
                <w:szCs w:val="18"/>
                <w:color w:val="auto"/>
              </w:rPr>
              <w:t>Less: Capital expenditures, net of proceeds from asset sales and insurance</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recoveries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(9,649)</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45,089</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long-term debt to Net Debt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414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311,612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315,157</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Cash and cash equivalents</w:t>
            </w:r>
          </w:p>
        </w:tc>
        <w:tc>
          <w:tcPr>
            <w:tcW w:w="26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(319,743)</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(368,030)</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Debt</w:t>
            </w:r>
          </w:p>
        </w:tc>
        <w:tc>
          <w:tcPr>
            <w:tcW w:w="2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(8,131)</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(52,873)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vMerge w:val="restart"/>
          </w:tcPr>
          <w:p>
            <w:pPr>
              <w:jc w:val="right"/>
              <w:ind w:right="1670"/>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4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2025 and 2024</w:t>
      </w:r>
    </w:p>
    <w:p>
      <w:pPr>
        <w:spacing w:after="0" w:line="212"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The following table details our financial and operational highlights for the periods presented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22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40"/>
              <w:spacing w:after="0" w:line="196" w:lineRule="exact"/>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156,786</w:t>
            </w:r>
          </w:p>
        </w:tc>
        <w:tc>
          <w:tcPr>
            <w:tcW w:w="3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217,761</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(60,975)</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85,572</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81,249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4,323</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50,618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50,841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(223)</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17,081</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25,400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(8,319)</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(7,769)</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(10,454)</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2,685</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302,288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364,797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(62,509)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(12,306)</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33,615</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(45,921)</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21,654</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30,888</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(9,234)</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1,654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(160)</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4,754</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9,891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(5,137)</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(648)</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(562)</w:t>
            </w:r>
          </w:p>
        </w:tc>
        <w:tc>
          <w:tcPr>
            <w:tcW w:w="16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(86)</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14,948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75,486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(60,538)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700" w:type="dxa"/>
            <w:vAlign w:val="bottom"/>
          </w:tcPr>
          <w:p>
            <w:pPr>
              <w:spacing w:after="0"/>
              <w:rPr>
                <w:sz w:val="17"/>
                <w:szCs w:val="17"/>
                <w:color w:val="auto"/>
              </w:rPr>
            </w:pP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w:t>
            </w:r>
          </w:p>
        </w:tc>
        <w:tc>
          <w:tcPr>
            <w:tcW w:w="540" w:type="dxa"/>
            <w:vAlign w:val="bottom"/>
          </w:tcPr>
          <w:p>
            <w:pPr>
              <w:spacing w:after="0"/>
              <w:rPr>
                <w:sz w:val="17"/>
                <w:szCs w:val="17"/>
                <w:color w:val="auto"/>
              </w:rPr>
            </w:pP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25 %</w:t>
            </w:r>
          </w:p>
        </w:tc>
        <w:tc>
          <w:tcPr>
            <w:tcW w:w="540" w:type="dxa"/>
            <w:vAlign w:val="bottom"/>
            <w:shd w:val="clear" w:color="auto" w:fill="CCEEFF"/>
          </w:tcPr>
          <w:p>
            <w:pPr>
              <w:spacing w:after="0"/>
              <w:rPr>
                <w:sz w:val="17"/>
                <w:szCs w:val="17"/>
                <w:color w:val="auto"/>
              </w:rPr>
            </w:pP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700" w:type="dxa"/>
            <w:vAlign w:val="bottom"/>
          </w:tcPr>
          <w:p>
            <w:pPr>
              <w:spacing w:after="0"/>
              <w:rPr>
                <w:sz w:val="17"/>
                <w:szCs w:val="17"/>
                <w:color w:val="auto"/>
              </w:rPr>
            </w:pP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3 %</w:t>
            </w:r>
          </w:p>
        </w:tc>
        <w:tc>
          <w:tcPr>
            <w:tcW w:w="540" w:type="dxa"/>
            <w:vAlign w:val="bottom"/>
          </w:tcPr>
          <w:p>
            <w:pPr>
              <w:spacing w:after="0"/>
              <w:rPr>
                <w:sz w:val="17"/>
                <w:szCs w:val="17"/>
                <w:color w:val="auto"/>
              </w:rPr>
            </w:pP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28 %</w:t>
            </w:r>
          </w:p>
        </w:tc>
        <w:tc>
          <w:tcPr>
            <w:tcW w:w="540" w:type="dxa"/>
            <w:vAlign w:val="bottom"/>
            <w:shd w:val="clear" w:color="auto" w:fill="CCEEFF"/>
          </w:tcPr>
          <w:p>
            <w:pPr>
              <w:spacing w:after="0"/>
              <w:rPr>
                <w:sz w:val="17"/>
                <w:szCs w:val="17"/>
                <w:color w:val="auto"/>
              </w:rPr>
            </w:pP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700" w:type="dxa"/>
            <w:vAlign w:val="bottom"/>
          </w:tcPr>
          <w:p>
            <w:pPr>
              <w:spacing w:after="0"/>
              <w:rPr>
                <w:sz w:val="17"/>
                <w:szCs w:val="17"/>
                <w:color w:val="auto"/>
              </w:rPr>
            </w:pP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5 %</w:t>
            </w:r>
          </w:p>
        </w:tc>
        <w:tc>
          <w:tcPr>
            <w:tcW w:w="540" w:type="dxa"/>
            <w:vAlign w:val="bottom"/>
          </w:tcPr>
          <w:p>
            <w:pPr>
              <w:spacing w:after="0"/>
              <w:rPr>
                <w:sz w:val="17"/>
                <w:szCs w:val="17"/>
                <w:color w:val="auto"/>
              </w:rPr>
            </w:pP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color w:val="auto"/>
              </w:rPr>
              <w:t>Number of vessels, Robotics assets or Shallow Water</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gridSpan w:val="3"/>
          </w:tcPr>
          <w:p>
            <w:pPr>
              <w:spacing w:after="0" w:line="228"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 72 %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 94 %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62 %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 76 %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 95 %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 97 %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60 %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 58 %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 34 %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 27 %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43" w:lineRule="exact"/>
        <w:rPr>
          <w:rFonts w:ascii="Arial" w:cs="Arial" w:eastAsia="Arial" w:hAnsi="Arial"/>
          <w:sz w:val="17"/>
          <w:szCs w:val="17"/>
          <w:color w:val="auto"/>
        </w:rPr>
      </w:pPr>
    </w:p>
    <w:p>
      <w:pPr>
        <w:ind w:left="660" w:right="80" w:hanging="652"/>
        <w:spacing w:after="0" w:line="25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(excluding vessel charter off-hire days) in the applicable period.</w:t>
      </w:r>
    </w:p>
    <w:p>
      <w:pPr>
        <w:spacing w:after="0" w:line="60"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ROVs, trenchers and IROV boulder grabs.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P&amp;A and CT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1"/>
        </w:trPr>
        <w:tc>
          <w:tcPr>
            <w:tcW w:w="5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5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Robotics</w:t>
            </w: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7,757</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10,348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(2,591)</w:t>
            </w:r>
          </w:p>
        </w:tc>
      </w:tr>
      <w:tr>
        <w:trPr>
          <w:trHeight w:val="203"/>
        </w:trPr>
        <w:tc>
          <w:tcPr>
            <w:tcW w:w="5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Shallow Water Abandonment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r>
      <w:tr>
        <w:trPr>
          <w:trHeight w:val="196"/>
        </w:trPr>
        <w:tc>
          <w:tcPr>
            <w:tcW w:w="5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7,769</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10,454</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three-month period ended June 30, 2025 decreased by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the same period in 2024, primarily reflecting lower revenues in our Well Intervention and Production Facilities business segments, offset in part by higher revenues in our Robotics segment.</w:t>
      </w:r>
    </w:p>
    <w:p>
      <w:pPr>
        <w:spacing w:after="0" w:line="16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 xml:space="preserve">Our Well Intervention revenues decreased by 28% for the three-month period ended June 30, 2025 as compared to the same period in 2024, primarily reflecting lower utilization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and in the Gulf of America, offset in part by higher rates in Brazil during the second quarter 2025. Revenues decreased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which was warm-stacked during the second quarter 2025 as compared to being fully utilized during the second quarter 2024. Revenues were lower on the Gulf of America vessels due to fewer operational days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which incurred higher transit and demobilization days, and due to lower utilization on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which underwent an approximate 57-day planned regulatory dry dock during the second quarter 2025. Revenues in Brazil increased during the second quarter 2025 as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 </w:t>
      </w:r>
      <w:r>
        <w:rPr>
          <w:rFonts w:ascii="Arial" w:cs="Arial" w:eastAsia="Arial" w:hAnsi="Arial"/>
          <w:sz w:val="18"/>
          <w:szCs w:val="18"/>
          <w:color w:val="auto"/>
        </w:rPr>
        <w:t>operated at higher contractual rates as compared to the second quarter 2024.</w:t>
      </w:r>
    </w:p>
    <w:p>
      <w:pPr>
        <w:spacing w:after="0" w:line="18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Robotics revenues increased by 5% for the three-month period ended June 30, 2025 as compared to the same period in 2024, primarily reflecting increased chartered vessel and site clearance activities, offset in part by a reduction in ROV and trencher utilization. The second quarter 2025 included 537 chartered vessel days, which included 190 days of site clearance operations using three IROV boulder grabs, as compared to 528 chartered vessel days (including 91 spot vessel days at full utilization), which included 78 days of site clearance operations using two IROV boulder grabs, during the second quarter 2024. The second quarter 2025 also included 91 days of trenching on a third-party vessel, whereas there was no trenching on a third-party vessel during the second quarter 2024. Integrated vessel trenching decreased to 157 days during the second quarter 2025 as compared to 232 days during the second quarter 2024, and ROV utilization decreased to 64% during the second quarter 2025 as compared to 80% during the second quarter 2024.</w:t>
      </w:r>
    </w:p>
    <w:p>
      <w:pPr>
        <w:spacing w:after="0" w:line="183"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Our Shallow Water Abandonment revenues were down slightly for the three-month period ended June 30, 2025 as compared to the same period in 2024, reflecting lower overall rates on our vessels and P&amp;A systems as well as weaker contract performance during the second quarter 2025, almost entirely offset by higher system and vessel utilization. Overall vessel utilization was 60% during the second quarter 2025 as compared to 58% during the second quarter 2024. Utilization on P&amp;A systems and CT systems increased to 798 days, or 34%, during the second quarter 2025 as compared to 632 days, or 27%, during the second quarter 2024.</w:t>
      </w:r>
    </w:p>
    <w:p>
      <w:pPr>
        <w:spacing w:after="0" w:line="179"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Our Production Facilities revenues decreased by 33% for the three-month period ended June 30, 2025 as compared to the same period in 2024, primarily reflecting lower oil and gas production and prices during the second quarter 2025. The Thunder Hawk wells remained shut in for the entire second quarter 2025 and the Droshky wells were shut in for approximately one month, whereas both fields had a full quarter of production during the second quarter 2024. Additionally, oil prices were approximately $15 per barrel lower during the second quarter 2025 as compared to the second quarter 2024.</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decreased by $60.5 million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as compared to the same period in 2024, primarily reflecting lower profitability from our Well Intervention, Robotics and Production Facilities business segments.</w:t>
      </w:r>
    </w:p>
    <w:p>
      <w:pPr>
        <w:spacing w:after="0" w:line="169"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18"/>
          <w:szCs w:val="18"/>
          <w:color w:val="auto"/>
        </w:rPr>
        <w:t xml:space="preserve">Our Well Intervention segment had a gross loss of $12.3 million for the three-month period ended June 30, 2025 as compared to a gross profit of $33.6 million for the same period in 2024, primarily reflecting lower revenues, offset in part by lower vessel costs from stacking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and cost deferrals on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docking during the second quarter 2025.</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Our Robotics gross profit decreased by $9.2 million for the three-month period ended June 30, 2025 as compared to the same period in 2024, primarily reflecting higher vessel costs and lower margins during the second quarter 2025.</w:t>
      </w:r>
    </w:p>
    <w:p>
      <w:pPr>
        <w:spacing w:after="0" w:line="154"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Our Shallow Water Abandonment gross profit was slightly lower for the three-month period ended June 30, 2025 as compared to the same period in 2024 primarily due to lower revenues during the second quarter 2025.</w:t>
      </w:r>
    </w:p>
    <w:p>
      <w:pPr>
        <w:spacing w:after="0" w:line="15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Our Production Facilities gross profit decreased by $5.1 million for the three-month period ended June 30, 2025 as compared to the same period in 2024 primarily due to the lower revenues, offset in part by lower production-related costs during the second quarter 2025.</w:t>
      </w:r>
    </w:p>
    <w:p>
      <w:pPr>
        <w:spacing w:after="0" w:line="16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$18.1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three-month period ended June 30, 2025 as compared to $22.3 million for the same period in 2024, primarily reflecting lower employee compensation costs.</w:t>
      </w:r>
    </w:p>
    <w:p>
      <w:pPr>
        <w:spacing w:after="0" w:line="169"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Net other income was $0.4 million for the three-month period ended June 30,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net other expense of $ 0.4 million for the same period in 2024, primarily reflecting net foreign currency gains and losses, respectively, related to the British pound on our U.K. subsidiaries’ foreign currency positions.</w:t>
      </w:r>
    </w:p>
    <w:p>
      <w:pPr>
        <w:spacing w:after="0" w:line="169"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benefit was $6.0 million for the three-month period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as compared to income tax provision of $14.7 million for the same period in 2024. The effective tax rate for the second quarter 2025 was impacted by certain non -U.S. discrete items and the jurisdictional mix of earnings. The effective rate for the second quarter 2024 was impacted by certain non-deductible expenses and non-creditable foreign income taxes.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2025 and 2024</w:t>
      </w:r>
    </w:p>
    <w:p>
      <w:pPr>
        <w:spacing w:after="0" w:line="212"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The following table details our financial and operational highlights for the periods presented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3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Amount</w:t>
            </w:r>
          </w:p>
        </w:tc>
        <w:tc>
          <w:tcPr>
            <w:tcW w:w="24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2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355,160</w:t>
            </w:r>
          </w:p>
        </w:tc>
        <w:tc>
          <w:tcPr>
            <w:tcW w:w="5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429,061</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(73,901)</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136,614</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131,558</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5,056</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67,436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77,694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(10,258)</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36,918</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49,552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(12,634)</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9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(15,776)</w:t>
            </w:r>
          </w:p>
        </w:tc>
        <w:tc>
          <w:tcPr>
            <w:tcW w:w="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(26,857)</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11,081</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580,352</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661,008</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(80,656)</w:t>
            </w:r>
          </w:p>
        </w:tc>
        <w:tc>
          <w:tcPr>
            <w:tcW w:w="1300" w:type="dxa"/>
            <w:vAlign w:val="bottom"/>
            <w:tcBorders>
              <w:bottom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2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12,016</w:t>
            </w:r>
          </w:p>
        </w:tc>
        <w:tc>
          <w:tcPr>
            <w:tcW w:w="5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56,759</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(44,743)</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29,670</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39,071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(9,401)</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(10,088)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(8,109)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(1,979)</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12,214</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8,585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3,629</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9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(1,326)</w:t>
            </w:r>
          </w:p>
        </w:tc>
        <w:tc>
          <w:tcPr>
            <w:tcW w:w="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(1,266)</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42,486</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95,040</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(52,554)</w:t>
            </w:r>
          </w:p>
        </w:tc>
        <w:tc>
          <w:tcPr>
            <w:tcW w:w="1300" w:type="dxa"/>
            <w:vAlign w:val="bottom"/>
            <w:tcBorders>
              <w:bottom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700" w:type="dxa"/>
            <w:vAlign w:val="bottom"/>
          </w:tcPr>
          <w:p>
            <w:pPr>
              <w:spacing w:after="0"/>
              <w:rPr>
                <w:sz w:val="17"/>
                <w:szCs w:val="17"/>
                <w:color w:val="auto"/>
              </w:rPr>
            </w:pP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3 %</w:t>
            </w:r>
          </w:p>
        </w:tc>
        <w:tc>
          <w:tcPr>
            <w:tcW w:w="540" w:type="dxa"/>
            <w:vAlign w:val="bottom"/>
          </w:tcPr>
          <w:p>
            <w:pPr>
              <w:spacing w:after="0"/>
              <w:rPr>
                <w:sz w:val="17"/>
                <w:szCs w:val="17"/>
                <w:color w:val="auto"/>
              </w:rPr>
            </w:pP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22 %</w:t>
            </w:r>
          </w:p>
        </w:tc>
        <w:tc>
          <w:tcPr>
            <w:tcW w:w="540" w:type="dxa"/>
            <w:vAlign w:val="bottom"/>
            <w:shd w:val="clear" w:color="auto" w:fill="CCEEFF"/>
          </w:tcPr>
          <w:p>
            <w:pPr>
              <w:spacing w:after="0"/>
              <w:rPr>
                <w:sz w:val="17"/>
                <w:szCs w:val="17"/>
                <w:color w:val="auto"/>
              </w:rPr>
            </w:pP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700" w:type="dxa"/>
            <w:vAlign w:val="bottom"/>
          </w:tcPr>
          <w:p>
            <w:pPr>
              <w:spacing w:after="0"/>
              <w:rPr>
                <w:sz w:val="17"/>
                <w:szCs w:val="17"/>
                <w:color w:val="auto"/>
              </w:rPr>
            </w:pP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(15)%</w:t>
            </w:r>
          </w:p>
        </w:tc>
        <w:tc>
          <w:tcPr>
            <w:tcW w:w="540" w:type="dxa"/>
            <w:vAlign w:val="bottom"/>
          </w:tcPr>
          <w:p>
            <w:pPr>
              <w:spacing w:after="0"/>
              <w:rPr>
                <w:sz w:val="17"/>
                <w:szCs w:val="17"/>
                <w:color w:val="auto"/>
              </w:rPr>
            </w:pP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33 %</w:t>
            </w:r>
          </w:p>
        </w:tc>
        <w:tc>
          <w:tcPr>
            <w:tcW w:w="540" w:type="dxa"/>
            <w:vAlign w:val="bottom"/>
            <w:shd w:val="clear" w:color="auto" w:fill="CCEEFF"/>
          </w:tcPr>
          <w:p>
            <w:pPr>
              <w:spacing w:after="0"/>
              <w:rPr>
                <w:sz w:val="17"/>
                <w:szCs w:val="17"/>
                <w:color w:val="auto"/>
              </w:rPr>
            </w:pP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700" w:type="dxa"/>
            <w:vAlign w:val="bottom"/>
          </w:tcPr>
          <w:p>
            <w:pPr>
              <w:spacing w:after="0"/>
              <w:rPr>
                <w:sz w:val="17"/>
                <w:szCs w:val="17"/>
                <w:color w:val="auto"/>
              </w:rPr>
            </w:pP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7 %</w:t>
            </w:r>
          </w:p>
        </w:tc>
        <w:tc>
          <w:tcPr>
            <w:tcW w:w="540" w:type="dxa"/>
            <w:vAlign w:val="bottom"/>
          </w:tcPr>
          <w:p>
            <w:pPr>
              <w:spacing w:after="0"/>
              <w:rPr>
                <w:sz w:val="17"/>
                <w:szCs w:val="17"/>
                <w:color w:val="auto"/>
              </w:rPr>
            </w:pP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color w:val="auto"/>
              </w:rPr>
              <w:t>Number of vessels, Robotics assets or Shallow Water</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gridSpan w:val="3"/>
          </w:tcPr>
          <w:p>
            <w:pPr>
              <w:spacing w:after="0" w:line="228"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 69 %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 92 %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57 %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 67 %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 84 %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 86 %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45 %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 49 %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 23 %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 27 %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43" w:lineRule="exact"/>
        <w:rPr>
          <w:rFonts w:ascii="Arial" w:cs="Arial" w:eastAsia="Arial" w:hAnsi="Arial"/>
          <w:sz w:val="17"/>
          <w:szCs w:val="17"/>
          <w:color w:val="auto"/>
        </w:rPr>
      </w:pPr>
    </w:p>
    <w:p>
      <w:pPr>
        <w:ind w:left="660" w:right="80" w:hanging="652"/>
        <w:spacing w:after="0" w:line="25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(excluding vessel charter off-hire days) in the applicable period.</w:t>
      </w:r>
    </w:p>
    <w:p>
      <w:pPr>
        <w:spacing w:after="0" w:line="6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ROVs, trenchers and IROV boulder grabs.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P&amp;A and CT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1"/>
        </w:trPr>
        <w:tc>
          <w:tcPr>
            <w:tcW w:w="3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39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6,093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(6,093)</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15,712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20,576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(4,864)</w:t>
            </w: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15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196"/>
        </w:trPr>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15,776</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26,857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(11,081)</w:t>
            </w:r>
          </w:p>
        </w:tc>
      </w:tr>
      <w:tr>
        <w:trPr>
          <w:trHeight w:val="20"/>
        </w:trPr>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six-month period ended June 30, 2025 decreased by 12%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2024, reflecting lower revenues in our Well Intervention, Shallow Water Abandonment and Production Facilities business segments, offset in part by higher revenues in our Robotics segment.</w:t>
      </w:r>
    </w:p>
    <w:p>
      <w:pPr>
        <w:spacing w:after="0" w:line="16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 xml:space="preserve">Our Well Intervention revenues decreased by 17% for the six-month period ended June 30, 2025 as compared to the same period in 2024, primarily reflecting lower utilization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offset in part by higher rates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in Brazil during the six-month period ended June 30, 2025. Revenues decreased on the </w:t>
      </w:r>
      <w:r>
        <w:rPr>
          <w:rFonts w:ascii="Arial" w:cs="Arial" w:eastAsia="Arial" w:hAnsi="Arial"/>
          <w:sz w:val="18"/>
          <w:szCs w:val="18"/>
          <w:i w:val="1"/>
          <w:iCs w:val="1"/>
          <w:color w:val="auto"/>
        </w:rPr>
        <w:t>Seawell</w:t>
      </w:r>
      <w:r>
        <w:rPr>
          <w:rFonts w:ascii="Arial" w:cs="Arial" w:eastAsia="Arial" w:hAnsi="Arial"/>
          <w:sz w:val="18"/>
          <w:szCs w:val="18"/>
          <w:color w:val="auto"/>
        </w:rPr>
        <w:t>, which was idle during the first quarter 2025 and warm-stacked during the second quarter 2025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being nearly fully utilized during the six-month period ended June 30, 2024. Utilization on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was lower as the vessel underwent an approximate 57-day planned regulatory dry dock during the second quarter 2025. Revenues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were lower due to the vessel recognizing only six days of revenue in Brazil during the first quarter 2025 as compared to being fully utilized in Australia during the six-month period ended June 30, 2024.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completed its mobilization and regulatory docking and commenced its 400-day contract in Brazil at the end of March 2025. During the six-month period ended June 30, 2025,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completed its Nigeria campaign at higher integrated project rates and transited back to the Gulf of America. Revenues in Brazil increased as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operated at higher contractual rates during the six-month period ended June 30, 2025.</w:t>
      </w:r>
    </w:p>
    <w:p>
      <w:pPr>
        <w:spacing w:after="0" w:line="18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Robotics revenues increased by 4% for the six-month period ended June 30, 2025 as compared to the same period in 2024, primarily reflecting higher chartered vessel rate and increased site clearance activities, offset in part by a reduction in chartered vessel and ROV utilization. The six-month period ended June 30, 2025 included 781 chartered vessel days, which included 211 days of site clearance operations using three IROV boulder grabs, as compared to 861 chartered vessel days (including 182 spot vessel days at full utilization), which included 168 days of site clearance operations using two IROV boulder grabs, during the six-month period ended June 30, 2024. The six-month period ended June 30, 2025 also included 181 days of trenching on a third-party vessel, whereas there was no trenching on a third-party vessel during the six-month period ended June 30, 2024. Integrated vessel trenching declined to 292 days during the second quarter 2025 as compared to 317 days during the second quarter 2024, and ROV utilization decreased to 59% during the second quarter 2025 as compared to 70% during the second quarter 2024.</w:t>
      </w:r>
    </w:p>
    <w:p>
      <w:pPr>
        <w:spacing w:after="0" w:line="180"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Our Shallow Water Abandonment revenues decreased by 13% for the six-month period ended June 30, 2025 as compared to the same period in 2024 primarily due to lower utilization and overall rates on our vessels and systems. Overall vessel utilization was 45% during the six-month period ended June 30, 2025 as compared to 49% during the same period in 2024. Utilization on P&amp;A systems and CT systems decreased to 1,062 days, or 23%, during the six-month period ended June 30, 2025 as compared to 1,258 days, or 27%, during the six-month period ended June 30, 2024.</w:t>
      </w:r>
    </w:p>
    <w:p>
      <w:pPr>
        <w:spacing w:after="0" w:line="17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Our Production Facilities revenues decreased by 25% for the six-month period ended June 30, 2025 as compared to the same period in 2024, primarily reflecting lower oil and gas production and prices during the six-month period ended June 30, 2025. The Thunder Hawk wells remained shut in for the entire six-month period in 2025 and the Droshky wells were shut in for approximately one month in the second quarter 2025, whereas both fields had a full six months of production in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decreased by $52.6 million for the six-month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as compared to the same period in 2024, primarily reflecting reduced profitability from our Well Intervention, Robotics and Shallow Water Abandonment business segments, offset in part by increased profitability from our Production Facilities segment.</w:t>
      </w:r>
    </w:p>
    <w:p>
      <w:pPr>
        <w:spacing w:after="0" w:line="174"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 xml:space="preserve">Our Well Intervention segment gross profit decreased by $ 44.7 million for the six-month period ended June 30, 2025 as compared to the same period in 2024, primarily reflecting lower revenues, offset in part by lower idle vessel costs in the North Sea, cost deferrals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during its mobilization and regulatory docking during the first quarter 2025 and cost deferrals on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docking during the second quarter 2025.</w:t>
      </w:r>
    </w:p>
    <w:p>
      <w:pPr>
        <w:spacing w:after="0" w:line="174"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Our Robotics gross profit decreased by $9.4 million for the six-month period ended June 30, 2025 as compared to the same period in 2024, primarily reflecting higher vessel costs and lower margins during the second quarter 2025.</w:t>
      </w:r>
    </w:p>
    <w:p>
      <w:pPr>
        <w:spacing w:after="0" w:line="15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Shallow Water Abandonment gross loss increased by $2.0 million for the six-month period ended June 30, 2025 as compared to the same period in 2024, primarily reflecting lower revenues, offset in part by lower costs during the six-month period ended June 30, 2025.</w:t>
      </w:r>
    </w:p>
    <w:p>
      <w:pPr>
        <w:spacing w:after="0" w:line="169" w:lineRule="exact"/>
        <w:rPr>
          <w:sz w:val="20"/>
          <w:szCs w:val="20"/>
          <w:color w:val="auto"/>
        </w:rPr>
      </w:pPr>
    </w:p>
    <w:p>
      <w:pPr>
        <w:jc w:val="both"/>
        <w:ind w:right="320" w:firstLine="648"/>
        <w:spacing w:after="0" w:line="253" w:lineRule="auto"/>
        <w:rPr>
          <w:sz w:val="20"/>
          <w:szCs w:val="20"/>
          <w:color w:val="auto"/>
        </w:rPr>
      </w:pPr>
      <w:r>
        <w:rPr>
          <w:rFonts w:ascii="Arial" w:cs="Arial" w:eastAsia="Arial" w:hAnsi="Arial"/>
          <w:sz w:val="18"/>
          <w:szCs w:val="18"/>
          <w:color w:val="auto"/>
        </w:rPr>
        <w:t>Our Production Facilities gross profit increased by $3.6 million for the six-month period ended June 30, 2025 as compared to the same period in 2024 primarily due to the incurrence of well workover costs related to the Thunder Hawk wells during the first quarter 2024.</w:t>
      </w:r>
    </w:p>
    <w:p>
      <w:pPr>
        <w:spacing w:after="0" w:line="169"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$37.5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six-month period ended June 30, 2025 as compared to $43.0 million for the same period in 2024, primarily reflecting lower employee compensation costs.</w:t>
      </w:r>
    </w:p>
    <w:p>
      <w:pPr>
        <w:spacing w:after="0" w:line="16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$11.6 million for the six-month period ended June 30,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$11.4 million for the same period in 2024, primarily reflecting lower interest income on our invested cash (Note 5).</w:t>
      </w:r>
    </w:p>
    <w:p>
      <w:pPr>
        <w:spacing w:after="0" w:line="16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b w:val="1"/>
          <w:bCs w:val="1"/>
          <w:i w:val="1"/>
          <w:iCs w:val="1"/>
          <w:color w:val="auto"/>
        </w:rPr>
        <w:t xml:space="preserve">Losses Related to Convertible Senior Notes. </w:t>
      </w:r>
      <w:r>
        <w:rPr>
          <w:rFonts w:ascii="Arial" w:cs="Arial" w:eastAsia="Arial" w:hAnsi="Arial"/>
          <w:sz w:val="18"/>
          <w:szCs w:val="18"/>
          <w:color w:val="auto"/>
        </w:rPr>
        <w:t>The losses during the six-month period ended June 30, 2024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the redemption of our 2026 Notes (Note 5).</w:t>
      </w:r>
    </w:p>
    <w:p>
      <w:pPr>
        <w:spacing w:after="0" w:line="15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Net other income was $0.1 million for the six-month period ended June 30,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net other expense of $2.6 million for the same period in 2024, primarily reflecting net foreign currency gains and losses, respectively, related to the British pound on our U.K. subsidiaries’ foreign currency positions.</w:t>
      </w:r>
    </w:p>
    <w:p>
      <w:pPr>
        <w:spacing w:after="0" w:line="169"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benefit was $5.5 million for the six-month period ended June 30,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income tax provision of $13.0 million for the same period in 2024. The effective tax rate for the six-month period ended June 30, 2025 was impacted by certain non-U.S. discrete items and the jurisdictional mix of earnings. The effective rate for the six-month period ended June 30, 2024 was impacted by the non-deductibility of certain losses associated with the 2026 Notes Redemptions, which was characterized as a discrete event.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2" w:lineRule="exact"/>
        <w:rPr>
          <w:sz w:val="20"/>
          <w:szCs w:val="20"/>
          <w:color w:val="auto"/>
        </w:rPr>
      </w:pPr>
    </w:p>
    <w:p>
      <w:pPr>
        <w:ind w:right="780" w:firstLine="648"/>
        <w:spacing w:after="0" w:line="271"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68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412,435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405,266</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Long-term debt (excluding current maturities)</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302,200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305,971</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374,942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429,586</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10"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10"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color w:val="auto"/>
        </w:rPr>
        <w:t>Long-term debt in the table above, presented net of unamortized debt discount and debt issuance costs, includes the 2029 Notes and the MARAD Debt, excluding current maturities of $9.4 million at June 30, 2025 and $9.2 million at December 31, 2024. See Note 5 for information relating to our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0" w:lineRule="exact"/>
        <w:rPr>
          <w:sz w:val="20"/>
          <w:szCs w:val="20"/>
          <w:color w:val="auto"/>
        </w:rPr>
      </w:pPr>
    </w:p>
    <w:p>
      <w:pPr>
        <w:ind w:right="100" w:firstLine="648"/>
        <w:spacing w:after="0" w:line="261" w:lineRule="auto"/>
        <w:rPr>
          <w:sz w:val="20"/>
          <w:szCs w:val="20"/>
          <w:color w:val="auto"/>
        </w:rPr>
      </w:pPr>
      <w:r>
        <w:rPr>
          <w:rFonts w:ascii="Arial" w:cs="Arial" w:eastAsia="Arial" w:hAnsi="Arial"/>
          <w:sz w:val="17"/>
          <w:szCs w:val="17"/>
          <w:color w:val="auto"/>
        </w:rPr>
        <w:t>We define liquidity as cash and cash equivalents plus available capacity under our credit facility, but excluding cash pledged as collateral toward the Amended ABL Facility. Our liquidity at June 30, 2025 included $319.7 million of cash and cash equivalents and $70.5 million of available borrowing capacity under the Amended ABL Facility (Note 5) and excluded $15.3 million of pledged cash. Our liquidity at December 31, 2024 included $368.0 million of cash and cash equivalents and $66.6 million of available borrowing capacity under the Amended ABL Facility and excluded $5.0 million of pledged cash.</w:t>
      </w:r>
    </w:p>
    <w:p>
      <w:pPr>
        <w:spacing w:after="0" w:line="166"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We believe that our cash on hand, internally generated cash flows and availability under the Amended ABL Facility will be sufficient to fund our operations and expected capital spending, service our debt and other obligations, and execute our share repurchase program over at least the next 12 months. We currently do not anticipate borrowing under the Amended ABL Facility except for the issuance of letters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right="1120" w:firstLine="648"/>
        <w:spacing w:after="0" w:line="271" w:lineRule="auto"/>
        <w:rPr>
          <w:sz w:val="20"/>
          <w:szCs w:val="20"/>
          <w:color w:val="auto"/>
        </w:rPr>
      </w:pPr>
      <w:r>
        <w:rPr>
          <w:rFonts w:ascii="Arial" w:cs="Arial" w:eastAsia="Arial" w:hAnsi="Arial"/>
          <w:sz w:val="18"/>
          <w:szCs w:val="18"/>
          <w:color w:val="auto"/>
        </w:rPr>
        <w:t>The following table provides summary data from our condensed consolidated statements of cash flows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Six Months Ended</w:t>
            </w:r>
          </w:p>
        </w:tc>
      </w:tr>
      <w:tr>
        <w:trPr>
          <w:trHeight w:val="221"/>
        </w:trPr>
        <w:tc>
          <w:tcPr>
            <w:tcW w:w="35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9"/>
              </w:rPr>
              <w:t>June 30,</w:t>
            </w:r>
          </w:p>
        </w:tc>
        <w:tc>
          <w:tcPr>
            <w:tcW w:w="1080" w:type="dxa"/>
            <w:vAlign w:val="bottom"/>
            <w:tcBorders>
              <w:bottom w:val="single" w:sz="8" w:color="auto"/>
            </w:tcBorders>
          </w:tcPr>
          <w:p>
            <w:pPr>
              <w:spacing w:after="0"/>
              <w:rPr>
                <w:sz w:val="19"/>
                <w:szCs w:val="19"/>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3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354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3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52,320</w:t>
            </w:r>
          </w:p>
        </w:tc>
      </w:tr>
      <w:tr>
        <w:trPr>
          <w:trHeight w:val="203"/>
        </w:trPr>
        <w:tc>
          <w:tcPr>
            <w:tcW w:w="35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3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(8,958)</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(7,231)</w:t>
            </w:r>
          </w:p>
        </w:tc>
      </w:tr>
      <w:tr>
        <w:trPr>
          <w:trHeight w:val="239"/>
        </w:trPr>
        <w:tc>
          <w:tcPr>
            <w:tcW w:w="354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(40,780)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(101,526)</w:t>
            </w:r>
          </w:p>
        </w:tc>
      </w:tr>
      <w:tr>
        <w:trPr>
          <w:trHeight w:val="818"/>
        </w:trPr>
        <w:tc>
          <w:tcPr>
            <w:tcW w:w="3540" w:type="dxa"/>
            <w:vAlign w:val="bottom"/>
          </w:tcPr>
          <w:p>
            <w:pPr>
              <w:spacing w:after="0"/>
              <w:rPr>
                <w:sz w:val="24"/>
                <w:szCs w:val="24"/>
                <w:color w:val="auto"/>
              </w:rPr>
            </w:pPr>
          </w:p>
        </w:tc>
        <w:tc>
          <w:tcPr>
            <w:tcW w:w="3260" w:type="dxa"/>
            <w:vAlign w:val="bottom"/>
          </w:tcPr>
          <w:p>
            <w:pPr>
              <w:jc w:val="right"/>
              <w:ind w:right="165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30"/>
        </w:trPr>
        <w:tc>
          <w:tcPr>
            <w:tcW w:w="35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0"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Our operating cash flows for the six-month period ended June 30, 2025 decreased as compared to the same period in 2024 despite the absence of an earnout payment, primarily reflecting lower earnings, higher regulatory recertification costs on our vessels and systems and higher working capital outflows. Operating cash outflows during the six-month period ended June 30, 2024 included $58.3 million of the $85.0 million earnout payment on April 3, 2024. Regulatory recertification spending on our vessels and systems was $33.9 million and $20.3 million, respectively, during the comparable year over year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0"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Cash flows used in investing activities for the six-month period ended June 30, 2025 increased slightly as compared to the same period in 2024 primarily due to higher capital expenditures.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0"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Net cash outflows from financing activities for the six-month period ended June 30, 2025 primarily reflect the repurchases of $30.2 million in our common stock under the 2023 Repurchase Program (including $0.2 million of excise tax paid), principal repayment of $4.5 million related to the MARAD Debt and payments in satisfaction of tax obligations upon vesting of share-based awards. Net cash outflows from financing activities for the six-month period ended June 30, 2024 primarily reflect cash outflows of $60.7 million related to the 2026 Notes, $26.7 million of the $85.0 million earnout payment, the principal repayment of $4.3 million related to the MARAD Debt and $ 10.2 million in repurchases of our common stock under the 2023 Repurchase Program. These outflows were offset in part by $4.4 million of cash inflows from the proportionate settlement of the 2026 Capped Calls.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1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following table summarizes (in thousands) the principal amount of our long-term debt and related debt service costs as well as other contractual commitments, which include commitments for property and equipment and operating lease obligations, as of June 30, 2025 and the portions of those amounts that are short-term (due in less than one year) and long-term (due in one year or greater) based on their stated maturities.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June 30,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Short-Term</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19,294</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9,412</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9,882</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2029 Notes</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debt</w:t>
            </w:r>
          </w:p>
        </w:tc>
        <w:tc>
          <w:tcPr>
            <w:tcW w:w="2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108,912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30,513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78,399</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9,068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9,068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833,395</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160,021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673,374</w:t>
            </w:r>
          </w:p>
        </w:tc>
      </w:tr>
      <w:tr>
        <w:trPr>
          <w:trHeight w:val="196"/>
        </w:trPr>
        <w:tc>
          <w:tcPr>
            <w:tcW w:w="2480" w:type="dxa"/>
            <w:vAlign w:val="bottom"/>
          </w:tcPr>
          <w:p>
            <w:pPr>
              <w:ind w:left="120"/>
              <w:spacing w:after="0" w:line="196" w:lineRule="exact"/>
              <w:rPr>
                <w:sz w:val="20"/>
                <w:szCs w:val="20"/>
                <w:color w:val="auto"/>
              </w:rPr>
            </w:pPr>
            <w:r>
              <w:rPr>
                <w:rFonts w:ascii="Arial" w:cs="Arial" w:eastAsia="Arial" w:hAnsi="Arial"/>
                <w:sz w:val="18"/>
                <w:szCs w:val="18"/>
                <w:color w:val="auto"/>
              </w:rPr>
              <w:t>Total cash obligations</w:t>
            </w:r>
          </w:p>
        </w:tc>
        <w:tc>
          <w:tcPr>
            <w:tcW w:w="22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1,270,669</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209,014</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1,061,655</w:t>
            </w:r>
          </w:p>
        </w:tc>
      </w:tr>
      <w:tr>
        <w:trPr>
          <w:trHeight w:val="20"/>
        </w:trPr>
        <w:tc>
          <w:tcPr>
            <w:tcW w:w="2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76" w:lineRule="exact"/>
        <w:rPr>
          <w:sz w:val="20"/>
          <w:szCs w:val="20"/>
          <w:color w:val="auto"/>
        </w:rPr>
      </w:pPr>
    </w:p>
    <w:p>
      <w:pPr>
        <w:ind w:left="660" w:right="20" w:hanging="652"/>
        <w:spacing w:after="0" w:line="24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including commitments related to leases executed but not yet commenced. At June 30, 2025, our commitment related to long-term vessel charters that have commenced totaled approximately $768.3 million, of which $390.9 million was related to the non-lease (services) components that are not included in operating lease liabilities in the condensed consolidated balance sheet as of June 30, 2025.</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material cash requirements include the following:</w:t>
      </w:r>
    </w:p>
    <w:p>
      <w:pPr>
        <w:spacing w:after="0" w:line="212"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12).</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condensed consolidated balance sheets, approximate $80.9 million (undiscounted) for Thunder Hawk Field oil and gas properties and $37.1 million (undiscounted) for Droshky oil and gas properties as of June 30, 2025, none of which is expected to be paid during the next 12 months. We are entitled to receive $30.0 million (undiscounted) from Marathon Oil Corporation as certain decommissioning obligations associated with Droshky oil and gas properties are fulfilled.</w:t>
      </w:r>
    </w:p>
    <w:p>
      <w:pPr>
        <w:spacing w:after="0" w:line="17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i w:val="1"/>
          <w:iCs w:val="1"/>
          <w:color w:val="auto"/>
        </w:rPr>
        <w:t xml:space="preserve">Regulatory recertification and dry dock. </w:t>
      </w:r>
      <w:r>
        <w:rPr>
          <w:rFonts w:ascii="Arial" w:cs="Arial" w:eastAsia="Arial" w:hAnsi="Arial"/>
          <w:sz w:val="18"/>
          <w:szCs w:val="18"/>
          <w:color w:val="auto"/>
        </w:rPr>
        <w:t>Our vessels and systems are subject to certain regulatory recertification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$0.2 million to $15.0 million per vessel and $0.5 million to $5.0 million per system.</w:t>
      </w:r>
    </w:p>
    <w:p>
      <w:pPr>
        <w:spacing w:after="0" w:line="17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expect the sources of funds to satisfy our material cash requirements to come from our ongoing operations and existing cash on hand. Although not currently expected, we also have availability under the Amended ABL Facility and access to capital markets.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2024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As a multi-national organization, we are subject to market risks associated with foreign currency exchange rates, interest rates and commodity prices.</w:t>
      </w:r>
    </w:p>
    <w:p>
      <w:pPr>
        <w:spacing w:after="0" w:line="154" w:lineRule="exact"/>
        <w:rPr>
          <w:sz w:val="20"/>
          <w:szCs w:val="20"/>
          <w:color w:val="auto"/>
        </w:rPr>
      </w:pPr>
    </w:p>
    <w:p>
      <w:pPr>
        <w:ind w:right="40"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18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7"/>
          <w:szCs w:val="17"/>
          <w:color w:val="auto"/>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six-month period ended June 30, 2025, we recorded foreign currency translation gains of $81.3 million to accumulated other comprehensive loss. Deferred taxes have not been provided on foreign currency translation adjustments as any outside stock basis differences would be realized in a tax-free manner.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 and six-month periods ended June 30, 2025, we recorded net foreign currency gains of $0.4 million and $0.1 million, respectively, primarily related to the British pound on our U.K. subsidiaries’ foreign currency positions.</w:t>
      </w:r>
    </w:p>
    <w:p>
      <w:pPr>
        <w:spacing w:after="0" w:line="168"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In order to minimize the risk of changes to our cash flow due to changing interest rates,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the Amended ABL Facility or other debt subject to floating rates.</w:t>
      </w:r>
    </w:p>
    <w:p>
      <w:pPr>
        <w:spacing w:after="0" w:line="179"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market price risks related to oil and natural gas with respect to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oil and gas production in our Production Facilities business. Prices are volatile and unpredictable and are dependent on many factors beyond our control. See Item 1A. Risk Factors in our 2024 Form 10-K for a list of factors affecting oil and gas prices.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right="20" w:firstLine="656"/>
        <w:spacing w:after="0"/>
        <w:tabs>
          <w:tab w:leader="none" w:pos="9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June 30, 2025. Based on this evaluation, our principal executive officer and principal financial officer have concluded that our disclosure controls and procedures were effective as of June 30, 2025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spacing w:after="0" w:line="180" w:lineRule="exact"/>
        <w:rPr>
          <w:rFonts w:ascii="Arial" w:cs="Arial" w:eastAsia="Arial" w:hAnsi="Arial"/>
          <w:sz w:val="18"/>
          <w:szCs w:val="18"/>
          <w:color w:val="auto"/>
        </w:rPr>
      </w:pPr>
    </w:p>
    <w:p>
      <w:pPr>
        <w:jc w:val="both"/>
        <w:ind w:right="340" w:firstLine="656"/>
        <w:spacing w:after="0" w:line="253" w:lineRule="auto"/>
        <w:tabs>
          <w:tab w:leader="none" w:pos="9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There have been no changes in our internal control over financial reporting that occurred during the three-month period ended June 30, 2025 that have materially affected, or are reasonably likely to materially affect, our internal control over financial reporting.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See Part I, Item 1, Note 13 — Commitments and Contingencies and Other Matters to the Condensed Consolidated Financial Statements, which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There have been no material changes during the period ended June 30, 2025 in our “Risk Factors” as discussed in Item 1A of our Annual Report on Form 10-K for the year ended December 31, 2024.</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572"/>
        </w:trPr>
        <w:tc>
          <w:tcPr>
            <w:tcW w:w="6380" w:type="dxa"/>
            <w:vAlign w:val="bottom"/>
            <w:gridSpan w:val="9"/>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9"/>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20" w:type="dxa"/>
            <w:vAlign w:val="bottom"/>
            <w:gridSpan w:val="8"/>
          </w:tcPr>
          <w:p>
            <w:pPr>
              <w:jc w:val="right"/>
              <w:ind w:right="1230"/>
              <w:spacing w:after="0"/>
              <w:rPr>
                <w:sz w:val="20"/>
                <w:szCs w:val="20"/>
                <w:color w:val="auto"/>
              </w:rPr>
            </w:pPr>
            <w:r>
              <w:rPr>
                <w:rFonts w:ascii="Arial" w:cs="Arial" w:eastAsia="Arial" w:hAnsi="Arial"/>
                <w:sz w:val="18"/>
                <w:szCs w:val="18"/>
                <w:b w:val="1"/>
                <w:bCs w:val="1"/>
                <w:color w:val="auto"/>
              </w:rPr>
              <w:t>Issuer Purchases of Equity Securities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3"/>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value of shares</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5"/>
              </w:rPr>
              <w:t>(b)</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that may yet be</w:t>
            </w:r>
          </w:p>
        </w:tc>
      </w:tr>
      <w:tr>
        <w:trPr>
          <w:trHeight w:val="193"/>
        </w:trPr>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Total number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00"/>
              <w:spacing w:after="0" w:line="193" w:lineRule="exact"/>
              <w:rPr>
                <w:sz w:val="20"/>
                <w:szCs w:val="20"/>
                <w:color w:val="auto"/>
              </w:rPr>
            </w:pPr>
            <w:r>
              <w:rPr>
                <w:rFonts w:ascii="Arial" w:cs="Arial" w:eastAsia="Arial" w:hAnsi="Arial"/>
                <w:sz w:val="18"/>
                <w:szCs w:val="18"/>
                <w:b w:val="1"/>
                <w:bCs w:val="1"/>
                <w:color w:val="auto"/>
                <w:w w:val="98"/>
              </w:rPr>
              <w:t>Average</w:t>
            </w:r>
          </w:p>
        </w:tc>
        <w:tc>
          <w:tcPr>
            <w:tcW w:w="15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part of publicly</w:t>
            </w:r>
          </w:p>
        </w:tc>
        <w:tc>
          <w:tcPr>
            <w:tcW w:w="200" w:type="dxa"/>
            <w:vAlign w:val="bottom"/>
          </w:tcPr>
          <w:p>
            <w:pPr>
              <w:spacing w:after="0"/>
              <w:rPr>
                <w:sz w:val="16"/>
                <w:szCs w:val="16"/>
                <w:color w:val="auto"/>
              </w:rPr>
            </w:pPr>
          </w:p>
        </w:tc>
        <w:tc>
          <w:tcPr>
            <w:tcW w:w="1820" w:type="dxa"/>
            <w:vAlign w:val="bottom"/>
            <w:gridSpan w:val="2"/>
          </w:tcPr>
          <w:p>
            <w:pPr>
              <w:jc w:val="center"/>
              <w:spacing w:after="0" w:line="193" w:lineRule="exact"/>
              <w:rPr>
                <w:sz w:val="20"/>
                <w:szCs w:val="20"/>
                <w:color w:val="auto"/>
              </w:rPr>
            </w:pPr>
            <w:r>
              <w:rPr>
                <w:rFonts w:ascii="Arial" w:cs="Arial" w:eastAsia="Arial" w:hAnsi="Arial"/>
                <w:sz w:val="18"/>
                <w:szCs w:val="18"/>
                <w:b w:val="1"/>
                <w:bCs w:val="1"/>
                <w:color w:val="auto"/>
                <w:w w:val="99"/>
              </w:rPr>
              <w:t>purchased under the</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price paid</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3"/>
                <w:szCs w:val="23"/>
                <w:b w:val="1"/>
                <w:bCs w:val="1"/>
                <w:color w:val="auto"/>
                <w:vertAlign w:val="superscript"/>
              </w:rPr>
              <w:t>(2)</w:t>
            </w:r>
          </w:p>
        </w:tc>
      </w:tr>
      <w:tr>
        <w:trPr>
          <w:trHeight w:val="231"/>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7"/>
              </w:rPr>
              <w:t xml:space="preserve">purchased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per share</w:t>
            </w:r>
          </w:p>
        </w:tc>
        <w:tc>
          <w:tcPr>
            <w:tcW w:w="152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6"/>
              </w:rPr>
              <w:t xml:space="preserve">or programs </w:t>
            </w:r>
            <w:r>
              <w:rPr>
                <w:rFonts w:ascii="Arial" w:cs="Arial" w:eastAsia="Arial" w:hAnsi="Arial"/>
                <w:sz w:val="26"/>
                <w:szCs w:val="26"/>
                <w:b w:val="1"/>
                <w:bCs w:val="1"/>
                <w:color w:val="auto"/>
                <w:w w:val="96"/>
                <w:vertAlign w:val="superscript"/>
              </w:rPr>
              <w:t>(1)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(in thousands)</w:t>
            </w:r>
          </w:p>
        </w:tc>
      </w:tr>
      <w:tr>
        <w:trPr>
          <w:trHeight w:val="196"/>
        </w:trPr>
        <w:tc>
          <w:tcPr>
            <w:tcW w:w="24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April 1 to April 30, 2025</w:t>
            </w: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1,075,256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6.18</w:t>
            </w: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1,075,256</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151,745</w:t>
            </w:r>
          </w:p>
        </w:tc>
      </w:tr>
      <w:tr>
        <w:trPr>
          <w:trHeight w:val="203"/>
        </w:trPr>
        <w:tc>
          <w:tcPr>
            <w:tcW w:w="2480" w:type="dxa"/>
            <w:vAlign w:val="bottom"/>
            <w:gridSpan w:val="2"/>
          </w:tcPr>
          <w:p>
            <w:pPr>
              <w:spacing w:after="0" w:line="202" w:lineRule="exact"/>
              <w:rPr>
                <w:sz w:val="20"/>
                <w:szCs w:val="20"/>
                <w:color w:val="auto"/>
              </w:rPr>
            </w:pPr>
            <w:r>
              <w:rPr>
                <w:rFonts w:ascii="Arial" w:cs="Arial" w:eastAsia="Arial" w:hAnsi="Arial"/>
                <w:sz w:val="18"/>
                <w:szCs w:val="18"/>
                <w:color w:val="auto"/>
              </w:rPr>
              <w:t>May 1 to May 31, 2025</w:t>
            </w:r>
          </w:p>
        </w:tc>
        <w:tc>
          <w:tcPr>
            <w:tcW w:w="2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3,567,804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6.55</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3,567,804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128,380</w:t>
            </w:r>
          </w:p>
        </w:tc>
      </w:tr>
      <w:tr>
        <w:trPr>
          <w:trHeight w:val="203"/>
        </w:trPr>
        <w:tc>
          <w:tcPr>
            <w:tcW w:w="2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June 1 to June 30, 2025</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128,380</w:t>
            </w:r>
          </w:p>
        </w:tc>
      </w:tr>
      <w:tr>
        <w:trPr>
          <w:trHeight w:val="196"/>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4,643,060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6.46</w:t>
            </w:r>
          </w:p>
        </w:tc>
        <w:tc>
          <w:tcPr>
            <w:tcW w:w="20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4,643,060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9"/>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7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shares repurchased in open-market transactions pursuant to the 2023 Repurchase Program.</w:t>
      </w:r>
    </w:p>
    <w:p>
      <w:pPr>
        <w:spacing w:after="0" w:line="103" w:lineRule="exact"/>
        <w:rPr>
          <w:rFonts w:ascii="Arial" w:cs="Arial" w:eastAsia="Arial" w:hAnsi="Arial"/>
          <w:sz w:val="18"/>
          <w:szCs w:val="18"/>
          <w:color w:val="auto"/>
        </w:rPr>
      </w:pPr>
    </w:p>
    <w:p>
      <w:pPr>
        <w:ind w:left="660" w:right="680" w:hanging="652"/>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7 to this Quarterly Report on Form 10-Q and Note 10 to our 2024 Annual Report on Form 10-K for additional information regarding our share repurchase programs.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jc w:val="both"/>
        <w:ind w:right="440" w:firstLine="656"/>
        <w:spacing w:after="0" w:line="253" w:lineRule="auto"/>
        <w:tabs>
          <w:tab w:leader="none" w:pos="9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three-month period ended June 30, 2025, no director or “officer” of Helix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120" w:type="dxa"/>
            <w:vAlign w:val="bottom"/>
            <w:gridSpan w:val="12"/>
          </w:tcPr>
          <w:p>
            <w:pPr>
              <w:ind w:left="3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1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520" w:type="dxa"/>
            <w:vAlign w:val="bottom"/>
            <w:tcBorders>
              <w:top w:val="single" w:sz="8" w:color="auto"/>
            </w:tcBorders>
            <w:gridSpan w:val="13"/>
          </w:tcPr>
          <w:p>
            <w:pPr>
              <w:spacing w:after="0" w:line="176" w:lineRule="exact"/>
              <w:rPr>
                <w:rFonts w:ascii="Arial" w:cs="Arial" w:eastAsia="Arial" w:hAnsi="Arial"/>
                <w:sz w:val="18"/>
                <w:szCs w:val="18"/>
                <w:color w:val="0000EE"/>
              </w:rPr>
            </w:pPr>
            <w:hyperlink r:id="rId56">
              <w:r>
                <w:rPr>
                  <w:rFonts w:ascii="Arial" w:cs="Arial" w:eastAsia="Arial" w:hAnsi="Arial"/>
                  <w:sz w:val="18"/>
                  <w:szCs w:val="18"/>
                  <w:color w:val="0000EE"/>
                </w:rPr>
                <w:t>2005 Amended and Restated Articles of Incorporation,</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56">
              <w:r>
                <w:rPr>
                  <w:rFonts w:ascii="Arial" w:cs="Arial" w:eastAsia="Arial" w:hAnsi="Arial"/>
                  <w:sz w:val="18"/>
                  <w:szCs w:val="18"/>
                  <w:color w:val="0000EE"/>
                </w:rPr>
                <w:t>as amended, of Helix Energy Solutions Group,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57">
              <w:r>
                <w:rPr>
                  <w:rFonts w:ascii="Arial" w:cs="Arial" w:eastAsia="Arial" w:hAnsi="Arial"/>
                  <w:sz w:val="18"/>
                  <w:szCs w:val="18"/>
                  <w:color w:val="0000EE"/>
                </w:rPr>
                <w:t>Second  Amended  and  Restated  By-Laws  of</w:t>
              </w:r>
            </w:hyperlink>
          </w:p>
        </w:tc>
        <w:tc>
          <w:tcPr>
            <w:tcW w:w="480" w:type="dxa"/>
            <w:vAlign w:val="bottom"/>
            <w:gridSpan w:val="8"/>
          </w:tcPr>
          <w:p>
            <w:pPr>
              <w:jc w:val="right"/>
              <w:ind w:right="120"/>
              <w:spacing w:after="0" w:line="182" w:lineRule="exact"/>
              <w:rPr>
                <w:rFonts w:ascii="Arial" w:cs="Arial" w:eastAsia="Arial" w:hAnsi="Arial"/>
                <w:sz w:val="18"/>
                <w:szCs w:val="18"/>
                <w:color w:val="0000EE"/>
                <w:w w:val="84"/>
              </w:rPr>
            </w:pPr>
            <w:hyperlink r:id="rId57">
              <w:r>
                <w:rPr>
                  <w:rFonts w:ascii="Arial" w:cs="Arial" w:eastAsia="Arial" w:hAnsi="Arial"/>
                  <w:sz w:val="18"/>
                  <w:szCs w:val="18"/>
                  <w:color w:val="0000EE"/>
                  <w:w w:val="84"/>
                </w:rPr>
                <w:t>Helix</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57">
              <w:r>
                <w:rPr>
                  <w:rFonts w:ascii="Arial" w:cs="Arial" w:eastAsia="Arial" w:hAnsi="Arial"/>
                  <w:sz w:val="18"/>
                  <w:szCs w:val="18"/>
                  <w:color w:val="0000EE"/>
                </w:rPr>
                <w:t>Energy Solutions Group, Inc., as amended.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Certification Pursuant to Rule 13a-14(a)</w:t>
            </w:r>
          </w:p>
        </w:tc>
        <w:tc>
          <w:tcPr>
            <w:tcW w:w="1080" w:type="dxa"/>
            <w:vAlign w:val="bottom"/>
            <w:gridSpan w:val="9"/>
          </w:tcPr>
          <w:p>
            <w:pPr>
              <w:jc w:val="right"/>
              <w:ind w:right="120"/>
              <w:spacing w:after="0" w:line="182" w:lineRule="exact"/>
              <w:rPr>
                <w:sz w:val="20"/>
                <w:szCs w:val="20"/>
                <w:color w:val="auto"/>
              </w:rPr>
            </w:pPr>
            <w:r>
              <w:rPr>
                <w:rFonts w:ascii="Arial" w:cs="Arial" w:eastAsia="Arial" w:hAnsi="Arial"/>
                <w:sz w:val="18"/>
                <w:szCs w:val="18"/>
                <w:color w:val="0000EE"/>
              </w:rPr>
              <w:t>under the</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300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20" w:type="dxa"/>
            <w:vAlign w:val="bottom"/>
            <w:gridSpan w:val="13"/>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Securities Exchange Act of 1934 by Erik Staffeldt,</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Chief Financial Officer.</w:t>
            </w: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Certification  of  Helix’s</w:t>
            </w:r>
          </w:p>
        </w:tc>
        <w:tc>
          <w:tcPr>
            <w:tcW w:w="2720" w:type="dxa"/>
            <w:vAlign w:val="bottom"/>
            <w:gridSpan w:val="11"/>
          </w:tcPr>
          <w:p>
            <w:pPr>
              <w:jc w:val="right"/>
              <w:ind w:right="120"/>
              <w:spacing w:after="0" w:line="182" w:lineRule="exact"/>
              <w:rPr>
                <w:sz w:val="20"/>
                <w:szCs w:val="20"/>
                <w:color w:val="auto"/>
              </w:rPr>
            </w:pPr>
            <w:r>
              <w:rPr>
                <w:rFonts w:ascii="Arial" w:cs="Arial" w:eastAsia="Arial" w:hAnsi="Arial"/>
                <w:sz w:val="18"/>
                <w:szCs w:val="18"/>
                <w:color w:val="0000EE"/>
              </w:rPr>
              <w:t>Chief  Executive  Officer  and</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Chief Financial Officer pursuant to Section 906 of the</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gridSpan w:val="2"/>
            <w:vMerge w:val="restart"/>
          </w:tcPr>
          <w:p>
            <w:pPr>
              <w:ind w:left="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5"/>
                <w:szCs w:val="15"/>
                <w:color w:val="auto"/>
              </w:rPr>
            </w:pPr>
          </w:p>
        </w:tc>
        <w:tc>
          <w:tcPr>
            <w:tcW w:w="44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Sarbanes–Oxley Act of 2002.</w:t>
            </w: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4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18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768"/>
        </w:trPr>
        <w:tc>
          <w:tcPr>
            <w:tcW w:w="142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101.CAL</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101.DEF</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101.LAB</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bl>
    <w:p>
      <w:pPr>
        <w:ind w:left="1480" w:right="40" w:hanging="1423"/>
        <w:spacing w:after="0" w:line="250"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0" w:right="20"/>
        <w:spacing w:after="0" w:line="247"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-13970</wp:posOffset>
            </wp:positionV>
            <wp:extent cx="23914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Exhibit 3.1 to the Current Report on Form 8-K filed on March 1, 2006 (000-22739)</w:t>
      </w:r>
    </w:p>
    <w:p>
      <w:pPr>
        <w:spacing w:after="0" w:line="242" w:lineRule="auto"/>
        <w:rPr>
          <w:sz w:val="20"/>
          <w:szCs w:val="20"/>
          <w:color w:val="auto"/>
        </w:rPr>
      </w:pPr>
      <w:r>
        <w:rPr>
          <w:rFonts w:ascii="Arial" w:cs="Arial" w:eastAsia="Arial" w:hAnsi="Arial"/>
          <w:sz w:val="18"/>
          <w:szCs w:val="18"/>
          <w:color w:val="auto"/>
        </w:rPr>
        <w:t>Exhibit 3.1 to the Current Report on Form 8-K filed on September 28, 2006 (001-32936) Filed herewith</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instance document does not appear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Interactive Data File because its XBRL</w:t>
      </w:r>
    </w:p>
    <w:p>
      <w:pPr>
        <w:spacing w:after="0" w:line="234" w:lineRule="auto"/>
        <w:rPr>
          <w:sz w:val="20"/>
          <w:szCs w:val="20"/>
          <w:color w:val="auto"/>
        </w:rPr>
      </w:pPr>
      <w:r>
        <w:rPr>
          <w:rFonts w:ascii="Arial" w:cs="Arial" w:eastAsia="Arial" w:hAnsi="Arial"/>
          <w:sz w:val="18"/>
          <w:szCs w:val="18"/>
          <w:color w:val="auto"/>
        </w:rPr>
        <w:t>tags are embedded within the Inline XBRL</w:t>
      </w:r>
    </w:p>
    <w:p>
      <w:pPr>
        <w:spacing w:after="0" w:line="235" w:lineRule="auto"/>
        <w:rPr>
          <w:sz w:val="20"/>
          <w:szCs w:val="20"/>
          <w:color w:val="auto"/>
        </w:rPr>
      </w:pPr>
      <w:r>
        <w:rPr>
          <w:rFonts w:ascii="Arial" w:cs="Arial" w:eastAsia="Arial" w:hAnsi="Arial"/>
          <w:sz w:val="18"/>
          <w:szCs w:val="18"/>
          <w:color w:val="auto"/>
        </w:rPr>
        <w:t>document</w:t>
      </w:r>
    </w:p>
    <w:p>
      <w:pPr>
        <w:spacing w:after="0" w:line="235" w:lineRule="auto"/>
        <w:rPr>
          <w:sz w:val="20"/>
          <w:szCs w:val="20"/>
          <w:color w:val="auto"/>
        </w:rPr>
      </w:pPr>
      <w:r>
        <w:rPr>
          <w:rFonts w:ascii="Arial" w:cs="Arial" w:eastAsia="Arial" w:hAnsi="Arial"/>
          <w:sz w:val="18"/>
          <w:szCs w:val="18"/>
          <w:color w:val="auto"/>
        </w:rPr>
        <w:t>Filed herewith</w:t>
      </w:r>
    </w:p>
    <w:p>
      <w:pPr>
        <w:spacing w:after="0"/>
        <w:rPr>
          <w:sz w:val="20"/>
          <w:szCs w:val="20"/>
          <w:color w:val="auto"/>
        </w:rPr>
      </w:pPr>
      <w:r>
        <w:rPr>
          <w:rFonts w:ascii="Arial" w:cs="Arial" w:eastAsia="Arial" w:hAnsi="Arial"/>
          <w:sz w:val="18"/>
          <w:szCs w:val="18"/>
          <w:color w:val="auto"/>
        </w:rPr>
        <w:t>Filed herewith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920" w:space="280"/>
            <w:col w:w="3680"/>
          </w:cols>
          <w:pgMar w:left="980" w:top="513" w:right="10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HELIX ENERGY SOLUTIONS GROUP, INC.</w:t>
      </w:r>
    </w:p>
    <w:p>
      <w:pPr>
        <w:spacing w:after="0" w:line="1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(Registrant)</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July 24, 2025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Owen Kratz</w:t>
      </w:r>
    </w:p>
    <w:p>
      <w:pPr>
        <w:ind w:left="51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July 24, 2025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Erik Staffeldt</w:t>
      </w:r>
    </w:p>
    <w:p>
      <w:pPr>
        <w:ind w:left="5120"/>
        <w:spacing w:after="0" w:line="234" w:lineRule="auto"/>
        <w:rPr>
          <w:sz w:val="20"/>
          <w:szCs w:val="20"/>
          <w:color w:val="auto"/>
        </w:rPr>
      </w:pPr>
      <w:r>
        <w:rPr>
          <w:rFonts w:ascii="Arial" w:cs="Arial" w:eastAsia="Arial" w:hAnsi="Arial"/>
          <w:sz w:val="18"/>
          <w:szCs w:val="18"/>
          <w:color w:val="auto"/>
        </w:rPr>
        <w:t>Executive Vice President and</w:t>
      </w:r>
    </w:p>
    <w:p>
      <w:pPr>
        <w:ind w:left="51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3" w:right="12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July 24, 2025</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-142875</wp:posOffset>
            </wp:positionV>
            <wp:extent cx="31457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1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July 24, 2025</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184"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In connection with the Quarterly Report of Helix Energy Solutions Group, Inc. (“Helix”) on Form 10-Q for the quarterly period ended June 30, 2025,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34" w:lineRule="exact"/>
        <w:rPr>
          <w:sz w:val="20"/>
          <w:szCs w:val="20"/>
          <w:color w:val="auto"/>
        </w:rPr>
      </w:pPr>
    </w:p>
    <w:p>
      <w:pPr>
        <w:ind w:left="660" w:right="140" w:hanging="328"/>
        <w:spacing w:after="0" w:line="257"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14"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July 24, 2025</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Date: July 24, 2025</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Roman"/>
      <w:start w:val="5"/>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3"/>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56" Type="http://schemas.openxmlformats.org/officeDocument/2006/relationships/hyperlink" Target="https://www.sec.gov/Archives/edgar/data/0000866829/000095012906002103/h33539exv3w1.htm" TargetMode="External"/><Relationship Id="rId57" Type="http://schemas.openxmlformats.org/officeDocument/2006/relationships/hyperlink" Target="https://www.sec.gov/Archives/edgar/data/866829/000095012906008744/h39963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2025-07-24T15:31:41Z</dcterms:created>
  <dcterms:modified xsi:type="dcterms:W3CDTF">2025-07-24T15:31:41Z</dcterms:modified>
</cp:coreProperties>
</file>