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8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UNITED STATES</w:t>
      </w:r>
    </w:p>
    <w:p>
      <w:pPr>
        <w:ind w:left="3200"/>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166" w:lineRule="exact"/>
        <w:rPr>
          <w:sz w:val="24"/>
          <w:szCs w:val="24"/>
          <w:color w:val="auto"/>
        </w:rPr>
      </w:pPr>
    </w:p>
    <w:p>
      <w:pPr>
        <w:ind w:left="3400" w:right="1480" w:hanging="3358"/>
        <w:spacing w:after="0" w:line="315" w:lineRule="auto"/>
        <w:tabs>
          <w:tab w:leader="none" w:pos="746"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2960" w:right="1180" w:hanging="2918"/>
        <w:spacing w:after="0" w:line="329" w:lineRule="auto"/>
        <w:tabs>
          <w:tab w:leader="none" w:pos="738"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from__________ to__________</w:t>
      </w:r>
    </w:p>
    <w:p>
      <w:pPr>
        <w:ind w:left="3680"/>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2606675</wp:posOffset>
            </wp:positionH>
            <wp:positionV relativeFrom="paragraph">
              <wp:posOffset>52070</wp:posOffset>
            </wp:positionV>
            <wp:extent cx="12687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HELIX ENERGY SOLUTIONS GROUP, INC.</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0220"/>
          </w:cols>
          <w:pgMar w:left="840" w:top="661" w:right="839" w:bottom="1440" w:gutter="0" w:footer="0" w:header="0"/>
        </w:sectPr>
      </w:pP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95-3409686</w:t>
      </w:r>
    </w:p>
    <w:p>
      <w:pPr>
        <w:spacing w:after="0" w:line="36" w:lineRule="exact"/>
        <w:rPr>
          <w:sz w:val="24"/>
          <w:szCs w:val="24"/>
          <w:color w:val="auto"/>
        </w:rPr>
      </w:pPr>
    </w:p>
    <w:p>
      <w:pPr>
        <w:sectPr>
          <w:pgSz w:w="11900" w:h="16838" w:orient="portrait"/>
          <w:cols w:equalWidth="0" w:num="3">
            <w:col w:w="4380" w:space="720"/>
            <w:col w:w="1460" w:space="720"/>
            <w:col w:w="2940"/>
          </w:cols>
          <w:pgMar w:left="840" w:top="661" w:right="839" w:bottom="1440" w:gutter="0" w:footer="0" w:header="0"/>
          <w:type w:val="continuous"/>
        </w:sectPr>
      </w:pPr>
    </w:p>
    <w:p>
      <w:pPr>
        <w:ind w:left="4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1" w:lineRule="exact"/>
        <w:rPr>
          <w:sz w:val="24"/>
          <w:szCs w:val="24"/>
          <w:color w:val="auto"/>
        </w:rPr>
      </w:pPr>
    </w:p>
    <w:p>
      <w:pPr>
        <w:sectPr>
          <w:pgSz w:w="11900" w:h="16838" w:orient="portrait"/>
          <w:cols w:equalWidth="0" w:num="2">
            <w:col w:w="5740" w:space="720"/>
            <w:col w:w="3760"/>
          </w:cols>
          <w:pgMar w:left="840" w:top="661" w:right="839" w:bottom="1440" w:gutter="0" w:footer="0" w:header="0"/>
          <w:type w:val="continuous"/>
        </w:sectPr>
      </w:pPr>
    </w:p>
    <w:p>
      <w:pPr>
        <w:ind w:left="2520"/>
        <w:spacing w:after="0" w:line="226" w:lineRule="auto"/>
        <w:rPr>
          <w:sz w:val="20"/>
          <w:szCs w:val="20"/>
          <w:color w:val="auto"/>
        </w:rPr>
      </w:pPr>
      <w:r>
        <w:rPr>
          <w:rFonts w:ascii="Arial" w:cs="Arial" w:eastAsia="Arial" w:hAnsi="Arial"/>
          <w:sz w:val="9"/>
          <w:szCs w:val="9"/>
          <w:color w:val="auto"/>
        </w:rPr>
        <w:t>​</w:t>
      </w:r>
    </w:p>
    <w:p>
      <w:pPr>
        <w:sectPr>
          <w:pgSz w:w="11900" w:h="16838" w:orient="portrait"/>
          <w:cols w:equalWidth="0" w:num="1">
            <w:col w:w="10220"/>
          </w:cols>
          <w:pgMar w:left="840" w:top="661" w:right="839" w:bottom="1440" w:gutter="0" w:footer="0" w:header="0"/>
          <w:type w:val="continuous"/>
        </w:sectPr>
      </w:pPr>
    </w:p>
    <w:p>
      <w:pPr>
        <w:ind w:left="960"/>
        <w:spacing w:after="0" w:line="230" w:lineRule="auto"/>
        <w:rPr>
          <w:sz w:val="20"/>
          <w:szCs w:val="20"/>
          <w:color w:val="auto"/>
        </w:rPr>
      </w:pPr>
      <w:r>
        <w:rPr>
          <w:rFonts w:ascii="Arial" w:cs="Arial" w:eastAsia="Arial" w:hAnsi="Arial"/>
          <w:sz w:val="16"/>
          <w:szCs w:val="16"/>
          <w:b w:val="1"/>
          <w:bCs w:val="1"/>
          <w:color w:val="auto"/>
        </w:rPr>
        <w:t>3505 West Sam Houston Parkway North</w:t>
      </w:r>
    </w:p>
    <w:p>
      <w:pPr>
        <w:ind w:left="2120"/>
        <w:spacing w:after="0"/>
        <w:rPr>
          <w:sz w:val="20"/>
          <w:szCs w:val="20"/>
          <w:color w:val="auto"/>
        </w:rPr>
      </w:pPr>
      <w:r>
        <w:rPr>
          <w:rFonts w:ascii="Arial" w:cs="Arial" w:eastAsia="Arial" w:hAnsi="Arial"/>
          <w:sz w:val="16"/>
          <w:szCs w:val="16"/>
          <w:b w:val="1"/>
          <w:bCs w:val="1"/>
          <w:color w:val="auto"/>
        </w:rPr>
        <w:t>Suite 400</w:t>
      </w:r>
    </w:p>
    <w:p>
      <w:pPr>
        <w:spacing w:after="0" w:line="5"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Houston Texas</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77043</w:t>
      </w:r>
    </w:p>
    <w:p>
      <w:pPr>
        <w:spacing w:after="0" w:line="35" w:lineRule="exact"/>
        <w:rPr>
          <w:sz w:val="24"/>
          <w:szCs w:val="24"/>
          <w:color w:val="auto"/>
        </w:rPr>
      </w:pPr>
    </w:p>
    <w:p>
      <w:pPr>
        <w:sectPr>
          <w:pgSz w:w="11900" w:h="16838" w:orient="portrait"/>
          <w:cols w:equalWidth="0" w:num="2">
            <w:col w:w="6760" w:space="720"/>
            <w:col w:w="2740"/>
          </w:cols>
          <w:pgMar w:left="840" w:top="661" w:right="839" w:bottom="1440" w:gutter="0" w:footer="0" w:header="0"/>
          <w:type w:val="continuous"/>
        </w:sectPr>
      </w:pPr>
    </w:p>
    <w:p>
      <w:pPr>
        <w:ind w:left="112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55" w:lineRule="exact"/>
        <w:rPr>
          <w:sz w:val="24"/>
          <w:szCs w:val="24"/>
          <w:color w:val="auto"/>
        </w:rPr>
      </w:pPr>
    </w:p>
    <w:p>
      <w:pPr>
        <w:sectPr>
          <w:pgSz w:w="11900" w:h="16838" w:orient="portrait"/>
          <w:cols w:equalWidth="0" w:num="2">
            <w:col w:w="6620" w:space="720"/>
            <w:col w:w="2880"/>
          </w:cols>
          <w:pgMar w:left="840" w:top="661" w:right="839" w:bottom="1440" w:gutter="0" w:footer="0" w:header="0"/>
          <w:type w:val="continuous"/>
        </w:sectPr>
      </w:pPr>
    </w:p>
    <w:p>
      <w:pPr>
        <w:ind w:left="26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(281) 618-0400</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260" w:type="dxa"/>
            <w:vAlign w:val="bottom"/>
          </w:tcPr>
          <w:p>
            <w:pPr>
              <w:jc w:val="center"/>
              <w:ind w:right="199"/>
              <w:spacing w:after="0"/>
              <w:rPr>
                <w:sz w:val="20"/>
                <w:szCs w:val="20"/>
                <w:color w:val="auto"/>
              </w:rPr>
            </w:pPr>
            <w:r>
              <w:rPr>
                <w:rFonts w:ascii="Arial" w:cs="Arial" w:eastAsia="Arial" w:hAnsi="Arial"/>
                <w:sz w:val="16"/>
                <w:szCs w:val="16"/>
                <w:b w:val="1"/>
                <w:bCs w:val="1"/>
                <w:color w:val="auto"/>
              </w:rPr>
              <w:t>Trading Symbol(s)</w:t>
            </w:r>
          </w:p>
        </w:tc>
        <w:tc>
          <w:tcPr>
            <w:tcW w:w="5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4380" w:type="dxa"/>
            <w:vAlign w:val="bottom"/>
          </w:tcPr>
          <w:p>
            <w:pPr>
              <w:jc w:val="center"/>
              <w:ind w:right="2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no par value</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color w:val="auto"/>
              </w:rPr>
              <w:t>HLX</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rPr>
              <w:t>New York Stock Exchange</w:t>
            </w:r>
          </w:p>
        </w:tc>
      </w:tr>
    </w:tbl>
    <w:p>
      <w:pPr>
        <w:spacing w:after="0" w:line="2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9" w:lineRule="exact"/>
        <w:rPr>
          <w:sz w:val="24"/>
          <w:szCs w:val="24"/>
          <w:color w:val="auto"/>
        </w:rPr>
      </w:pPr>
    </w:p>
    <w:p>
      <w:pPr>
        <w:ind w:left="640" w:right="120"/>
        <w:spacing w:after="0" w:line="24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ind w:right="360" w:firstLine="648"/>
        <w:spacing w:after="0" w:line="21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0" w:lineRule="exact"/>
        <w:rPr>
          <w:sz w:val="24"/>
          <w:szCs w:val="24"/>
          <w:color w:val="auto"/>
        </w:rPr>
      </w:pPr>
    </w:p>
    <w:p>
      <w:pPr>
        <w:ind w:right="560" w:firstLine="648"/>
        <w:spacing w:after="0" w:line="18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 w:lineRule="exact"/>
        <w:rPr>
          <w:sz w:val="24"/>
          <w:szCs w:val="24"/>
          <w:color w:val="auto"/>
        </w:rPr>
      </w:pPr>
    </w:p>
    <w:p>
      <w:pPr>
        <w:jc w:val="both"/>
        <w:ind w:right="520" w:firstLine="648"/>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p>
      <w:pPr>
        <w:jc w:val="center"/>
        <w:ind w:right="20"/>
        <w:spacing w:after="0" w:line="184" w:lineRule="exact"/>
        <w:tabs>
          <w:tab w:leader="none" w:pos="300" w:val="left"/>
          <w:tab w:leader="none" w:pos="320" w:val="left"/>
          <w:tab w:leader="none" w:pos="140" w:val="left"/>
          <w:tab w:leader="none" w:pos="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ab/>
        <w:t xml:space="preserve">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420" w:firstLine="648"/>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680" w:firstLine="648"/>
        <w:spacing w:after="0" w:line="18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 w:lineRule="exact"/>
        <w:rPr>
          <w:sz w:val="24"/>
          <w:szCs w:val="24"/>
          <w:color w:val="auto"/>
        </w:rPr>
      </w:pPr>
    </w:p>
    <w:p>
      <w:pPr>
        <w:ind w:right="560" w:firstLine="648"/>
        <w:spacing w:after="0" w:line="19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 w:lineRule="exact"/>
        <w:rPr>
          <w:sz w:val="24"/>
          <w:szCs w:val="24"/>
          <w:color w:val="auto"/>
        </w:rPr>
      </w:pPr>
    </w:p>
    <w:p>
      <w:pPr>
        <w:ind w:right="140" w:firstLine="648"/>
        <w:spacing w:after="0" w:line="19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2" w:lineRule="exact"/>
        <w:rPr>
          <w:sz w:val="24"/>
          <w:szCs w:val="24"/>
          <w:color w:val="auto"/>
        </w:rPr>
      </w:pPr>
    </w:p>
    <w:p>
      <w:pPr>
        <w:jc w:val="both"/>
        <w:ind w:right="120" w:firstLine="648"/>
        <w:spacing w:after="0" w:line="234"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2025 was approximately $855.2 million based on the closing price of the registrant’s common stock as quoted on the New York Stock Exchange on June 30, 2025.</w:t>
      </w:r>
    </w:p>
    <w:p>
      <w:pPr>
        <w:spacing w:after="0" w:line="1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number of shares of the registrant’s common stock outstanding as of February 17, 2026 was 147,296,092.</w:t>
      </w:r>
    </w:p>
    <w:p>
      <w:pPr>
        <w:spacing w:after="0" w:line="86"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9" w:lineRule="exact"/>
        <w:rPr>
          <w:sz w:val="24"/>
          <w:szCs w:val="24"/>
          <w:color w:val="auto"/>
        </w:rPr>
      </w:pPr>
    </w:p>
    <w:p>
      <w:pPr>
        <w:ind w:right="300" w:firstLine="648"/>
        <w:spacing w:after="0" w:line="251" w:lineRule="auto"/>
        <w:rPr>
          <w:sz w:val="20"/>
          <w:szCs w:val="20"/>
          <w:color w:val="auto"/>
        </w:rPr>
      </w:pPr>
      <w:r>
        <w:rPr>
          <w:rFonts w:ascii="Arial" w:cs="Arial" w:eastAsia="Arial" w:hAnsi="Arial"/>
          <w:sz w:val="16"/>
          <w:szCs w:val="16"/>
          <w:color w:val="auto"/>
        </w:rPr>
        <w:t>Portions of the definitive Proxy Statement for the Annual Meeting of Shareholders to be held on May 13, 2026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553085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21590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64770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9"/>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80" w:type="dxa"/>
            <w:vAlign w:val="bottom"/>
            <w:gridSpan w:val="41"/>
          </w:tcPr>
          <w:p>
            <w:pPr>
              <w:ind w:left="40"/>
              <w:spacing w:after="0"/>
              <w:rPr>
                <w:sz w:val="20"/>
                <w:szCs w:val="20"/>
                <w:color w:val="auto"/>
              </w:rPr>
            </w:pPr>
            <w:r>
              <w:rPr>
                <w:rFonts w:ascii="Arial" w:cs="Arial" w:eastAsia="Arial" w:hAnsi="Arial"/>
                <w:sz w:val="18"/>
                <w:szCs w:val="18"/>
                <w:b w:val="1"/>
                <w:bCs w:val="1"/>
                <w:color w:val="auto"/>
              </w:rPr>
              <w:t>HELIX ENERGY SOLUTIONS GROUP, INC. INDEX — FORM 10-K</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23"/>
            <w:vMerge w:val="restart"/>
          </w:tcPr>
          <w:p>
            <w:pPr>
              <w:jc w:val="center"/>
              <w:ind w:right="3380"/>
              <w:spacing w:after="0"/>
              <w:rPr>
                <w:sz w:val="20"/>
                <w:szCs w:val="20"/>
                <w:color w:val="auto"/>
              </w:rPr>
            </w:pPr>
            <w:r>
              <w:rPr>
                <w:rFonts w:ascii="Arial" w:cs="Arial" w:eastAsia="Arial" w:hAnsi="Arial"/>
                <w:sz w:val="18"/>
                <w:szCs w:val="18"/>
                <w:b w:val="1"/>
                <w:bCs w:val="1"/>
                <w:color w:val="0000EE"/>
                <w:w w:val="98"/>
              </w:rPr>
              <w:t>PART I</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gridSpan w:val="23"/>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1100" w:type="dxa"/>
            <w:vAlign w:val="bottom"/>
            <w:gridSpan w:val="5"/>
          </w:tcPr>
          <w:p>
            <w:pPr>
              <w:spacing w:after="0"/>
              <w:rPr>
                <w:sz w:val="18"/>
                <w:szCs w:val="18"/>
                <w:color w:val="auto"/>
              </w:rPr>
            </w:pPr>
          </w:p>
        </w:tc>
        <w:tc>
          <w:tcPr>
            <w:tcW w:w="3400" w:type="dxa"/>
            <w:vAlign w:val="bottom"/>
            <w:gridSpan w:val="21"/>
          </w:tcPr>
          <w:p>
            <w:pPr>
              <w:spacing w:after="0"/>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3"/>
          </w:tcPr>
          <w:p>
            <w:pPr>
              <w:spacing w:after="0"/>
              <w:rPr>
                <w:sz w:val="18"/>
                <w:szCs w:val="18"/>
                <w:color w:val="auto"/>
              </w:rPr>
            </w:pPr>
          </w:p>
        </w:tc>
        <w:tc>
          <w:tcPr>
            <w:tcW w:w="3400" w:type="dxa"/>
            <w:vAlign w:val="bottom"/>
            <w:gridSpan w:val="19"/>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1A.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1B.</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Unresolved Staff Comments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8"/>
              </w:rPr>
              <w:t>Item 1C.</w:t>
            </w:r>
          </w:p>
        </w:tc>
        <w:tc>
          <w:tcPr>
            <w:tcW w:w="8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Cybersecurity</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160" w:type="dxa"/>
            <w:vAlign w:val="bottom"/>
            <w:gridSpan w:val="2"/>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Properties</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4.</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Mine Safety Disclosures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6"/>
          </w:tcPr>
          <w:p>
            <w:pPr>
              <w:spacing w:after="0"/>
              <w:rPr>
                <w:sz w:val="20"/>
                <w:szCs w:val="20"/>
                <w:color w:val="auto"/>
              </w:rPr>
            </w:pPr>
            <w:r>
              <w:rPr>
                <w:rFonts w:ascii="Arial" w:cs="Arial" w:eastAsia="Arial" w:hAnsi="Arial"/>
                <w:sz w:val="18"/>
                <w:szCs w:val="18"/>
                <w:color w:val="0000EE"/>
              </w:rPr>
              <w:t>Unnumbered Item</w:t>
            </w:r>
          </w:p>
        </w:tc>
        <w:tc>
          <w:tcPr>
            <w:tcW w:w="7380" w:type="dxa"/>
            <w:vAlign w:val="bottom"/>
            <w:gridSpan w:val="43"/>
          </w:tcPr>
          <w:p>
            <w:pPr>
              <w:spacing w:after="0"/>
              <w:rPr>
                <w:sz w:val="20"/>
                <w:szCs w:val="20"/>
                <w:color w:val="auto"/>
              </w:rPr>
            </w:pPr>
            <w:r>
              <w:rPr>
                <w:rFonts w:ascii="Arial" w:cs="Arial" w:eastAsia="Arial" w:hAnsi="Arial"/>
                <w:sz w:val="18"/>
                <w:szCs w:val="18"/>
                <w:color w:val="0000EE"/>
              </w:rPr>
              <w:t>Information about our Executive Officers</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380" w:type="dxa"/>
            <w:vAlign w:val="bottom"/>
            <w:gridSpan w:val="18"/>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Item 5.</w:t>
            </w:r>
          </w:p>
        </w:tc>
        <w:tc>
          <w:tcPr>
            <w:tcW w:w="7380" w:type="dxa"/>
            <w:vAlign w:val="bottom"/>
            <w:gridSpan w:val="43"/>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52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7"/>
              </w:rPr>
              <w:t>of Equity Securities</w:t>
            </w:r>
          </w:p>
        </w:tc>
        <w:tc>
          <w:tcPr>
            <w:tcW w:w="5740" w:type="dxa"/>
            <w:vAlign w:val="bottom"/>
            <w:tcBorders>
              <w:top w:val="single" w:sz="8" w:color="0000EE"/>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[Reserved]</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7.</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7A.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EE"/>
                <w:w w:val="98"/>
              </w:rPr>
              <w:t>Item 8.</w:t>
            </w:r>
          </w:p>
        </w:tc>
        <w:tc>
          <w:tcPr>
            <w:tcW w:w="80" w:type="dxa"/>
            <w:vAlign w:val="bottom"/>
          </w:tcPr>
          <w:p>
            <w:pPr>
              <w:spacing w:after="0"/>
              <w:rPr>
                <w:sz w:val="18"/>
                <w:szCs w:val="18"/>
                <w:color w:val="auto"/>
              </w:rPr>
            </w:pP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Financial Statements and Supplementary Data</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(KPMG LLP, Houston, Texas,</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tcBorders>
              <w:top w:val="single" w:sz="8" w:color="0000EE"/>
            </w:tcBorders>
            <w:gridSpan w:val="29"/>
          </w:tcPr>
          <w:p>
            <w:pPr>
              <w:spacing w:after="0"/>
              <w:rPr>
                <w:sz w:val="20"/>
                <w:szCs w:val="20"/>
                <w:color w:val="auto"/>
              </w:rPr>
            </w:pPr>
            <w:r>
              <w:rPr>
                <w:rFonts w:ascii="Arial" w:cs="Arial" w:eastAsia="Arial" w:hAnsi="Arial"/>
                <w:sz w:val="18"/>
                <w:szCs w:val="18"/>
                <w:color w:val="auto"/>
              </w:rPr>
              <w:t>Auditor Firm ID 185)</w:t>
            </w: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80" w:type="dxa"/>
            <w:vAlign w:val="bottom"/>
            <w:gridSpan w:val="43"/>
          </w:tcPr>
          <w:p>
            <w:pPr>
              <w:spacing w:after="0" w:line="195" w:lineRule="exact"/>
              <w:rPr>
                <w:sz w:val="20"/>
                <w:szCs w:val="20"/>
                <w:color w:val="auto"/>
              </w:rPr>
            </w:pPr>
            <w:r>
              <w:rPr>
                <w:rFonts w:ascii="Arial" w:cs="Arial" w:eastAsia="Arial" w:hAnsi="Arial"/>
                <w:sz w:val="18"/>
                <w:szCs w:val="18"/>
                <w:color w:val="0000EE"/>
              </w:rPr>
              <w:t>Report of Independent Registered Public Accounting Firm on Internal Control Over Financial</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Reporting</w:t>
            </w:r>
          </w:p>
        </w:tc>
        <w:tc>
          <w:tcPr>
            <w:tcW w:w="6520" w:type="dxa"/>
            <w:vAlign w:val="bottom"/>
            <w:tcBorders>
              <w:top w:val="single" w:sz="8" w:color="0000EE"/>
            </w:tcBorders>
            <w:gridSpan w:val="3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Balance Sheets as of December 31, 2025 and 2024</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Operations for the Years Ended December 31, 2025, 2024 and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2023</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Comprehensive Income (Loss) for the Years Ended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December 31, 2025, 2024 and 2023</w:t>
            </w:r>
          </w:p>
        </w:tc>
        <w:tc>
          <w:tcPr>
            <w:tcW w:w="3460" w:type="dxa"/>
            <w:vAlign w:val="bottom"/>
            <w:tcBorders>
              <w:top w:val="single" w:sz="8" w:color="0000EE"/>
            </w:tcBorders>
            <w:gridSpan w:val="18"/>
          </w:tcPr>
          <w:p>
            <w:pPr>
              <w:spacing w:after="0"/>
              <w:rPr>
                <w:sz w:val="15"/>
                <w:szCs w:val="15"/>
                <w:color w:val="auto"/>
              </w:rPr>
            </w:pPr>
          </w:p>
        </w:tc>
        <w:tc>
          <w:tcPr>
            <w:tcW w:w="7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Shareholders’ Equity for the Years Ended December 31, 2025,</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2024 and 2023</w:t>
            </w:r>
          </w:p>
        </w:tc>
        <w:tc>
          <w:tcPr>
            <w:tcW w:w="6020" w:type="dxa"/>
            <w:vAlign w:val="bottom"/>
            <w:tcBorders>
              <w:top w:val="single" w:sz="8" w:color="0000EE"/>
            </w:tcBorders>
            <w:gridSpan w:val="29"/>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Consolidated Statements of Cash Flows for the Years Ended December 31, 2025, 2024 and</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2023</w:t>
            </w: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3880" w:type="dxa"/>
            <w:vAlign w:val="bottom"/>
            <w:gridSpan w:val="21"/>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EE"/>
                <w:w w:val="98"/>
              </w:rPr>
              <w:t>Item 9.</w:t>
            </w:r>
          </w:p>
        </w:tc>
        <w:tc>
          <w:tcPr>
            <w:tcW w:w="1100" w:type="dxa"/>
            <w:vAlign w:val="bottom"/>
            <w:gridSpan w:val="5"/>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9A.</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89"/>
              </w:rPr>
              <w:t>Item 9B.</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88"/>
              </w:rPr>
              <w:t>Item 9C.</w:t>
            </w:r>
          </w:p>
        </w:tc>
        <w:tc>
          <w:tcPr>
            <w:tcW w:w="8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Disclosure Regarding Foreign Jurisdictions that Prevent Inspections</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gridSpan w:val="13"/>
          </w:tcPr>
          <w:p>
            <w:pPr>
              <w:jc w:val="center"/>
              <w:ind w:right="1380"/>
              <w:spacing w:after="0"/>
              <w:rPr>
                <w:sz w:val="20"/>
                <w:szCs w:val="20"/>
                <w:color w:val="auto"/>
              </w:rPr>
            </w:pPr>
            <w:r>
              <w:rPr>
                <w:rFonts w:ascii="Arial" w:cs="Arial" w:eastAsia="Arial" w:hAnsi="Arial"/>
                <w:sz w:val="18"/>
                <w:szCs w:val="18"/>
                <w:b w:val="1"/>
                <w:bCs w:val="1"/>
                <w:color w:val="0000EE"/>
                <w:w w:val="98"/>
              </w:rPr>
              <w:t>PART III</w:t>
            </w:r>
          </w:p>
        </w:tc>
        <w:tc>
          <w:tcPr>
            <w:tcW w:w="1980" w:type="dxa"/>
            <w:vAlign w:val="bottom"/>
            <w:gridSpan w:val="11"/>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10.</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11.</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Executive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gridSpan w:val="6"/>
          </w:tcPr>
          <w:p>
            <w:pPr>
              <w:spacing w:after="0"/>
              <w:rPr>
                <w:sz w:val="20"/>
                <w:szCs w:val="20"/>
                <w:color w:val="auto"/>
              </w:rPr>
            </w:pPr>
            <w:r>
              <w:rPr>
                <w:rFonts w:ascii="Arial" w:cs="Arial" w:eastAsia="Arial" w:hAnsi="Arial"/>
                <w:sz w:val="18"/>
                <w:szCs w:val="18"/>
                <w:color w:val="0000EE"/>
              </w:rPr>
              <w:t>Item 12.</w:t>
            </w:r>
          </w:p>
        </w:tc>
        <w:tc>
          <w:tcPr>
            <w:tcW w:w="7380" w:type="dxa"/>
            <w:vAlign w:val="bottom"/>
            <w:gridSpan w:val="43"/>
          </w:tcPr>
          <w:p>
            <w:pPr>
              <w:spacing w:after="0"/>
              <w:rPr>
                <w:sz w:val="20"/>
                <w:szCs w:val="20"/>
                <w:color w:val="auto"/>
              </w:rPr>
            </w:pPr>
            <w:r>
              <w:rPr>
                <w:rFonts w:ascii="Arial" w:cs="Arial" w:eastAsia="Arial" w:hAnsi="Arial"/>
                <w:sz w:val="18"/>
                <w:szCs w:val="18"/>
                <w:color w:val="0000EE"/>
                <w:w w:val="99"/>
              </w:rPr>
              <w:t>Security Ownership of Certain Beneficial Owners and Management and Related Stockholder</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2"/>
        </w:trPr>
        <w:tc>
          <w:tcPr>
            <w:tcW w:w="5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Matters</w:t>
            </w:r>
          </w:p>
        </w:tc>
        <w:tc>
          <w:tcPr>
            <w:tcW w:w="6760" w:type="dxa"/>
            <w:vAlign w:val="bottom"/>
            <w:tcBorders>
              <w:top w:val="single" w:sz="8" w:color="0000EE"/>
            </w:tcBorders>
            <w:gridSpan w:val="39"/>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13.</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14.</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Principal Accounting Fees and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8"/>
              </w:rPr>
              <w:t>PART IV</w:t>
            </w:r>
          </w:p>
        </w:tc>
        <w:tc>
          <w:tcPr>
            <w:tcW w:w="3340" w:type="dxa"/>
            <w:vAlign w:val="bottom"/>
            <w:gridSpan w:val="16"/>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15.</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Exhibits and Financial Statement Schedules</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3880" w:type="dxa"/>
            <w:vAlign w:val="bottom"/>
            <w:gridSpan w:val="2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16.</w:t>
            </w:r>
          </w:p>
        </w:tc>
        <w:tc>
          <w:tcPr>
            <w:tcW w:w="1020" w:type="dxa"/>
            <w:vAlign w:val="bottom"/>
            <w:gridSpan w:val="4"/>
          </w:tcPr>
          <w:p>
            <w:pPr>
              <w:spacing w:after="0"/>
              <w:rPr>
                <w:sz w:val="18"/>
                <w:szCs w:val="18"/>
                <w:color w:val="auto"/>
              </w:rPr>
            </w:pPr>
          </w:p>
        </w:tc>
        <w:tc>
          <w:tcPr>
            <w:tcW w:w="7380" w:type="dxa"/>
            <w:vAlign w:val="bottom"/>
            <w:gridSpan w:val="43"/>
          </w:tcPr>
          <w:p>
            <w:pPr>
              <w:spacing w:after="0"/>
              <w:rPr>
                <w:sz w:val="20"/>
                <w:szCs w:val="20"/>
                <w:color w:val="auto"/>
              </w:rPr>
            </w:pPr>
            <w:r>
              <w:rPr>
                <w:rFonts w:ascii="Arial" w:cs="Arial" w:eastAsia="Arial" w:hAnsi="Arial"/>
                <w:sz w:val="18"/>
                <w:szCs w:val="18"/>
                <w:color w:val="0000EE"/>
              </w:rPr>
              <w:t>Form 10-K Summary</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7"/>
            <w:shd w:val="clear" w:color="auto" w:fill="0000EE"/>
          </w:tcPr>
          <w:p>
            <w:pPr>
              <w:spacing w:after="0" w:line="20" w:lineRule="exact"/>
              <w:rPr>
                <w:sz w:val="1"/>
                <w:szCs w:val="1"/>
                <w:color w:val="auto"/>
              </w:rPr>
            </w:pPr>
          </w:p>
        </w:tc>
        <w:tc>
          <w:tcPr>
            <w:tcW w:w="5720" w:type="dxa"/>
            <w:vAlign w:val="bottom"/>
            <w:gridSpan w:val="3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Signatures</w:t>
            </w:r>
          </w:p>
        </w:tc>
        <w:tc>
          <w:tcPr>
            <w:tcW w:w="6560" w:type="dxa"/>
            <w:vAlign w:val="bottom"/>
            <w:gridSpan w:val="38"/>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This Annual Report on Form 10-K (“Annual Report”) contains or incorporates by reference various statements that contain forward-looking information regarding Helix Energy Solutions Group, Inc.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(the “Securities Act”),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6" w:lineRule="exact"/>
        <w:rPr>
          <w:sz w:val="20"/>
          <w:szCs w:val="20"/>
          <w:color w:val="auto"/>
        </w:rPr>
      </w:pPr>
    </w:p>
    <w:p>
      <w:pPr>
        <w:ind w:left="680" w:right="400" w:hanging="328"/>
        <w:spacing w:after="0" w:line="24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2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capital spending, share repurchases, working capital, debt and liquidity, cash flows, future operating expenditures or other financial items;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16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jc w:val="both"/>
        <w:ind w:left="680" w:right="4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right="16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3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240" w:hanging="328"/>
        <w:spacing w:after="0" w:line="248"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right="8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right="34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 (“GHG Emissions”);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20" w:hanging="328"/>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management, including our ability to retain our senior management and other key employees;</w:t>
      </w: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40" w:hanging="328"/>
        <w:spacing w:after="0" w:line="244" w:lineRule="auto"/>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80" w:right="200" w:hanging="328"/>
        <w:spacing w:after="0" w:line="239"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geopolitical and domestic policy changes, including tariffs, that may negatively affect oil and gas production and/or pricing or adversely impact offshore renewable energy projects, costs of materials, regulations surrounding safe offshore well intervention, regulations of decommissioning offshore oil and gas wells, and global trade, economic growth and stability;</w:t>
      </w:r>
    </w:p>
    <w:p>
      <w:pPr>
        <w:spacing w:after="0" w:line="2" w:lineRule="exact"/>
        <w:rPr>
          <w:rFonts w:ascii="Times New Roman" w:cs="Times New Roman" w:eastAsia="Times New Roman" w:hAnsi="Times New Roman"/>
          <w:sz w:val="18"/>
          <w:szCs w:val="18"/>
          <w:color w:val="auto"/>
        </w:rPr>
      </w:pPr>
    </w:p>
    <w:p>
      <w:pPr>
        <w:ind w:left="680" w:right="80" w:hanging="328"/>
        <w:spacing w:after="0" w:line="248" w:lineRule="auto"/>
        <w:tabs>
          <w:tab w:leader="none" w:pos="68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ind w:left="680" w:right="30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90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right="3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ind w:left="680" w:right="7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jc w:val="both"/>
        <w:ind w:left="680" w:right="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right="6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4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26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right="62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18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340" w:hanging="328"/>
        <w:spacing w:after="0" w:line="234" w:lineRule="auto"/>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management, including a loss of one or more key employees;</w:t>
      </w: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factors generally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w:t>
      </w:r>
    </w:p>
    <w:p>
      <w:pPr>
        <w:spacing w:after="0" w:line="206" w:lineRule="exact"/>
        <w:rPr>
          <w:sz w:val="20"/>
          <w:szCs w:val="20"/>
          <w:color w:val="auto"/>
        </w:rPr>
      </w:pPr>
    </w:p>
    <w:p>
      <w:pPr>
        <w:ind w:firstLine="648"/>
        <w:spacing w:after="0" w:line="261" w:lineRule="auto"/>
        <w:rPr>
          <w:sz w:val="20"/>
          <w:szCs w:val="20"/>
          <w:color w:val="auto"/>
        </w:rPr>
      </w:pPr>
      <w:r>
        <w:rPr>
          <w:rFonts w:ascii="Arial" w:cs="Arial" w:eastAsia="Arial" w:hAnsi="Arial"/>
          <w:sz w:val="17"/>
          <w:szCs w:val="17"/>
          <w:color w:val="auto"/>
        </w:rPr>
        <w:t>Our actual results could also differ materially from those anticipated in any forward-looking statements as a result of a variety of factors, including those described in “Risk Factors” beginning on page 16 and “Management’s Discussion and Analysis of Financial Condition and Results of Operations” beginning on page 34 of this Annual Report. Should one or more of the risks or uncertainties described in this Annual Report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Annual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Annual Report and our reports filed with the Securities and Exchange Commission (“SEC”) and incorporated by reference herein that attempt to advise interested parties of the risks and factors that may affect our business. Please see “Website and Other Available Information” for further details.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Helix Energy Solutions Group, Inc. (together with its subsidiaries, unless context requires otherwise, “Helix,” the “Company,” “we,” “us” or “our”) was incorporated in 1979 and in 1983 was re-incorporated in the state of Minnesota. 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See “Our Operations” below for additional information regarding business operations.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Our principal executive offices are located at 3505 West Sam Houston Parkway North, Suite 400, Houston, Texas 77043; our phone number is 281-618-0400. Our common stock trades on the New York Stock Exchange (“NYSE”) under the ticker symbol “HLX.” Our Chief Executive Officer submitted the annual CEO certification to the NYSE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May 2025 as required under its Listed Company Manual. Our principal executive officer and our principal financial officer have made the certifications required under Section 302 of the Sarbanes-Oxley Act, which are included as exhibits to this Annual Report.</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Please refer to the subsection “Certain Definitions” on page 14 for definitions of additional terms commonly used in this Annual Report. Unless otherwise indicated, any reference to Notes herein refers to Notes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Annual Report.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OPERATIONS</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provide a range of services to the oil and gas and renewable energy markets primarily in the Gulf of America (deepwater and shelf), Brazil, North Sea, West Africa and Asia Pacific regions. Our services are segregated into four reportable business segments: Well Intervention, Robotics, Shallow Water Abandonment and Production Facilities.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oil and gas market worldwide include:</w:t>
      </w:r>
    </w:p>
    <w:p>
      <w:pPr>
        <w:spacing w:after="0" w:line="171" w:lineRule="exact"/>
        <w:rPr>
          <w:sz w:val="20"/>
          <w:szCs w:val="20"/>
          <w:color w:val="auto"/>
        </w:rPr>
      </w:pPr>
    </w:p>
    <w:p>
      <w:pPr>
        <w:ind w:left="680" w:right="80" w:hanging="328"/>
        <w:spacing w:after="0" w:line="241"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w:t>
      </w:r>
      <w:r>
        <w:rPr>
          <w:rFonts w:ascii="Arial" w:cs="Arial" w:eastAsia="Arial" w:hAnsi="Arial"/>
          <w:sz w:val="18"/>
          <w:szCs w:val="18"/>
          <w:color w:val="auto"/>
        </w:rPr>
        <w:t>Well intervention; intervention engineering; production enhancement; coiled tubing (“CT”)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inspection, repair and maintenance (“IRM”) of production structures, trees, jumpers, risers, pipelines and subsea equipment; and related support services.</w:t>
      </w:r>
    </w:p>
    <w:p>
      <w:pPr>
        <w:spacing w:after="0" w:line="1" w:lineRule="exact"/>
        <w:rPr>
          <w:rFonts w:ascii="Times New Roman" w:cs="Times New Roman" w:eastAsia="Times New Roman" w:hAnsi="Times New Roman"/>
          <w:sz w:val="18"/>
          <w:szCs w:val="18"/>
          <w:color w:val="auto"/>
        </w:rPr>
      </w:pPr>
    </w:p>
    <w:p>
      <w:pPr>
        <w:ind w:left="680" w:right="680" w:hanging="328"/>
        <w:spacing w:after="0" w:line="234"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Reclamation and remediation services; well plug and abandonment (“P&amp;A”)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cable and umbilical abandonment services; and site inspections.</w:t>
      </w:r>
    </w:p>
    <w:p>
      <w:pPr>
        <w:ind w:left="680" w:right="240" w:hanging="328"/>
        <w:spacing w:after="0" w:line="248"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Production Facilities. </w:t>
      </w:r>
      <w:r>
        <w:rPr>
          <w:rFonts w:ascii="Arial" w:cs="Arial" w:eastAsia="Arial" w:hAnsi="Arial"/>
          <w:sz w:val="17"/>
          <w:szCs w:val="17"/>
          <w:color w:val="auto"/>
        </w:rPr>
        <w:t>Provision of the</w:t>
      </w:r>
      <w:r>
        <w:rPr>
          <w:rFonts w:ascii="Arial" w:cs="Arial" w:eastAsia="Arial" w:hAnsi="Arial"/>
          <w:sz w:val="17"/>
          <w:szCs w:val="17"/>
          <w:i w:val="1"/>
          <w:iCs w:val="1"/>
          <w:color w:val="auto"/>
        </w:rPr>
        <w:t xml:space="preserve"> Helix Producer I </w:t>
      </w:r>
      <w:r>
        <w:rPr>
          <w:rFonts w:ascii="Arial" w:cs="Arial" w:eastAsia="Arial" w:hAnsi="Arial"/>
          <w:sz w:val="17"/>
          <w:szCs w:val="17"/>
          <w:color w:val="auto"/>
        </w:rPr>
        <w:t>(the “</w:t>
      </w:r>
      <w:r>
        <w:rPr>
          <w:rFonts w:ascii="Arial" w:cs="Arial" w:eastAsia="Arial" w:hAnsi="Arial"/>
          <w:sz w:val="17"/>
          <w:szCs w:val="17"/>
          <w:i w:val="1"/>
          <w:iCs w:val="1"/>
          <w:color w:val="auto"/>
        </w:rPr>
        <w:t>HP I</w:t>
      </w:r>
      <w:r>
        <w:rPr>
          <w:rFonts w:ascii="Arial" w:cs="Arial" w:eastAsia="Arial" w:hAnsi="Arial"/>
          <w:sz w:val="17"/>
          <w:szCs w:val="17"/>
          <w:color w:val="auto"/>
        </w:rPr>
        <w:t>”) as an oil and natural gas processing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Currently,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is being utilized to process production from the Phoenix field in the Gulf of America.</w:t>
      </w:r>
    </w:p>
    <w:p>
      <w:pPr>
        <w:jc w:val="both"/>
        <w:ind w:left="680" w:right="160" w:hanging="328"/>
        <w:spacing w:after="0" w:line="234"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Fast Response System. </w:t>
      </w:r>
      <w:r>
        <w:rPr>
          <w:rFonts w:ascii="Arial" w:cs="Arial" w:eastAsia="Arial" w:hAnsi="Arial"/>
          <w:sz w:val="18"/>
          <w:szCs w:val="18"/>
          <w:color w:val="auto"/>
        </w:rPr>
        <w:t>Provision of the Helix Fast Response System (the “HFRS”) as a response resource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Gulf of America that can be identified in permit applications to U.S. federal and state agencies and respond to a well control incident.</w:t>
      </w:r>
    </w:p>
    <w:p>
      <w:pPr>
        <w:spacing w:after="0" w:line="1" w:lineRule="exact"/>
        <w:rPr>
          <w:rFonts w:ascii="Times New Roman" w:cs="Times New Roman" w:eastAsia="Times New Roman" w:hAnsi="Times New Roman"/>
          <w:sz w:val="18"/>
          <w:szCs w:val="18"/>
          <w:color w:val="auto"/>
        </w:rPr>
      </w:pPr>
    </w:p>
    <w:p>
      <w:pPr>
        <w:jc w:val="both"/>
        <w:ind w:left="680" w:right="20" w:hanging="328"/>
        <w:spacing w:after="0" w:line="242" w:lineRule="auto"/>
        <w:tabs>
          <w:tab w:leader="none" w:pos="6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Installation of flowlines, control umbilicals, manifold assemblies and risers; trenching and burial of</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installation and tie-in of riser and manifold assembly; commissioning, testing and inspection; and cable and umbilical lay and connection.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we currently offer to the offshore renewable energy market worldwide include:</w:t>
      </w:r>
    </w:p>
    <w:p>
      <w:pPr>
        <w:spacing w:after="0" w:line="212" w:lineRule="exact"/>
        <w:rPr>
          <w:sz w:val="20"/>
          <w:szCs w:val="20"/>
          <w:color w:val="auto"/>
        </w:rPr>
      </w:pPr>
    </w:p>
    <w:p>
      <w:pPr>
        <w:ind w:left="680" w:hanging="328"/>
        <w:spacing w:after="0"/>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Trenching. </w:t>
      </w:r>
      <w:r>
        <w:rPr>
          <w:rFonts w:ascii="Arial" w:cs="Arial" w:eastAsia="Arial" w:hAnsi="Arial"/>
          <w:sz w:val="18"/>
          <w:szCs w:val="18"/>
          <w:color w:val="auto"/>
        </w:rPr>
        <w:t>Cable burial utilizing our jetting, cutting or plough trenchers.</w:t>
      </w:r>
    </w:p>
    <w:p>
      <w:pPr>
        <w:spacing w:after="0" w:line="26" w:lineRule="exact"/>
        <w:rPr>
          <w:rFonts w:ascii="Times New Roman" w:cs="Times New Roman" w:eastAsia="Times New Roman" w:hAnsi="Times New Roman"/>
          <w:sz w:val="18"/>
          <w:szCs w:val="18"/>
          <w:color w:val="auto"/>
        </w:rPr>
      </w:pPr>
    </w:p>
    <w:p>
      <w:pPr>
        <w:ind w:left="680" w:right="600" w:hanging="328"/>
        <w:spacing w:after="0" w:line="234" w:lineRule="auto"/>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Site preparation for construction of offshore wind farms, including boulder relocation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underwater unexploded ordnance identification and disposal.</w:t>
      </w:r>
    </w:p>
    <w:p>
      <w:pPr>
        <w:ind w:left="680" w:right="20" w:hanging="328"/>
        <w:spacing w:after="0" w:line="249" w:lineRule="auto"/>
        <w:tabs>
          <w:tab w:leader="none" w:pos="6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Subsea Support. </w:t>
      </w:r>
      <w:r>
        <w:rPr>
          <w:rFonts w:ascii="Arial" w:cs="Arial" w:eastAsia="Arial" w:hAnsi="Arial"/>
          <w:sz w:val="18"/>
          <w:szCs w:val="18"/>
          <w:color w:val="auto"/>
        </w:rPr>
        <w:t>General subsea support of engineering, procurement, construction and installation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remotely operated vehicle (“ROV”) services standalone or with support vessels.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Intervention</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segment provides services primarily in the Gulf of America, Brazil, North Sea, Asia Pacific and West Africa regions.</w:t>
      </w:r>
    </w:p>
    <w:p>
      <w:pPr>
        <w:spacing w:after="0" w:line="176"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We engineer, manage and conduct well intervention operations, which include production enhancement and abandonment, and construction operations in water depths ranging from 100 to 10,000 feet. As major and independent oil and gas companies develop deepwater reserves, we expect the number of subsea trees to increase, which can improve long-term demand for well intervention services. Drilling rigs historically have been and still are used in subsea well intervention. Our purpose-built well intervention vessels derive competitive advantages in the development and management of subsea reservoirs from their lower operating costs, with an ability to mobilize quickly and to maximize operational time by more efficiently performing a broad range of tasks related to intervention, construction and IRM services.</w:t>
      </w:r>
    </w:p>
    <w:p>
      <w:pPr>
        <w:spacing w:after="0" w:line="180" w:lineRule="exact"/>
        <w:rPr>
          <w:sz w:val="20"/>
          <w:szCs w:val="20"/>
          <w:color w:val="auto"/>
        </w:rPr>
      </w:pPr>
    </w:p>
    <w:p>
      <w:pPr>
        <w:ind w:right="240" w:firstLine="648"/>
        <w:spacing w:after="0" w:line="244" w:lineRule="auto"/>
        <w:rPr>
          <w:sz w:val="20"/>
          <w:szCs w:val="20"/>
          <w:color w:val="auto"/>
        </w:rPr>
      </w:pPr>
      <w:r>
        <w:rPr>
          <w:rFonts w:ascii="Arial" w:cs="Arial" w:eastAsia="Arial" w:hAnsi="Arial"/>
          <w:sz w:val="18"/>
          <w:szCs w:val="18"/>
          <w:color w:val="auto"/>
        </w:rPr>
        <w:t xml:space="preserve">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vessels,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(formerly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12 intervention systems consisting of eight intervention riser systems (“IRSs”), three subsea intervention lubricators (“SILs”) and the Riserless Open-water Abandonment Module (“ROAM”), some of which we provide on a stand-alone basis.</w:t>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 xml:space="preserve">In the Gulf of America, we operate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w:t>
      </w:r>
      <w:r>
        <w:rPr>
          <w:rFonts w:ascii="Arial" w:cs="Arial" w:eastAsia="Arial" w:hAnsi="Arial"/>
          <w:sz w:val="18"/>
          <w:szCs w:val="18"/>
          <w:i w:val="1"/>
          <w:iCs w:val="1"/>
          <w:color w:val="auto"/>
        </w:rPr>
        <w:t>Q5000</w:t>
      </w:r>
      <w:r>
        <w:rPr>
          <w:rFonts w:ascii="Arial" w:cs="Arial" w:eastAsia="Arial" w:hAnsi="Arial"/>
          <w:sz w:val="18"/>
          <w:szCs w:val="18"/>
          <w:color w:val="auto"/>
        </w:rPr>
        <w:t xml:space="preserve"> riser-based semi-submersible well intervention vessels.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has served customers in the spot market in the Gulf of America since 2002 and notably served as a key emergency response vessel in the Macondo well control and containment efforts in 2010.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has operated in the Gulf of America since 2015.</w:t>
      </w:r>
    </w:p>
    <w:p>
      <w:pPr>
        <w:spacing w:after="0" w:line="174"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 xml:space="preserve">In Brazil, we provide well intervention services with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monohull riser-based well intervention vessels under long-term charter from Sea1 Offshore (formerly Siem Offshore).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commenced operations in April 2017 and is under contract with Petrobras through at least November 2028.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operations in December 2017 and is under contract with Petrobras through at least January 2028.</w:t>
      </w:r>
    </w:p>
    <w:p>
      <w:pPr>
        <w:spacing w:after="0" w:line="163" w:lineRule="exact"/>
        <w:rPr>
          <w:sz w:val="20"/>
          <w:szCs w:val="20"/>
          <w:color w:val="auto"/>
        </w:rPr>
      </w:pPr>
    </w:p>
    <w:p>
      <w:pPr>
        <w:ind w:right="440" w:firstLine="648"/>
        <w:spacing w:after="0" w:line="247" w:lineRule="auto"/>
        <w:rPr>
          <w:sz w:val="20"/>
          <w:szCs w:val="20"/>
          <w:color w:val="auto"/>
        </w:rPr>
      </w:pPr>
      <w:r>
        <w:rPr>
          <w:rFonts w:ascii="Arial" w:cs="Arial" w:eastAsia="Arial" w:hAnsi="Arial"/>
          <w:sz w:val="18"/>
          <w:szCs w:val="18"/>
          <w:color w:val="auto"/>
        </w:rPr>
        <w:t xml:space="preserve">In the North Sea, we operate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monohull light well intervention vessels. The </w:t>
      </w:r>
      <w:r>
        <w:rPr>
          <w:rFonts w:ascii="Arial" w:cs="Arial" w:eastAsia="Arial" w:hAnsi="Arial"/>
          <w:sz w:val="18"/>
          <w:szCs w:val="18"/>
          <w:i w:val="1"/>
          <w:iCs w:val="1"/>
          <w:color w:val="auto"/>
        </w:rPr>
        <w:t xml:space="preserve">Seawell </w:t>
      </w:r>
      <w:r>
        <w:rPr>
          <w:rFonts w:ascii="Arial" w:cs="Arial" w:eastAsia="Arial" w:hAnsi="Arial"/>
          <w:sz w:val="18"/>
          <w:szCs w:val="18"/>
          <w:color w:val="auto"/>
        </w:rPr>
        <w:t>has provided well intervention and abandonment services since 1987. The vessel underwent major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upgrades in 2015 to extend its estimated useful economic life by approximately 15 years.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has performed well intervention, abandonment and CT services since it joined our fleet in 2009.</w:t>
      </w:r>
    </w:p>
    <w:p>
      <w:pPr>
        <w:spacing w:after="0" w:line="174" w:lineRule="exact"/>
        <w:rPr>
          <w:sz w:val="20"/>
          <w:szCs w:val="20"/>
          <w:color w:val="auto"/>
        </w:rPr>
      </w:pPr>
    </w:p>
    <w:p>
      <w:pPr>
        <w:ind w:right="400"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semi-submersible riser-based well intervention vessel commenced operations in January 2020, operates globally with projects conducted in Nigeria, New Zealand and Australia, and is currently performing well intervention work offshore Brazil.</w:t>
      </w:r>
    </w:p>
    <w:p>
      <w:pPr>
        <w:spacing w:after="0" w:line="169"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18"/>
          <w:szCs w:val="18"/>
          <w:color w:val="auto"/>
        </w:rPr>
        <w:t>Our Subsea Services Alliance with SLB leverages the parties’ capabilities to provide a unique, fully integrated offering to clients, combining marine support with well access and control technologies. Through our collaboration, we and SLB jointly developed a 15K IRS and the ROAM.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560"/>
          </w:cols>
          <w:pgMar w:left="1120" w:top="513" w:right="12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Robotics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IRM services to both the oil and gas and the renewable energy markets globally, thereby assisting the delivery of renewable energy and supporting responsible energy transition. Additionally, our robotics services are used in and complement our well intervention services. Our Robotics segment includes 39 work-class ROVs, six trenchers, three IROV boulder grabs, and robotics support vessels chartered on long-term, short-term, flexible and spot bases to facilitate our ROV and trenching operations. We offer our ROVs, trenchers and IROV boulder grabs on a stand-alone basis or on an integrated basis with chartered robotics support vessels.</w:t>
      </w:r>
    </w:p>
    <w:p>
      <w:pPr>
        <w:spacing w:after="0" w:line="185"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Our robotics business operates globally, with primary operations in the North Sea, the Gulf of America, Asia Pacific, Brazil and West Africa regions. As global marine construction activity levels increase and as the complexity and water depths of the facilities increase, the scope of robotics services has expanded. Our chartered vessels enable us to offer an integrated package to our customers including marine access, ROV services, project management and engineering services. Our robotics assets and experience allow us to meet the technological challenges of our customers’ subsea activities worldwide.</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Over the last decade and especially in recent years there has been an increase in offshore activity associated with the growing renewable energy market. As the level of activity for offshore renewable energy projects, including wind farm projects, has increased, so has the need for reliable services and related equipment. We provide cable burial services related to subsea power cable installations as well as seabed clearance and site preparation services around the world using our chartered vessels, trenchers, ROVs and IROV boulder grabs. In 2025, revenues derived from offshore renewable energy contracts accounted for 49% of our global Robotics segment revenues. We believe that over the long term our robotics business is positioned to continue providing services to a range of clients in the renewable energy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Shallow Water Abandonment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industries‎ predominantly in the Gulf of America shelf, including offshore oilfield decommissioning and reclamation,‎ well</w:t>
      </w:r>
    </w:p>
    <w:p>
      <w:pPr>
        <w:spacing w:after="0" w:line="234" w:lineRule="auto"/>
        <w:rPr>
          <w:sz w:val="20"/>
          <w:szCs w:val="20"/>
          <w:color w:val="auto"/>
        </w:rPr>
      </w:pPr>
      <w:r>
        <w:rPr>
          <w:rFonts w:ascii="Arial" w:cs="Arial" w:eastAsia="Arial" w:hAnsi="Arial"/>
          <w:sz w:val="18"/>
          <w:szCs w:val="18"/>
          <w:color w:val="auto"/>
        </w:rPr>
        <w:t>intervention, IRM, heavy lift and commercial diving services. Our Shallow Water Abandonment segment includes Helix</w:t>
      </w:r>
    </w:p>
    <w:p>
      <w:pPr>
        <w:spacing w:after="0" w:line="235" w:lineRule="auto"/>
        <w:rPr>
          <w:sz w:val="20"/>
          <w:szCs w:val="20"/>
          <w:color w:val="auto"/>
        </w:rPr>
      </w:pPr>
      <w:r>
        <w:rPr>
          <w:rFonts w:ascii="Arial" w:cs="Arial" w:eastAsia="Arial" w:hAnsi="Arial"/>
          <w:sz w:val="18"/>
          <w:szCs w:val="18"/>
          <w:color w:val="auto"/>
        </w:rPr>
        <w:t>Alliance that was acquired in July 2022, a vertically integrated company that offers a diversified fleet of marine assets</w:t>
      </w:r>
    </w:p>
    <w:p>
      <w:pPr>
        <w:spacing w:after="0" w:line="235" w:lineRule="auto"/>
        <w:rPr>
          <w:sz w:val="20"/>
          <w:szCs w:val="20"/>
          <w:color w:val="auto"/>
        </w:rPr>
      </w:pPr>
      <w:r>
        <w:rPr>
          <w:rFonts w:ascii="Arial" w:cs="Arial" w:eastAsia="Arial" w:hAnsi="Arial"/>
          <w:sz w:val="18"/>
          <w:szCs w:val="18"/>
          <w:color w:val="auto"/>
        </w:rPr>
        <w:t>including nine liftboats, six offshore supply vessels (“OSVs”), three dive support vessels (“DSVs”), a heavy lift derrick</w:t>
      </w:r>
    </w:p>
    <w:p>
      <w:pPr>
        <w:spacing w:after="0"/>
        <w:rPr>
          <w:sz w:val="20"/>
          <w:szCs w:val="20"/>
          <w:color w:val="auto"/>
        </w:rPr>
      </w:pPr>
      <w:r>
        <w:rPr>
          <w:rFonts w:ascii="Arial" w:cs="Arial" w:eastAsia="Arial" w:hAnsi="Arial"/>
          <w:sz w:val="18"/>
          <w:szCs w:val="18"/>
          <w:color w:val="auto"/>
        </w:rPr>
        <w:t>barge, a crew boat, 20 P&amp;A systems and six CT systems.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Facilities</w:t>
      </w:r>
    </w:p>
    <w:p>
      <w:pPr>
        <w:spacing w:after="0" w:line="210"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 xml:space="preserve">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 All of our current Production Facilities activities are located in the Gulf of America.</w:t>
      </w:r>
    </w:p>
    <w:p>
      <w:pPr>
        <w:spacing w:after="0" w:line="154" w:lineRule="exact"/>
        <w:rPr>
          <w:sz w:val="20"/>
          <w:szCs w:val="20"/>
          <w:color w:val="auto"/>
        </w:rPr>
      </w:pPr>
    </w:p>
    <w:p>
      <w:pPr>
        <w:ind w:right="640"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HP I</w:t>
      </w:r>
      <w:r>
        <w:rPr>
          <w:rFonts w:ascii="Arial" w:cs="Arial" w:eastAsia="Arial" w:hAnsi="Arial"/>
          <w:sz w:val="18"/>
          <w:szCs w:val="18"/>
          <w:color w:val="auto"/>
        </w:rPr>
        <w:t>, a ship-shaped dynamically positioned floating production vessel capable of processing up to 45,000 barrels of oil and 80 million cubic feet of natural gas per day, has been under contract to the Phoenix field operator since February 2013 and is currently under an agreement through at least June 1, 2027.</w:t>
      </w:r>
    </w:p>
    <w:p>
      <w:pPr>
        <w:spacing w:after="0" w:line="16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We developed the HFRS in 2011 as a culmination of our experience as a responder in the 2010 Macondo well control and containment efforts. The HFRS combines our capabilities with certain well control equipment that can be deployed to respond to a well control incident. We are under agreement through March 31, 2027 with various operators to provide access to the HFRS for well control purposes.</w:t>
      </w:r>
    </w:p>
    <w:p>
      <w:pPr>
        <w:spacing w:after="0" w:line="174"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Our Production Facilities segment also includes acquired mature deepwater offshore wells and related subsea infrastructure.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GEOGRAPHIC AREAS</w:t>
      </w:r>
    </w:p>
    <w:p>
      <w:pPr>
        <w:spacing w:after="0" w:line="212" w:lineRule="exact"/>
        <w:rPr>
          <w:sz w:val="20"/>
          <w:szCs w:val="20"/>
          <w:color w:val="auto"/>
        </w:rPr>
      </w:pPr>
    </w:p>
    <w:p>
      <w:pPr>
        <w:jc w:val="both"/>
        <w:ind w:right="420" w:firstLine="648"/>
        <w:spacing w:after="0" w:line="247" w:lineRule="auto"/>
        <w:rPr>
          <w:sz w:val="20"/>
          <w:szCs w:val="20"/>
          <w:color w:val="auto"/>
        </w:rPr>
      </w:pPr>
      <w:r>
        <w:rPr>
          <w:rFonts w:ascii="Arial" w:cs="Arial" w:eastAsia="Arial" w:hAnsi="Arial"/>
          <w:sz w:val="18"/>
          <w:szCs w:val="18"/>
          <w:color w:val="auto"/>
        </w:rPr>
        <w:t>We primarily operate in the Gulf of America (deepwater and shelf), Brazil, North Sea, West Africa and Asia Pacific regions. Our North Sea operations and our Gulf of America shelf operations are usually subject to seasonal changes in demand, which generally peak in the summer months and decline in the winter months. See Note 14 for disclosures regarding revenues and property and equipment by geographic location.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customers consist primarily of major, national and independent oil and gas producers and suppliers, pipeline transmission companies, renewable energy companies and offshore engineering and construction firms. The level of services required by any particular customer depends, in part, on the size of that customer’s budget in a particular year. Consequently, the level of revenues from a particular customer may be significant in one year but not significant in other years. The percentages of consolidated revenues from major customers (those representing 10% or more of our consolidated revenues) are as follows: 2025 — Shell (18%) and Petrobras (10%); 2024 — Shell (12%) and Talos (12%); and 2023 — Apache (11%) and Shell (10%). We provided services to over 80 customers in 2025.</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COMPETITORS</w:t>
      </w:r>
    </w:p>
    <w:p>
      <w:pPr>
        <w:spacing w:after="0" w:line="21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oilfield services and renewables services markets are highly competitive. Price and the ability to access specialized vessels, systems and other equipment, attract and retain skilled personnel, and operate safely are important factors to competing in these markets. Our principal competitors in well intervention are international drilling contractors and also include AKOFS Offshore, Baker Hughes, C-Innovation, Expro, Oceaneering, TechnipFMC, Trendsetter and Well-Safe Solutions. Our principal competitors in the robotics business include Asso Divers, Atlantic Marine, Briggs Marine, C-Innovation, DeepOcean, DOF Subsea, Fugro, James Fisher, Oceaneering and UTROV. Our principal competitors in shallow water abandonment include Aries Marine, C-Dive, Cardinal Services, Chet Morrison, Crescent Energy Services, Laredo Offshore Services, Manson Gulf, Offshore Liftboats, Offshore Marine Contractors, Seacor, Shore Offshore, Supreme Energy, Turnkey Offshore Project Services and White Fleet. Our competitors may have more or differing financial, personnel, technological and other resources available to them.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SUSTAINABILITY</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vision as a preeminent offshore energy transition company is supported by our sustainability priorities of People, Governance, Health and Safety, Value Creation, Environmental Impact, and Ethics. Sustainability initiatives and disclosures are embedded in these business values and priorities with a top-down approach led by management and our Board of Directors (our “Board”). Each Committee of our Board oversees elements designed to support these priorities. Specifically, as a stated responsibility of its charter, our Board’s Corporate Governance and Nominating Committee (the “Governance Committee”) oversees, assesses and reviews the disclosure and reporting of any sustainability matters impacting the Company’s business and industry, including with respect to climate change. Sustainability is reviewed on an ongoing basis in conjunction with environmental, health and safety, and social matters at each Governance Committee meeting. Our Board’s Audit Committee (the “Audit Committee”) oversees Helix’s compliance program, enterprise risk management processes, including business continuity, and cybersecurity risk and prevention management. Lastly, our Board’s Compensation Committee (the “Compensation Committee”) oversees executive management performance and compensation, including sustainability key performance indicators and human capital management.</w:t>
      </w:r>
    </w:p>
    <w:p>
      <w:pPr>
        <w:spacing w:after="0" w:line="18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While the Board and its committees oversee strategic sustainability initiatives with respect to Helix’s strategy surrounding biodiversity and climate change, our Climate Change Action Committee, comprised of key leaders from Quality, Health, Safety, Environmental (“QHSE”), finance, legal, our business units and management, evaluates Helix’s impact on climate change, implements our go-forward strategies and assists in providing comprehensive disclosures. Our expectations and goals align with the underlying belief that fossil fuels will not be eliminated from consumption, but rather there will be a gradual global transition from relying primarily on fossil fuels to a more balanced approach that includes renewable energy, such as wind farms and other alternative fuels.</w:t>
      </w:r>
    </w:p>
    <w:p>
      <w:pPr>
        <w:spacing w:after="0" w:line="185"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 xml:space="preserve">We emphasize continual improvement by establishing goals to improve our safety record and increase transparency for our stakeholders. Our services facilitate both extending the value and therefore the life cycle of underutilized wells, which in turn mitigates the need to drill new wells and the responsible transition to additional energy sources. These efforts are described in greater detail on our Corporate Sustainability Platform available at </w:t>
      </w:r>
      <w:r>
        <w:rPr>
          <w:rFonts w:ascii="Arial" w:cs="Arial" w:eastAsia="Arial" w:hAnsi="Arial"/>
          <w:sz w:val="18"/>
          <w:szCs w:val="18"/>
          <w:u w:val="single" w:color="auto"/>
          <w:color w:val="auto"/>
        </w:rPr>
        <w:t>www.helixesg.com/sustainability</w:t>
      </w:r>
      <w:r>
        <w:rPr>
          <w:rFonts w:ascii="Arial" w:cs="Arial" w:eastAsia="Arial" w:hAnsi="Arial"/>
          <w:sz w:val="18"/>
          <w:szCs w:val="18"/>
          <w:color w:val="auto"/>
        </w:rPr>
        <w:t>.</w:t>
      </w:r>
    </w:p>
    <w:p>
      <w:pPr>
        <w:sectPr>
          <w:pgSz w:w="11900" w:h="16838" w:orient="portrait"/>
          <w:cols w:equalWidth="0" w:num="1">
            <w:col w:w="9600"/>
          </w:cols>
          <w:pgMar w:left="1120" w:top="513" w:right="117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MANAGEMENT</w:t>
      </w:r>
    </w:p>
    <w:p>
      <w:pPr>
        <w:spacing w:after="0" w:line="185"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 xml:space="preserve">As of December 31, 2025, we had 2,212 employees. Of our total employees, we had 441 employees covered by collective bargaining agreements or similar arrangements. We consider our overall relationships with our employees, suppliers and vendors to be satisfactory. Further, we expect all employees to maintain a work environment free from harassment, discrimination and abuse, and one where employees treat each other with respect, dignity and courtesy. These tenets are further described in our Human Rights Policy and our Supplier and Vendor Expectations, both of which are available on our website at </w:t>
      </w:r>
      <w:r>
        <w:rPr>
          <w:rFonts w:ascii="Arial" w:cs="Arial" w:eastAsia="Arial" w:hAnsi="Arial"/>
          <w:sz w:val="18"/>
          <w:szCs w:val="18"/>
          <w:u w:val="single" w:color="auto"/>
          <w:color w:val="auto"/>
        </w:rPr>
        <w:t>www.helixesg.com/about-helix/our-company/ethics-and-compliance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16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 xml:space="preserve">Our corporate vision of a zero-incident workplace is based on the belief that all incidents are preventable and that we manage our working conditions to eliminate unsafe behavior. We have established a corporate culture in which QHSE takes priority over our other business objectives. Everyone at Helix has the authority and the duty to “STOP WORK” they believe is unsafe. Helix management actively encourages critical safety behaviors to avoid injuries to people, environmental disturbances and damage to assets through Hazard Hunts, Behavioral Best Safety Standards, and employee consultations, among other initiatives. Our Health, Safety and Security Statement and Environmental and Energy Statement of Policy are available on our website, located at </w:t>
      </w:r>
      <w:r>
        <w:rPr>
          <w:rFonts w:ascii="Arial" w:cs="Arial" w:eastAsia="Arial" w:hAnsi="Arial"/>
          <w:sz w:val="18"/>
          <w:szCs w:val="18"/>
          <w:u w:val="single" w:color="auto"/>
          <w:color w:val="auto"/>
        </w:rPr>
        <w:t>www.helixesg.com/about-helix/our-company/safety</w:t>
      </w:r>
      <w:r>
        <w:rPr>
          <w:rFonts w:ascii="Arial" w:cs="Arial" w:eastAsia="Arial" w:hAnsi="Arial"/>
          <w:sz w:val="18"/>
          <w:szCs w:val="18"/>
          <w:color w:val="auto"/>
        </w:rPr>
        <w:t>. Our QHSE management systems and training programs were developed based on common industry work practices, and by employees with on-site experience who understand the risk and physical challenges of the offshore work environment. Certain management systems of our business units have been independently assessed and registered compliant with ISO 9000 (Quality Management Systems), ISO 14001 (Environmental Management Systems), and ISO 45001 (Occupational Health and Safety Management Systems).</w:t>
      </w:r>
    </w:p>
    <w:p>
      <w:pPr>
        <w:spacing w:after="0" w:line="15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undertake to regularly and properly train our staff to be as prepared as possible to perform our operations safely. Our staff receives updated and relevant training required for their jobs, and Helix leadership actively engages staff so that behaviors reflect the training and a critical safety approach. Each vessel and shore-based employee is assigned a Qualifications and Training Matrix that specifies qualifications and training required of the employee. Training is tracked and evaluated for quality assurance. Ongoing and thoughtful employee participation is a vital element in the success of our QHSE processes. While we believe in the strength and effectiveness of our QHSE programs, we continuously review how we can improve our control of QHSE risks through our employees’ behavior and feedback.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and Retention of Talent</w:t>
      </w:r>
    </w:p>
    <w:p>
      <w:pPr>
        <w:spacing w:after="0" w:line="16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We are committed to attracting and retaining high-performing employees through our diverse talent base and evaluating and promoting throughout our organization based on skills and performance. We seek the best candidates without regard to factors such as race, religion, color, national origin, age, sex, gender, sexual orientation, gender identity, disability, marital status, veteran status, genetic information, socioeconomic background or any other basis that would be in violation of any applicable federal, state, local or international law. We are committed to diversity and inclusion throughout our workforce, and believe that employing people with different backgrounds, experiences and perspectives makes Helix a stronger company. In 2025, our worldwide workforce represented 40 different nationalities. We track tenure and voluntary employee turnover and use this data to inform our human capital management strategy. As of December 31, 2025, our global voluntary annual turnover rate was 13%. Further, our Board defines diversity expansively and has determined that it is desirable to have diverse viewpoints, professional experiences, backgrounds and skills on our Board, with the principal qualification of a director being the ability to act effectively on behalf of Company shareholders. Our Board has remained diverse following a long-standing refreshment process. Relevant information regarding our talent attraction and retention can be found in the Talent Management section of our Corporate Sustainability Platform available at </w:t>
      </w:r>
      <w:r>
        <w:rPr>
          <w:rFonts w:ascii="Arial" w:cs="Arial" w:eastAsia="Arial" w:hAnsi="Arial"/>
          <w:sz w:val="18"/>
          <w:szCs w:val="18"/>
          <w:u w:val="single" w:color="auto"/>
          <w:color w:val="auto"/>
        </w:rPr>
        <w:t>www.helixesg.com/sustainability/people-communities#talent-management</w:t>
      </w:r>
      <w:r>
        <w:rPr>
          <w:rFonts w:ascii="Arial" w:cs="Arial" w:eastAsia="Arial" w:hAnsi="Arial"/>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Rights, Anti-Slavery and Anti-Human Trafficking</w:t>
      </w:r>
    </w:p>
    <w:p>
      <w:pPr>
        <w:spacing w:after="0" w:line="21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 xml:space="preserve">We are committed to respecting and protecting human rights everywhere we operate and expect similar standards of suppliers, vendors and partners, including requiring periodic assessments and audits to confirm there is no modern slavery, human trafficking or underage employees in our supply chains or in any part of our business. Our workplace policies and procedures demonstrate our commitment to acting ethically and with integrity in our business relationships, and to implementing and enforcing effective systems and controls to prevent slavery and human trafficking from taking place anywhere in our supply chains. We provide periodic Anti-Human Trafficking training for employees to further arm our workforce with the tools to identify and prevent human trafficking. Our Modern Slavery Statement is available on our website, located at </w:t>
      </w:r>
      <w:r>
        <w:rPr>
          <w:rFonts w:ascii="Arial" w:cs="Arial" w:eastAsia="Arial" w:hAnsi="Arial"/>
          <w:sz w:val="18"/>
          <w:szCs w:val="18"/>
          <w:u w:val="single" w:color="auto"/>
          <w:color w:val="auto"/>
        </w:rPr>
        <w:t>www.helixesg.com/modern-slavery-statement</w:t>
      </w:r>
      <w:r>
        <w:rPr>
          <w:rFonts w:ascii="Arial" w:cs="Arial" w:eastAsia="Arial" w:hAnsi="Arial"/>
          <w:sz w:val="18"/>
          <w:szCs w:val="18"/>
          <w:color w:val="auto"/>
        </w:rPr>
        <w:t xml:space="preserve"> and our Statement on Human Rights, as approved by the Board of Directors is available on our website at </w:t>
      </w:r>
      <w:r>
        <w:rPr>
          <w:rFonts w:ascii="Arial" w:cs="Arial" w:eastAsia="Arial" w:hAnsi="Arial"/>
          <w:sz w:val="18"/>
          <w:szCs w:val="18"/>
          <w:u w:val="single" w:color="auto"/>
          <w:color w:val="auto"/>
        </w:rPr>
        <w:t>www.helixesg.com/about-helix/our-company/ethics-and-compliance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provide services primarily in the Gulf of America (deepwater and shelf), Brazil, North Sea, West Africa and Asia Pacific regions, and as such we are subject to numerous laws and regulations, including international treaties, flag state requirements, environmental laws and regulations, requirements for obtaining operating and navigation licenses, local content requirements, and other national, state and local laws and regulations in force in the jurisdictions in which our vessels and other assets operate or are registered, all of which can significantly affect the ownership and operation of our vessels and other assets. We operate mature offshore oil and gas wells, some of which are producing and which ultimately we plan to decommission. Being an owner and operator of wells subjects us to additional regulatory oversight from the Bureau of Ocean Energy Management (“BOEM”) and the Bureau of Safety and Environmental Enforcement (“BSEE”).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Conventions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vessels are subject to applicable international maritime convention requirements, which include, but are not limited to, the International Convention for the Prevention of Pollution from Ships (“MARPOL”), the International Convention on Civil Liability for Oil Pollution Damage of 1969, the International Convention on Civil Liability for Bunker Oil Pollution Damage of 2001 (ratified in 2008), the International Convention for the Safety of Life at Sea of 1974 (“SOLAS”), the International Safety Management Code for the Safe Operation of Ships and for Pollution Prevention (the “ISM Code”), the Code for the Construction and Equipment of Mobile Offshore Drilling Units (the “MODU Code”), and the International Convention for the Control and Management of Ships’ Ballast Water and Sediments (the “BWM Convention”). These regimes are applicable in most countries where we operate; however, the vessel’s flag state and the country where we operate may impose additional requirements, including as described below. In addition, these conventions impose liability for certain environmental discharges, including strict liability in some cases.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Overview</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U.S., we are subject to the jurisdiction of the U.S. Coast Guard (the “Coast Guard”), the</w:t>
      </w:r>
    </w:p>
    <w:p>
      <w:pPr>
        <w:spacing w:after="0" w:line="1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U.S. Environmental Protection Agency (the “EPA”) as well as state environmental protection agencies for those jurisdictions in which we operate, three divisions of the U.S. Department of the Interior (BOEM, BSEE and the Office of Natural Resources Revenue), and the U.S. Customs and Border Protection (the “CBP”), as well as classification societies such as the American Bureau of Shipping (the “ABS”). We are also subject to the requirements of the federal Occupational Safety and Health Act and comparable state laws that regulate the protection of employee health and safety for our land-based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Overview</w:t>
      </w:r>
    </w:p>
    <w:p>
      <w:pPr>
        <w:spacing w:after="0" w:line="21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provide services globally and accordingly can be subject to local laws and regulations wherever we operate. Those laws and regulations generally govern environmental, labor, health and safety and other matters. The regulatory regimes of the U.K. and Brazil are of particular importance given the locations of our current operations. The U.K. Continental Shelf in the North Sea is regulated by the North Sea Transition Authority (the “NSTA”) in accordance with the Petroleum Act 1998. The NSTA controls the Petroleum Operations Notices with which we comply for various well intervention and subsea construction projects, as required. The NSTA also regulates the environmental requirements for our operations in the North Sea. We are subject to the Oil Pollution Prevention and Control Regulations 2005. In the North Sea, international regulations govern working hours and the working environment, as well as standards for diving procedures, equipment and diver health.</w:t>
      </w:r>
    </w:p>
    <w:p>
      <w:pPr>
        <w:spacing w:after="0" w:line="183"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operations in Brazil are predominantly regulated by the Brazilian National Agency of Petroleum, Natural Gas and Biofuels, the federal government agency responsible for the regulation of the oil sector. Additional regulatory oversight is provided, among others, by the Brazilian Institute of the Environment and Renewable Natural Resources, which oversees Brazilian environmental legislation, implements the National Environmental Policy and exercises control and supervision of the use of natural resources, the Brazilian Health Regulatory Agency, which regulates products and services subject to health regulations, the Ministry of Labor, which regulates a variety of subjects related to employment and other work permitting matters, and the Brazilian Navy, which regulates maritime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Certification</w:t>
      </w:r>
    </w:p>
    <w:p>
      <w:pPr>
        <w:spacing w:after="0" w:line="21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Each of our vessels is subject to regulatory requirements of the country in which the vessel is registered, also known as the flag state. In addition, the country in which a vessel is operating may have its own requirements with respect to safety and environmental protections. These requirements must be satisfied in order for the vessel to operate. Flag state requirements are largely established by international treaties such as MARPOL, SOLAS, the ISM Code and the MODU Code, and in some instances, specific requirements of the flag state. These include engineering, safety, safe manning and other requirements related to the maritime industry. Each of our vessels is subject to a “class” status with a classification society, with respect to whether the vessel has been built and maintained in accordance with the rules of the classification society and complies with applicable flag state rules and international conventions. Our vessels generally undergo a class survey once every five years. In the U.S., the Coast Guard sets safety standards and is authorized to investigate marine incidents, recommend safety standards, and inspect vessels at will. We are also bound by manning requirements implemented by the Coast Guard for operations on the U.S. Outer Continental Shelf (“OCS”).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Content Requirements and Cabotage Rules</w:t>
      </w:r>
    </w:p>
    <w:p>
      <w:pPr>
        <w:spacing w:after="0" w:line="210"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18"/>
          <w:szCs w:val="18"/>
          <w:color w:val="auto"/>
        </w:rPr>
        <w:t>We are subject to local content requirements with respect to vessels, equipment and crews utilized in certain of our operations. Governments in some countries, notably in Australia, Brazil and in the West Africa region, establish and enforce such requirements along with other aspects of the energy industries in their respective countries.</w:t>
      </w:r>
    </w:p>
    <w:p>
      <w:pPr>
        <w:spacing w:after="0" w:line="169"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A number of jurisdictions where we operate require that certain work may only be performed by vessels built and/or registered in that jurisdiction. In some instances, an exemption may be available, or we may be subject to an additional tax to use a non-local vessel. In the U.S., we are subject to the Merchant Marine Act of 1920 (commonly referred to as the “Jones Act”), which generally provides that only vessels built in the U.S., owned at least 75% by U.S. citizens, and crewed by U.S. citizen seafarers may transport merchandise between points in the U.S. The Jones Act has been applied to offshore oil and gas and wind farm work in the U.S. through interpretations by the CBP.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Offshore Energy Regulation</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business is affected by laws and regulations as well as changing tax laws and policies relating to the offshore energy industry in general. The operation of oil and gas properties located on the OCS is regulated primarily by BOEM and BSEE. Among other requirements, BOEM may require lessees of OCS properties to post bonds or provide other adequate financial assurance in connection with the P&amp;A of wells located offshore and the removal of production facilities. As an owner and operator of wells located on the OCS, we maintain a BSEE-approved Oil Spill Response Plan. BSEE also oversees requirements relating to well control equipment utilized during intervention and decommissioning operations. As a provider of well control equipment, we are subject to these regulations for operation, maintenance and surface and subsea testing of our equipment during intervention and decommissioning operations.</w:t>
      </w:r>
    </w:p>
    <w:p>
      <w:pPr>
        <w:sectPr>
          <w:pgSz w:w="11900" w:h="16838" w:orient="portrait"/>
          <w:cols w:equalWidth="0" w:num="1">
            <w:col w:w="9620"/>
          </w:cols>
          <w:pgMar w:left="1120" w:top="513"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Impact</w:t>
      </w:r>
    </w:p>
    <w:p>
      <w:pPr>
        <w:spacing w:after="0" w:line="21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Additional proposals and proceedings before various international, federal and state regulatory agencies and courts could affect the energy industry, including curtailing production and demand for fossil fuels.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REGULATION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operations are subject to a variety of national (including federal, state and local) and international laws and regulations governing the discharge of materials into the environment or otherwise relating to environmental protection. Numerous governmental departments issue rules and regulations to implement and enforce these laws that are often complex, costly to comply with, and carry substantial administrative, civil and possibly criminal penalties for compliance failure. Under these laws and regulations, we may be liable for remediation or removal costs, damages, civil, criminal and administrative penalties and other costs associated with releases of hazardous materials (including oil) into the environment, and that liability may be imposed on us even if the acts that resulted in the releases were in compliance with all applicable laws at the time those acts were performed. Some of the environmental laws and regulations applicable to our business operations are discussed below, but this discussion does not cover all environmental laws and regulations that govern or otherwise affect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MARPOL</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The U.S. is one of approximately 175 member countries party to the International Maritime Organization (“IMO”), an agency of the United Nations responsible for developing measures to improve the safety and security of international shipping and to prevent marine pollution from ships. The IMO negotiated MARPOL, which imposes on the shipping industry environmental standards relating to oil spills, management of garbage, the handling and disposal of noxious liquids, harmful substances in packaged forms, sewage, and air emissions.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OPA</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Oil Pollution Act of 1990, as amended (“OPA”), imposes a variety of requirements on offshore facility owners or operators in the U.S., and the lessee or permittee of the U.S. area in which an offshore facility is located, as well as owners and operators of vessels. Any of these entities or persons can be “responsible parties” which are strictly liable for removal costs and damages arising from facility and vessel oil spills or threatened spills. Failure to comply with OPA may result in the assessment of civil, administrative and criminal penalties. In addition, OPA requires owners and operators of vessels over 300 gross tons to provide the Coast Guard with evidence of financial responsibility to cover the cost of cleaning up oil spills from those vessels. A number of foreign jurisdictions also require us to present satisfactory evidence of financial responsibility. We address these requirements through appropriate insurance coverage.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Pollution</w:t>
      </w:r>
    </w:p>
    <w:p>
      <w:pPr>
        <w:spacing w:after="0" w:line="21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 operations in the U.S., the Clean Water Act imposes controls on the discharge of pollutants into the navigable waters of the U.S. and imposes potential liability for the costs of remediating releases of petroleum and other substances. Permits may be obtained to discharge certain types of pollutants into state and federal waters. The EPA issues Vessel General Permits (“VGPs”) covering discharges incidental to normal vessel operations, including ballast water, and implements various training, inspection, monitoring, recordkeeping and reporting requirements, as well as corrective actions upon identification of each deficiency. Additionally, certain state regulations and VGPs prohibit the discharge of produced waters and sand, drilling fluids, drill cuttings and certain other substances related to the exploration for, and production of, oil and natural gas into certain coastal and offshore waters. Many states have laws analogous to the Clean Water Act and also require remediation of releases of hazardous substances in state waters. Internationally, the BWM Convention covers mandatory ballast water exchange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Pollution and Emissions</w:t>
      </w:r>
    </w:p>
    <w:p>
      <w:pPr>
        <w:spacing w:after="0" w:line="210"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color w:val="auto"/>
        </w:rPr>
        <w:t>A variety of regulatory requirements, proposals and legislative initiatives focused on restricting the emissions of carbon dioxide, methane and other greenhouse gases apply to the jurisdictions in which we operate. Annex VI of MARPOL addresses air emissions, including emissions of sulfur and nitrous oxide, and requires the use of low sulfur fuels worldwide in both auxiliary and main propulsion diesel engines on vessels. Directives designed to reduce the emission of nitrogen oxides and sulfur oxides have been issued, and can impact both the fuel and engines that may be used onboard vessels.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CERCLA</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Comprehensive Environmental Response, Compensation, and Liability Act (“CERCLA”) requires the remediation of releases of hazardous substances into the environment in the U.S. and imposes liability, without regard to fault or the legality of the original conduct, on certain classes of persons, including owners and operators of contaminated sites where the release occurred and those companies that transport, dispose of or arrange for the disposal of, hazardous substances released at the sites.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OCSLA</w:t>
      </w:r>
    </w:p>
    <w:p>
      <w:pPr>
        <w:spacing w:after="0" w:line="210"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The Outer Continental Shelf Lands Act, as amended (“OCSLA”), provides the U.S. government with broad authority to impose environmental protection requirements applicable to lessees and permittees operating in the OCS. Specific design and operational standards may apply to OCS vessels, rigs, platforms, vehicles and structures. Violations can result in substantial civil and criminal penalties, as well as potential court injunctions that could curtail operations and cancel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Compliance and Potential Impact</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believe we are in compliance in all material respects with applicable environmental laws and regulations. We maintain a robust operational compliance program, and we maintain and update our programs to meet or exceed applicable regulatory requirements.</w:t>
      </w:r>
    </w:p>
    <w:p>
      <w:pPr>
        <w:spacing w:after="0" w:line="16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 xml:space="preserve">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further information related to governmental and regulatory requirements affecting our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MATTERS</w:t>
      </w:r>
    </w:p>
    <w:p>
      <w:pPr>
        <w:spacing w:after="0" w:line="21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Our businesses involve a high degree of operational risk. Hazards such as vessels sinking, grounding, colliding and sustaining damage from severe weather conditions and operational hazards such as rigging failures, human error, or accidents are inherent in marine operations. These hazards can cause marine and subsea operational equipment failures resulting in personal injury or loss of life, severe damage to and destruction of property and equipment, pollution or environmental damage and the suspension of operations. Damages arising from such occurrences may result in claims that could be significant.</w:t>
      </w:r>
    </w:p>
    <w:p>
      <w:pPr>
        <w:spacing w:after="0" w:line="179"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As discussed below, we maintain insurance policies to cover some of our risk of loss associated with our business. We maintain amounts of insurance we believe prudent based on estimated loss potential. However, not all of our business activities can be insured at the levels we desire because of either limited market availability or unfavorable economics.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current insurance programs generally cover a 12-month period beginning July 1 each year.</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maintain Hull and Increased Value insurance, which provides coverage for physical damage up to an agreed amount for each vessel. We also carry Protection and Indemnity insurance, which covers liabilities arising from the operation of vessels, and General Liability insurance, which covers liabilities arising from general operations. Onshore employees are covered by Workers’ Compensation, and offshore employees and marine crews are covered by a Maritime Employers Liability (“MEL”) insurance policy, which covers Jones Act exposures. We maintain Operator Extra Expense coverage that provides certain coverage per each loss occurrence for a well control issue on oil and gas properties where we are the operator. In addition to these liability policies, we currently carry various layers of Umbrella Liability in excess of primary limits as well as OPA insurance for our offshore oil and gas properties.</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customarily have agreements with our customers and vendors in which each contracting party is responsible for its respective personnel. Under these agreements we are typically indemnified against third-party claims related to the injury or death of our customers’ or vendors’ personnel, and vice versa. With respect to well work contracted to us, the customer is typically contractually responsible for pollution emanating from the well. We separately maintain additional coverage designed to cover us under certain circumstances against any such third-party claims associated with well control events.</w:t>
      </w:r>
    </w:p>
    <w:p>
      <w:pPr>
        <w:spacing w:after="0" w:line="179"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We also are often required by customers to enter into surety bond arrangements or to post standby letters of credit in favor of the customer. Such surety bond arrangements and letters of credit are designed to protect customers against our failure to perform obligations under customer contracts. The terms of such surety bond arrangements or standby letters of credit vary but are generally consistent with industry practice for such agreements.</w:t>
      </w:r>
    </w:p>
    <w:p>
      <w:pPr>
        <w:spacing w:after="0" w:line="174"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We receive Workers’ Compensation, MEL and other insurance claims in the normal course of business. We analyze each claim for its validity, potential exposure and estimated ultimate liability. Our services are provided in hazardous environments where events involving catastrophic damage or loss of life could occur, and claims arising from such an event may result in our being named as a responsible party. We maintain insurance protection that we believe is adequate for our business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AND OTHER AVAILABLE INFORMATION</w:t>
      </w:r>
    </w:p>
    <w:p>
      <w:pPr>
        <w:spacing w:after="0" w:line="21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 xml:space="preserve">We maintain a website on the Internet with the address of </w:t>
      </w:r>
      <w:r>
        <w:rPr>
          <w:rFonts w:ascii="Arial" w:cs="Arial" w:eastAsia="Arial" w:hAnsi="Arial"/>
          <w:sz w:val="18"/>
          <w:szCs w:val="18"/>
          <w:u w:val="single" w:color="auto"/>
          <w:color w:val="auto"/>
        </w:rPr>
        <w:t>www.helixesg.com</w:t>
      </w:r>
      <w:r>
        <w:rPr>
          <w:rFonts w:ascii="Arial" w:cs="Arial" w:eastAsia="Arial" w:hAnsi="Arial"/>
          <w:sz w:val="18"/>
          <w:szCs w:val="18"/>
          <w:color w:val="auto"/>
        </w:rPr>
        <w:t xml:space="preserve">. Copies of this Annual Report for the year ended December 31, 2025, previous and subsequent copies of our Annual Reports on Form 10-K, Quarterly Reports on Form 10-Q and Current Reports on Form 8-K, and any amendments thereto, are or will be available free of charge at our website as soon as reasonably practicable after they are filed with, or furnished to, the SEC. We make our website content available for informational purposes only. Information contained on our website is not part of this report and should not be relied upon for investment purposes. Please note that prior to March 6, 2006, the name of the Company was Cal Dive International, Inc. We satisfy the requirement under Item 5.05 of Form 8-K to disclose any amendments to our Code of Business Conduct and Ethics and our Code of Ethics for Chief Executive Officer and Senior Financial Officers and any waiver from any provision of those codes by posting that information in the Investor Relations section of our website at </w:t>
      </w:r>
      <w:r>
        <w:rPr>
          <w:rFonts w:ascii="Arial" w:cs="Arial" w:eastAsia="Arial" w:hAnsi="Arial"/>
          <w:sz w:val="18"/>
          <w:szCs w:val="18"/>
          <w:u w:val="single" w:color="auto"/>
          <w:color w:val="auto"/>
        </w:rPr>
        <w:t>www.helixesg.com</w:t>
      </w:r>
      <w:r>
        <w:rPr>
          <w:rFonts w:ascii="Arial" w:cs="Arial" w:eastAsia="Arial" w:hAnsi="Arial"/>
          <w:sz w:val="18"/>
          <w:szCs w:val="18"/>
          <w:color w:val="auto"/>
        </w:rPr>
        <w:t>.</w:t>
      </w:r>
    </w:p>
    <w:p>
      <w:pPr>
        <w:spacing w:after="0" w:line="180"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 xml:space="preserve">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Defined below are certain terms helpful to understanding our business that are located throughout this Annual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94" w:lineRule="exact"/>
        <w:rPr>
          <w:sz w:val="20"/>
          <w:szCs w:val="20"/>
          <w:color w:val="auto"/>
        </w:rPr>
      </w:pPr>
    </w:p>
    <w:p>
      <w:pPr>
        <w:ind w:right="660" w:firstLine="648"/>
        <w:spacing w:after="0" w:line="271" w:lineRule="auto"/>
        <w:rPr>
          <w:sz w:val="20"/>
          <w:szCs w:val="20"/>
          <w:color w:val="auto"/>
        </w:rPr>
      </w:pPr>
      <w:r>
        <w:rPr>
          <w:rFonts w:ascii="Arial" w:cs="Arial" w:eastAsia="Arial" w:hAnsi="Arial"/>
          <w:sz w:val="18"/>
          <w:szCs w:val="18"/>
          <w:i w:val="1"/>
          <w:iCs w:val="1"/>
          <w:color w:val="auto"/>
        </w:rPr>
        <w:t xml:space="preserve">Artificial Intelligence (AI): </w:t>
      </w:r>
      <w:r>
        <w:rPr>
          <w:rFonts w:ascii="Arial" w:cs="Arial" w:eastAsia="Arial" w:hAnsi="Arial"/>
          <w:sz w:val="18"/>
          <w:szCs w:val="18"/>
          <w:color w:val="auto"/>
        </w:rPr>
        <w:t>An engineered system that analyzes large data sets to independently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predictions, or decisions intended to achieve specific objectives and influence operations.</w:t>
      </w:r>
    </w:p>
    <w:p>
      <w:pPr>
        <w:spacing w:after="0" w:line="154"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i w:val="1"/>
          <w:iCs w:val="1"/>
          <w:color w:val="auto"/>
        </w:rPr>
        <w:t xml:space="preserve">Bureau of Ocean Energy Management (BOEM): </w:t>
      </w:r>
      <w:r>
        <w:rPr>
          <w:rFonts w:ascii="Arial" w:cs="Arial" w:eastAsia="Arial" w:hAnsi="Arial"/>
          <w:sz w:val="18"/>
          <w:szCs w:val="18"/>
          <w:color w:val="auto"/>
        </w:rPr>
        <w:t>BOEM is responsible for managing environmentally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economically responsible development of U.S. offshore resources. Its functions include offshore leasing, resource evaluation, review and administration of oil and gas exploration and development plans, renewable energy development, National Environmental Policy Act analysis and environmental studies.</w:t>
      </w:r>
    </w:p>
    <w:p>
      <w:pPr>
        <w:spacing w:after="0" w:line="174"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i w:val="1"/>
          <w:iCs w:val="1"/>
          <w:color w:val="auto"/>
        </w:rPr>
        <w:t xml:space="preserve">Bureau of Safety and Environmental Enforcement (BSEE): </w:t>
      </w:r>
      <w:r>
        <w:rPr>
          <w:rFonts w:ascii="Arial" w:cs="Arial" w:eastAsia="Arial" w:hAnsi="Arial"/>
          <w:sz w:val="18"/>
          <w:szCs w:val="18"/>
          <w:color w:val="auto"/>
        </w:rPr>
        <w:t>BSEE is responsible for safety and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of U.S. offshore oil and gas operations, including permitting and inspections of offshore oil and gas operations. Its functions include the development and enforcement of safety and environmental regulations, permitting offshore exploration, development and production, inspections, offshore regulatory programs, oil spill response and newly formed training and environmental compliance programs.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both"/>
        <w:ind w:right="140" w:firstLine="648"/>
        <w:spacing w:after="0" w:line="247" w:lineRule="auto"/>
        <w:rPr>
          <w:sz w:val="20"/>
          <w:szCs w:val="20"/>
          <w:color w:val="auto"/>
        </w:rPr>
      </w:pPr>
      <w:r>
        <w:rPr>
          <w:rFonts w:ascii="Arial" w:cs="Arial" w:eastAsia="Arial" w:hAnsi="Arial"/>
          <w:sz w:val="18"/>
          <w:szCs w:val="18"/>
          <w:i w:val="1"/>
          <w:iCs w:val="1"/>
          <w:color w:val="auto"/>
        </w:rPr>
        <w:t xml:space="preserve">Coiled tubing (CT) system: </w:t>
      </w:r>
      <w:r>
        <w:rPr>
          <w:rFonts w:ascii="Arial" w:cs="Arial" w:eastAsia="Arial" w:hAnsi="Arial"/>
          <w:sz w:val="18"/>
          <w:szCs w:val="18"/>
          <w:color w:val="auto"/>
        </w:rPr>
        <w:t>A continuous length of steel tubing (CT), typically between 1” and 3.25” in diameter,</w:t>
      </w:r>
      <w:r>
        <w:rPr>
          <w:rFonts w:ascii="Arial" w:cs="Arial" w:eastAsia="Arial" w:hAnsi="Arial"/>
          <w:sz w:val="18"/>
          <w:szCs w:val="18"/>
          <w:i w:val="1"/>
          <w:iCs w:val="1"/>
          <w:color w:val="auto"/>
        </w:rPr>
        <w:t xml:space="preserve"> </w:t>
      </w:r>
      <w:r>
        <w:rPr>
          <w:rFonts w:ascii="Arial" w:cs="Arial" w:eastAsia="Arial" w:hAnsi="Arial"/>
          <w:sz w:val="18"/>
          <w:szCs w:val="18"/>
          <w:color w:val="auto"/>
        </w:rPr>
        <w:t>wound onto a large reel together with an injector head, control console, power supply and well control stack. The CT is run inside a well’s production tubing primarily for debris cleanout, pumping fluids or fishing operations though there are numerous other applications.</w:t>
      </w:r>
    </w:p>
    <w:p>
      <w:pPr>
        <w:spacing w:after="0" w:line="17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The process of plugging and abandoning oil and gas wells and removing all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(pipelines, platforms, etc.). This is the final stage of oil and gas operations and typically occurs when all of the associated wells have reached the end of their useful production lives.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Deepwater: </w:t>
      </w:r>
      <w:r>
        <w:rPr>
          <w:rFonts w:ascii="Arial" w:cs="Arial" w:eastAsia="Arial" w:hAnsi="Arial"/>
          <w:sz w:val="18"/>
          <w:szCs w:val="18"/>
          <w:color w:val="auto"/>
        </w:rPr>
        <w:t>Water depths exceeding 1,000 feet.</w:t>
      </w:r>
    </w:p>
    <w:p>
      <w:pPr>
        <w:spacing w:after="0" w:line="212"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i w:val="1"/>
          <w:iCs w:val="1"/>
          <w:color w:val="auto"/>
        </w:rPr>
        <w:t xml:space="preserve">Dynamic Positioning (DP): </w:t>
      </w:r>
      <w:r>
        <w:rPr>
          <w:rFonts w:ascii="Arial" w:cs="Arial" w:eastAsia="Arial" w:hAnsi="Arial"/>
          <w:sz w:val="18"/>
          <w:szCs w:val="18"/>
          <w:color w:val="auto"/>
        </w:rPr>
        <w:t>Computer directed thruster systems that use satellite-based positioning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positioning technologies to provide the proper counteraction to wind, current and wave forces enabling a vessel to maintain its position without the use of anchors.</w:t>
      </w:r>
    </w:p>
    <w:p>
      <w:pPr>
        <w:spacing w:after="0" w:line="169"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i w:val="1"/>
          <w:iCs w:val="1"/>
          <w:color w:val="auto"/>
        </w:rPr>
        <w:t xml:space="preserve">DP2: </w:t>
      </w:r>
      <w:r>
        <w:rPr>
          <w:rFonts w:ascii="Arial" w:cs="Arial" w:eastAsia="Arial" w:hAnsi="Arial"/>
          <w:sz w:val="18"/>
          <w:szCs w:val="18"/>
          <w:color w:val="auto"/>
        </w:rPr>
        <w:t>Two DP systems on a single vessel providing the redundancy that allows the vessel to maintain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even in the absence of one DP system.</w:t>
      </w:r>
    </w:p>
    <w:p>
      <w:pPr>
        <w:spacing w:after="0" w:line="154"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i w:val="1"/>
          <w:iCs w:val="1"/>
          <w:color w:val="auto"/>
        </w:rPr>
        <w:t xml:space="preserve">DP3: </w:t>
      </w:r>
      <w:r>
        <w:rPr>
          <w:rFonts w:ascii="Arial" w:cs="Arial" w:eastAsia="Arial" w:hAnsi="Arial"/>
          <w:sz w:val="18"/>
          <w:szCs w:val="18"/>
          <w:color w:val="auto"/>
        </w:rPr>
        <w:t>DP control system comprising a triple-redundant controller unit and three identical operator stations.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is designed to withstand fire or flood in any one compartment. Loss of position should not occur from any single failure.</w:t>
      </w:r>
    </w:p>
    <w:p>
      <w:pPr>
        <w:spacing w:after="0" w:line="169"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i w:val="1"/>
          <w:iCs w:val="1"/>
          <w:color w:val="auto"/>
        </w:rPr>
        <w:t xml:space="preserve">Dive support vessel (DSV): </w:t>
      </w:r>
      <w:r>
        <w:rPr>
          <w:rFonts w:ascii="Arial" w:cs="Arial" w:eastAsia="Arial" w:hAnsi="Arial"/>
          <w:sz w:val="18"/>
          <w:szCs w:val="18"/>
          <w:color w:val="auto"/>
        </w:rPr>
        <w:t>A vessel used as a floating base for commercial diving projects, with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to keep station accurately and reliably throughout the diving operation.</w:t>
      </w:r>
    </w:p>
    <w:p>
      <w:pPr>
        <w:spacing w:after="0" w:line="15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i w:val="1"/>
          <w:iCs w:val="1"/>
          <w:color w:val="auto"/>
        </w:rPr>
        <w:t xml:space="preserve">Heavy lift derrick barge: </w:t>
      </w:r>
      <w:r>
        <w:rPr>
          <w:rFonts w:ascii="Arial" w:cs="Arial" w:eastAsia="Arial" w:hAnsi="Arial"/>
          <w:sz w:val="18"/>
          <w:szCs w:val="18"/>
          <w:color w:val="auto"/>
        </w:rPr>
        <w:t>A vessel with a crane capacity to lift large, heavy objects, primarily used for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removal of large offshore structures. Lifting capacities typically range from 500 to over 2,000 tons, compared to construction vessels which generally have less than 250 ton lifting capacity.</w:t>
      </w:r>
    </w:p>
    <w:p>
      <w:pPr>
        <w:spacing w:after="0" w:line="169"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i w:val="1"/>
          <w:iCs w:val="1"/>
          <w:color w:val="auto"/>
        </w:rPr>
        <w:t xml:space="preserve">Intervention Riser System (IRS): </w:t>
      </w:r>
      <w:r>
        <w:rPr>
          <w:rFonts w:ascii="Arial" w:cs="Arial" w:eastAsia="Arial" w:hAnsi="Arial"/>
          <w:sz w:val="18"/>
          <w:szCs w:val="18"/>
          <w:color w:val="auto"/>
        </w:rPr>
        <w:t>A subsea system that establishes a direct connection from a well intervention</w:t>
      </w:r>
      <w:r>
        <w:rPr>
          <w:rFonts w:ascii="Arial" w:cs="Arial" w:eastAsia="Arial" w:hAnsi="Arial"/>
          <w:sz w:val="18"/>
          <w:szCs w:val="18"/>
          <w:i w:val="1"/>
          <w:iCs w:val="1"/>
          <w:color w:val="auto"/>
        </w:rPr>
        <w:t xml:space="preserve"> </w:t>
      </w:r>
      <w:r>
        <w:rPr>
          <w:rFonts w:ascii="Arial" w:cs="Arial" w:eastAsia="Arial" w:hAnsi="Arial"/>
          <w:sz w:val="18"/>
          <w:szCs w:val="18"/>
          <w:color w:val="auto"/>
        </w:rPr>
        <w:t>vessel, through a rigid riser, to a conventional or horizontal subsea tree in depths up to 10,000 feet. An IRS can be utilized for wireline intervention, production logging, CT operations, well stimulation, and full P&amp;A operations, and provides well control in order to safely access the well bore for these activities.</w:t>
      </w:r>
    </w:p>
    <w:p>
      <w:pPr>
        <w:spacing w:after="0" w:line="174"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i w:val="1"/>
          <w:iCs w:val="1"/>
          <w:color w:val="auto"/>
        </w:rPr>
        <w:t xml:space="preserve">Intervention system: </w:t>
      </w:r>
      <w:r>
        <w:rPr>
          <w:rFonts w:ascii="Arial" w:cs="Arial" w:eastAsia="Arial" w:hAnsi="Arial"/>
          <w:sz w:val="18"/>
          <w:szCs w:val="18"/>
          <w:color w:val="auto"/>
        </w:rPr>
        <w:t>A subsea system that establishes a direct connection from a well intervention vessel to a</w:t>
      </w:r>
      <w:r>
        <w:rPr>
          <w:rFonts w:ascii="Arial" w:cs="Arial" w:eastAsia="Arial" w:hAnsi="Arial"/>
          <w:sz w:val="18"/>
          <w:szCs w:val="18"/>
          <w:i w:val="1"/>
          <w:iCs w:val="1"/>
          <w:color w:val="auto"/>
        </w:rPr>
        <w:t xml:space="preserve"> </w:t>
      </w:r>
      <w:r>
        <w:rPr>
          <w:rFonts w:ascii="Arial" w:cs="Arial" w:eastAsia="Arial" w:hAnsi="Arial"/>
          <w:sz w:val="18"/>
          <w:szCs w:val="18"/>
          <w:color w:val="auto"/>
        </w:rPr>
        <w:t>subsea well in order to provide well control to safely access the well bore for well intervention activities. Intervention systems include Intervention Riser Systems (IRSs), Subsea Intervention Lubricators (SILs) and the Riserless Open-water Abandonment Module (ROAM).</w:t>
      </w:r>
    </w:p>
    <w:p>
      <w:pPr>
        <w:spacing w:after="0" w:line="174"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i w:val="1"/>
          <w:iCs w:val="1"/>
          <w:color w:val="auto"/>
        </w:rPr>
        <w:t xml:space="preserve">I-plough trencher: </w:t>
      </w:r>
      <w:r>
        <w:rPr>
          <w:rFonts w:ascii="Arial" w:cs="Arial" w:eastAsia="Arial" w:hAnsi="Arial"/>
          <w:sz w:val="18"/>
          <w:szCs w:val="18"/>
          <w:color w:val="auto"/>
        </w:rPr>
        <w:t>A pre-lay plough spread with the capability to perform boulder clearance, pre-cut trenching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backfill services once the cable, umbilical or pipeline has been laid.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IROV boulder grab: </w:t>
      </w:r>
      <w:r>
        <w:rPr>
          <w:rFonts w:ascii="Arial" w:cs="Arial" w:eastAsia="Arial" w:hAnsi="Arial"/>
          <w:sz w:val="18"/>
          <w:szCs w:val="18"/>
          <w:color w:val="auto"/>
        </w:rPr>
        <w:t>A subsea grab tool with the capability to perform boulder clearance and debris removal.</w:t>
      </w:r>
    </w:p>
    <w:p>
      <w:pPr>
        <w:spacing w:after="0" w:line="212"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i w:val="1"/>
          <w:iCs w:val="1"/>
          <w:color w:val="auto"/>
        </w:rPr>
        <w:t xml:space="preserve">Liftboat: </w:t>
      </w:r>
      <w:r>
        <w:rPr>
          <w:rFonts w:ascii="Arial" w:cs="Arial" w:eastAsia="Arial" w:hAnsi="Arial"/>
          <w:sz w:val="18"/>
          <w:szCs w:val="18"/>
          <w:color w:val="auto"/>
        </w:rPr>
        <w:t>A self-propelled offshore vessel with moveable legs capable of elevating its hull above the surface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sea to create a stable working platform as opposed to a floating vessel. These vessels are equipped with living quarters, open deck space and at least one crane for lifting operations.</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i w:val="1"/>
          <w:iCs w:val="1"/>
          <w:color w:val="auto"/>
        </w:rPr>
        <w:t xml:space="preserve">Offshore support vessel (OSV): </w:t>
      </w:r>
      <w:r>
        <w:rPr>
          <w:rFonts w:ascii="Arial" w:cs="Arial" w:eastAsia="Arial" w:hAnsi="Arial"/>
          <w:sz w:val="18"/>
          <w:szCs w:val="18"/>
          <w:color w:val="auto"/>
        </w:rPr>
        <w:t>A specially designed vessel for the logistical servicing of offshore platforms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subsea installations.</w:t>
      </w:r>
    </w:p>
    <w:p>
      <w:pPr>
        <w:spacing w:after="0" w:line="15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i w:val="1"/>
          <w:iCs w:val="1"/>
          <w:color w:val="auto"/>
        </w:rPr>
        <w:t xml:space="preserve">Plug and Abandonment (P&amp;A): </w:t>
      </w:r>
      <w:r>
        <w:rPr>
          <w:rFonts w:ascii="Arial" w:cs="Arial" w:eastAsia="Arial" w:hAnsi="Arial"/>
          <w:sz w:val="18"/>
          <w:szCs w:val="18"/>
          <w:color w:val="auto"/>
        </w:rPr>
        <w:t>P&amp;A operations usually consist of placing several cement plugs in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to isolate the reservoir and other fluid-bearing formations when a well reaches the end of its lifetime.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i w:val="1"/>
          <w:iCs w:val="1"/>
          <w:color w:val="auto"/>
        </w:rPr>
        <w:t xml:space="preserve">P&amp;A system: </w:t>
      </w:r>
      <w:r>
        <w:rPr>
          <w:rFonts w:ascii="Arial" w:cs="Arial" w:eastAsia="Arial" w:hAnsi="Arial"/>
          <w:sz w:val="18"/>
          <w:szCs w:val="18"/>
          <w:color w:val="auto"/>
        </w:rPr>
        <w:t>A set of surface equipment, typically consisting of wireline, pumps, cement blenders and tanks,</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used for placement of mechanical and/or cement plugs in the well bore to P&amp;A a well.</w:t>
      </w:r>
    </w:p>
    <w:p>
      <w:pPr>
        <w:spacing w:after="0" w:line="154"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i w:val="1"/>
          <w:iCs w:val="1"/>
          <w:color w:val="auto"/>
        </w:rPr>
        <w:t xml:space="preserve">QHSE: </w:t>
      </w:r>
      <w:r>
        <w:rPr>
          <w:rFonts w:ascii="Arial" w:cs="Arial" w:eastAsia="Arial" w:hAnsi="Arial"/>
          <w:sz w:val="18"/>
          <w:szCs w:val="18"/>
          <w:color w:val="auto"/>
        </w:rPr>
        <w:t>Quality, Health, Safety and Environmental programs designed to protect the environment, safeguard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health and avoid injuries.</w:t>
      </w:r>
    </w:p>
    <w:p>
      <w:pPr>
        <w:spacing w:after="0" w:line="154"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i w:val="1"/>
          <w:iCs w:val="1"/>
          <w:color w:val="auto"/>
        </w:rPr>
        <w:t xml:space="preserve">Remotely Operated Vehicle (ROV): </w:t>
      </w:r>
      <w:r>
        <w:rPr>
          <w:rFonts w:ascii="Arial" w:cs="Arial" w:eastAsia="Arial" w:hAnsi="Arial"/>
          <w:sz w:val="18"/>
          <w:szCs w:val="18"/>
          <w:color w:val="auto"/>
        </w:rPr>
        <w:t>A robotic vehicle used to complement, support and increase the efficiency of</w:t>
      </w:r>
      <w:r>
        <w:rPr>
          <w:rFonts w:ascii="Arial" w:cs="Arial" w:eastAsia="Arial" w:hAnsi="Arial"/>
          <w:sz w:val="18"/>
          <w:szCs w:val="18"/>
          <w:i w:val="1"/>
          <w:iCs w:val="1"/>
          <w:color w:val="auto"/>
        </w:rPr>
        <w:t xml:space="preserve"> </w:t>
      </w:r>
      <w:r>
        <w:rPr>
          <w:rFonts w:ascii="Arial" w:cs="Arial" w:eastAsia="Arial" w:hAnsi="Arial"/>
          <w:sz w:val="18"/>
          <w:szCs w:val="18"/>
          <w:color w:val="auto"/>
        </w:rPr>
        <w:t>diving and subsea operations and for tasks beyond the capability of manned diving operations. ROV also includes ROVDrill, a seabed-based geotechnical investigation system deployed with an ROV system capable of taking cores from the seafloor in water depths up to 6,500 feet.</w:t>
      </w:r>
    </w:p>
    <w:p>
      <w:pPr>
        <w:spacing w:after="0" w:line="174"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i w:val="1"/>
          <w:iCs w:val="1"/>
          <w:color w:val="auto"/>
        </w:rPr>
        <w:t xml:space="preserve">Riserless Open-water Abandonment Module (ROAM): </w:t>
      </w:r>
      <w:r>
        <w:rPr>
          <w:rFonts w:ascii="Arial" w:cs="Arial" w:eastAsia="Arial" w:hAnsi="Arial"/>
          <w:sz w:val="18"/>
          <w:szCs w:val="18"/>
          <w:color w:val="auto"/>
        </w:rPr>
        <w:t>A subsea system designed to act as a barrier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during upper abandonment operations and during production tubing removal in open water, when run as a complement to an IRS. ROAM provides the ability to capture contaminants or gas within the system and circulate them back to the safe handling systems on board the vessel, such that no well contaminants are released into the environment.</w:t>
      </w:r>
    </w:p>
    <w:p>
      <w:pPr>
        <w:spacing w:after="0" w:line="176"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i w:val="1"/>
          <w:iCs w:val="1"/>
          <w:color w:val="auto"/>
        </w:rPr>
        <w:t xml:space="preserve">Saturation diving: </w:t>
      </w:r>
      <w:r>
        <w:rPr>
          <w:rFonts w:ascii="Arial" w:cs="Arial" w:eastAsia="Arial" w:hAnsi="Arial"/>
          <w:sz w:val="18"/>
          <w:szCs w:val="18"/>
          <w:color w:val="auto"/>
        </w:rPr>
        <w:t>Divers working from special chambers for extended periods at a pressure equivalent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pressure at the work site, generally required for work in water depths between 200 and 1,000 feet.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Shallow water: </w:t>
      </w:r>
      <w:r>
        <w:rPr>
          <w:rFonts w:ascii="Arial" w:cs="Arial" w:eastAsia="Arial" w:hAnsi="Arial"/>
          <w:sz w:val="18"/>
          <w:szCs w:val="18"/>
          <w:color w:val="auto"/>
        </w:rPr>
        <w:t>Generally, water depths less than 1,000 feet, including the Gulf of America shelf.</w:t>
      </w:r>
    </w:p>
    <w:p>
      <w:pPr>
        <w:spacing w:after="0" w:line="212"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i w:val="1"/>
          <w:iCs w:val="1"/>
          <w:color w:val="auto"/>
        </w:rPr>
        <w:t xml:space="preserve">Site clearance: </w:t>
      </w:r>
      <w:r>
        <w:rPr>
          <w:rFonts w:ascii="Arial" w:cs="Arial" w:eastAsia="Arial" w:hAnsi="Arial"/>
          <w:sz w:val="18"/>
          <w:szCs w:val="18"/>
          <w:color w:val="auto"/>
        </w:rPr>
        <w:t>Activities utilizing ROVs for the safe removal of obstructions, such as boulders, unexploded</w:t>
      </w:r>
      <w:r>
        <w:rPr>
          <w:rFonts w:ascii="Arial" w:cs="Arial" w:eastAsia="Arial" w:hAnsi="Arial"/>
          <w:sz w:val="18"/>
          <w:szCs w:val="18"/>
          <w:i w:val="1"/>
          <w:iCs w:val="1"/>
          <w:color w:val="auto"/>
        </w:rPr>
        <w:t xml:space="preserve"> </w:t>
      </w:r>
      <w:r>
        <w:rPr>
          <w:rFonts w:ascii="Arial" w:cs="Arial" w:eastAsia="Arial" w:hAnsi="Arial"/>
          <w:sz w:val="18"/>
          <w:szCs w:val="18"/>
          <w:color w:val="auto"/>
        </w:rPr>
        <w:t>ordnance (UXOs) and debris, that would inhibit the construction of an offshore wind farm.</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i w:val="1"/>
          <w:iCs w:val="1"/>
          <w:color w:val="auto"/>
        </w:rPr>
        <w:t xml:space="preserve">Spot vessels: </w:t>
      </w:r>
      <w:r>
        <w:rPr>
          <w:rFonts w:ascii="Arial" w:cs="Arial" w:eastAsia="Arial" w:hAnsi="Arial"/>
          <w:sz w:val="18"/>
          <w:szCs w:val="18"/>
          <w:color w:val="auto"/>
        </w:rPr>
        <w:t>Vessels not owned or under term charters but contracted on a short-term basis typically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projects.</w:t>
      </w:r>
    </w:p>
    <w:p>
      <w:pPr>
        <w:spacing w:after="0" w:line="154" w:lineRule="exact"/>
        <w:rPr>
          <w:sz w:val="20"/>
          <w:szCs w:val="20"/>
          <w:color w:val="auto"/>
        </w:rPr>
      </w:pPr>
    </w:p>
    <w:p>
      <w:pPr>
        <w:ind w:right="380" w:firstLine="648"/>
        <w:spacing w:after="0" w:line="244" w:lineRule="auto"/>
        <w:rPr>
          <w:sz w:val="20"/>
          <w:szCs w:val="20"/>
          <w:color w:val="auto"/>
        </w:rPr>
      </w:pPr>
      <w:r>
        <w:rPr>
          <w:rFonts w:ascii="Arial" w:cs="Arial" w:eastAsia="Arial" w:hAnsi="Arial"/>
          <w:sz w:val="18"/>
          <w:szCs w:val="18"/>
          <w:i w:val="1"/>
          <w:iCs w:val="1"/>
          <w:color w:val="auto"/>
        </w:rPr>
        <w:t xml:space="preserve">Subsea Intervention Lubricator (SIL): </w:t>
      </w:r>
      <w:r>
        <w:rPr>
          <w:rFonts w:ascii="Arial" w:cs="Arial" w:eastAsia="Arial" w:hAnsi="Arial"/>
          <w:sz w:val="18"/>
          <w:szCs w:val="18"/>
          <w:color w:val="auto"/>
        </w:rPr>
        <w:t>A riserless subsea system designed to provide access to the well bore</w:t>
      </w:r>
      <w:r>
        <w:rPr>
          <w:rFonts w:ascii="Arial" w:cs="Arial" w:eastAsia="Arial" w:hAnsi="Arial"/>
          <w:sz w:val="18"/>
          <w:szCs w:val="18"/>
          <w:i w:val="1"/>
          <w:iCs w:val="1"/>
          <w:color w:val="auto"/>
        </w:rPr>
        <w:t xml:space="preserve"> </w:t>
      </w:r>
      <w:r>
        <w:rPr>
          <w:rFonts w:ascii="Arial" w:cs="Arial" w:eastAsia="Arial" w:hAnsi="Arial"/>
          <w:sz w:val="18"/>
          <w:szCs w:val="18"/>
          <w:color w:val="auto"/>
        </w:rPr>
        <w:t>while providing well control safety for activities that do not require a riser conduit. A SIL can be utilized for wireline, logging, light perforating, zone isolation, plug setting and removal, and decommissioning, and it facilitates access to subsea wells from a vessel to provide safe, efficient and cost effective riserless well intervention and abandonment solutions.</w:t>
      </w:r>
    </w:p>
    <w:p>
      <w:pPr>
        <w:spacing w:after="0" w:line="17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i w:val="1"/>
          <w:iCs w:val="1"/>
          <w:color w:val="auto"/>
        </w:rPr>
        <w:t xml:space="preserve">Trencher or trencher system: </w:t>
      </w:r>
      <w:r>
        <w:rPr>
          <w:rFonts w:ascii="Arial" w:cs="Arial" w:eastAsia="Arial" w:hAnsi="Arial"/>
          <w:sz w:val="18"/>
          <w:szCs w:val="18"/>
          <w:color w:val="auto"/>
        </w:rPr>
        <w:t>A subsea robotics system capable of providing post-lay trenching, inspection,</w:t>
      </w:r>
      <w:r>
        <w:rPr>
          <w:rFonts w:ascii="Arial" w:cs="Arial" w:eastAsia="Arial" w:hAnsi="Arial"/>
          <w:sz w:val="18"/>
          <w:szCs w:val="18"/>
          <w:i w:val="1"/>
          <w:iCs w:val="1"/>
          <w:color w:val="auto"/>
        </w:rPr>
        <w:t xml:space="preserve"> </w:t>
      </w:r>
      <w:r>
        <w:rPr>
          <w:rFonts w:ascii="Arial" w:cs="Arial" w:eastAsia="Arial" w:hAnsi="Arial"/>
          <w:sz w:val="18"/>
          <w:szCs w:val="18"/>
          <w:color w:val="auto"/>
        </w:rPr>
        <w:t>burial and maintenance of submarine cables, flowlines and umbilicals in water depths of 30 to 7,200 feet across a range of seabed and environmental conditions.</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Well intervention services</w:t>
      </w:r>
      <w:r>
        <w:rPr>
          <w:rFonts w:ascii="Arial" w:cs="Arial" w:eastAsia="Arial" w:hAnsi="Arial"/>
          <w:sz w:val="18"/>
          <w:szCs w:val="18"/>
          <w:color w:val="auto"/>
        </w:rPr>
        <w:t>: Activities related to well maintenance and production management and enhancement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well intervention operations include the utilization of slickline and electric line services, pumping services, specialized tooling and CT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14"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Shareholders should carefully consider the following risk factors in addition to the other information contained herein. We operate globally in challenging and highly competitive markets and thus our business is subject to a variety of risks. The risks and uncertainties described below are not the only ones facing Helix. We are subject to a variety of risks that affect many other companies generally, as well as additional risks and uncertainties not known to us or that, as of the date of this Annual Report, we believe are not as significant as the risks described below. You should be aware that the occurrence of the events described in these risk factors and elsewhere in this Annual Report could have a material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RISKS</w:t>
      </w:r>
    </w:p>
    <w:p>
      <w:pPr>
        <w:spacing w:after="0" w:line="18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Our business is adversely affected by low oil and natural gas prices, which occur in a cyclical oil and gas market that continues to experience volatility.</w:t>
      </w:r>
    </w:p>
    <w:p>
      <w:pPr>
        <w:spacing w:after="0" w:line="13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Our services are substantially affected by the condition of the oil and gas market, and in particular, the willingness of our oil and gas customers to make capital and other expenditures for offshore exploration, development, drilling and production operations. Although our services are used for other operations during the entire life cycle of a well, when industry conditions are unfavorable, oil and gas companies typically reduce their budgets for expenditures on all types of operations and defer certain activities to the extent possible.</w:t>
      </w:r>
    </w:p>
    <w:p>
      <w:pPr>
        <w:spacing w:after="0" w:line="176" w:lineRule="exact"/>
        <w:rPr>
          <w:sz w:val="20"/>
          <w:szCs w:val="20"/>
          <w:color w:val="auto"/>
        </w:rPr>
      </w:pPr>
    </w:p>
    <w:p>
      <w:pPr>
        <w:ind w:right="460" w:firstLine="648"/>
        <w:spacing w:after="0" w:line="271" w:lineRule="auto"/>
        <w:rPr>
          <w:sz w:val="20"/>
          <w:szCs w:val="20"/>
          <w:color w:val="auto"/>
        </w:rPr>
      </w:pPr>
      <w:r>
        <w:rPr>
          <w:rFonts w:ascii="Arial" w:cs="Arial" w:eastAsia="Arial" w:hAnsi="Arial"/>
          <w:sz w:val="18"/>
          <w:szCs w:val="18"/>
          <w:color w:val="auto"/>
        </w:rPr>
        <w:t>The levels of both capital and operating expenditures largely depend on the prevailing view of future oil and natural gas prices, which is influenced by numerous factors, including:</w:t>
      </w:r>
    </w:p>
    <w:p>
      <w:pPr>
        <w:spacing w:after="0" w:line="154" w:lineRule="exact"/>
        <w:rPr>
          <w:sz w:val="20"/>
          <w:szCs w:val="20"/>
          <w:color w:val="auto"/>
        </w:rPr>
      </w:pPr>
    </w:p>
    <w:p>
      <w:pPr>
        <w:ind w:left="680" w:right="840" w:hanging="328"/>
        <w:spacing w:after="0" w:line="24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worldwide economic activity and general economic and business conditions, including the interest rate environment and cost of capital as well as access to capital and capital markets;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global supply and demand for oil and natural gas;</w:t>
      </w:r>
    </w:p>
    <w:p>
      <w:pPr>
        <w:spacing w:after="0" w:line="8" w:lineRule="exact"/>
        <w:rPr>
          <w:rFonts w:ascii="Times New Roman" w:cs="Times New Roman" w:eastAsia="Times New Roman" w:hAnsi="Times New Roman"/>
          <w:sz w:val="18"/>
          <w:szCs w:val="18"/>
          <w:color w:val="auto"/>
        </w:rPr>
      </w:pPr>
    </w:p>
    <w:p>
      <w:pPr>
        <w:ind w:left="680" w:right="4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uncertainty and geopolitical unrest, including regional conflicts and economic and political conditions domestically and in other oil-producing regions;</w:t>
      </w:r>
    </w:p>
    <w:p>
      <w:pPr>
        <w:ind w:left="680" w:right="30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the Organization of Petroleum Exporting Countries (“OPEC”) and other non-OPEC producer nations (collectively with OPEC members, “OPEC+”);</w:t>
      </w:r>
    </w:p>
    <w:p>
      <w:pPr>
        <w:ind w:left="680" w:right="20" w:hanging="328"/>
        <w:spacing w:after="0" w:line="248"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laws, regulations and policies directly related to the industries in which we provide services, including regulations on decommissioning obligations, restrictions on oil and gas leases, and their interpretation and enforcement;</w:t>
      </w: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discovery rate of new oil and natural gas reserves in offshore areas;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offshore exploration for and production and transportation of oil and natural gas;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excess production capacity;</w:t>
      </w:r>
    </w:p>
    <w:p>
      <w:pPr>
        <w:spacing w:after="0" w:line="8" w:lineRule="exact"/>
        <w:rPr>
          <w:rFonts w:ascii="Times New Roman" w:cs="Times New Roman" w:eastAsia="Times New Roman" w:hAnsi="Times New Roman"/>
          <w:sz w:val="18"/>
          <w:szCs w:val="18"/>
          <w:color w:val="auto"/>
        </w:rPr>
      </w:pPr>
    </w:p>
    <w:p>
      <w:pPr>
        <w:ind w:left="680" w:right="72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oil and gas companies to generate funds or otherwise obtain capital for capital projects and production operations;</w:t>
      </w:r>
    </w:p>
    <w:p>
      <w:pPr>
        <w:ind w:left="680" w:right="16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environmental and social sustainability of the oil and gas sector and the perception thereof, including within the investing community;</w:t>
      </w: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sale and expiration dates of offshore leases globally;</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technological advances affecting energy exploration, production, transportation and consumption;</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exploration and production of onshore shale oil and natural gas;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acceleration of the development of alternative fuels;</w:t>
      </w:r>
    </w:p>
    <w:p>
      <w:pPr>
        <w:spacing w:after="0" w:line="8" w:lineRule="exact"/>
        <w:rPr>
          <w:rFonts w:ascii="Times New Roman" w:cs="Times New Roman" w:eastAsia="Times New Roman" w:hAnsi="Times New Roman"/>
          <w:sz w:val="18"/>
          <w:szCs w:val="18"/>
          <w:color w:val="auto"/>
        </w:rPr>
      </w:pPr>
    </w:p>
    <w:p>
      <w:pPr>
        <w:ind w:left="680" w:right="660" w:hanging="328"/>
        <w:spacing w:after="0" w:line="234" w:lineRule="auto"/>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end-customer preferences toward fuel efficiency and the use of natural gas or renewable energy alternatives;</w:t>
      </w: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weather conditions and natural disasters, including with respect to marine operations;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or threat of an epidemic or pandemic disease and any related governmental response;</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environmental and other governmental regulations;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tax laws, regulations and policies.</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 period of low levels of activity by offshore oil and gas operators may adversely affect demand for our services, the utilization and/or rates we can achieve for our assets and services, and the outlook for our industry in general, all of which could lead to lower utilization of available vessels or similar assets and correspondingly downward pressure on the rates we can charge for our services. Given that the oil and gas business is adversely affected by low oil prices, such conditions would negatively impact oil and gas companies’ willingness and ability to make capital and other expenditures. Additionally, our customers, in reaction to negative market conditions, may seek to negotiate contracts at lower rates, both during and at the expiration of the term of our contracts, to cancel earlier work and shift it to later periods, to cancel their contracts with us even if cancellation involves their paying a cancellation fee, or to delay or refuse payment for our services. The extent of the impact of these conditions on our results of operations and cash flows depends on the strength of our industry environment and the demand for our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520" w:firstLine="648"/>
        <w:spacing w:after="0" w:line="278" w:lineRule="auto"/>
        <w:rPr>
          <w:sz w:val="20"/>
          <w:szCs w:val="20"/>
          <w:color w:val="auto"/>
        </w:rPr>
      </w:pPr>
      <w:r>
        <w:rPr>
          <w:rFonts w:ascii="Arial" w:cs="Arial" w:eastAsia="Arial" w:hAnsi="Arial"/>
          <w:sz w:val="18"/>
          <w:szCs w:val="18"/>
          <w:b w:val="1"/>
          <w:bCs w:val="1"/>
          <w:i w:val="1"/>
          <w:iCs w:val="1"/>
          <w:color w:val="auto"/>
        </w:rPr>
        <w:t>Our business and financial performance are subject to risks related to global economic conditions, geopolitical developments and international conflict.</w:t>
      </w:r>
    </w:p>
    <w:p>
      <w:pPr>
        <w:spacing w:after="0" w:line="13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serve customers in many countries around the world and accordingly our business and operations are subject to the effects of global economic conditions, geopolitical developments and international conflicts. Geopolitical and international instability could lead to sanctions, tariffs, trade wars, embargoes and regional unrest, and related governmental actions could affect the global economy, our customers and our business. In addition, shifting geopolitical conditions could affect U.S. or foreign policies and priorities which could adversely impact our customers and our business. For example, in 2022, the U.K. enacted the Energy (Oil and Gas) Profits Levy of 2022 (“Energy Profits Levy”) imposing a windfall tax on profits for oil and gas companies operating in the U.K. and U.K Continental Shelf. In November 2024, the U.K. increased the rate of the Energy Profits Levy on oil and gas companies to 38% and extended the period to which the Energy Profits Levy applies until March 31, 2030. The Energy Profits Levy has and could further adversely affect the operation and capital spending of our customers in the North Sea. In January 2025, a Presidential Memorandum was issued in the U.S. temporarily withdrawing wind energy leasing in the U.S. Outer Continental Shelf (“2025 Wind Energy Ban”) and the Department of the Interior has since announced a separate pause on large-scale offshore wind projects. Due to ongoing judicial proceedings there is continued uncertainty on projects in the offshore wind industry including our operations on the U.S. East Coast.</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7"/>
          <w:szCs w:val="17"/>
          <w:color w:val="auto"/>
        </w:rPr>
        <w:t>We continue to actively monitor ongoing and potential military hostilities globally including in Ukraine, Israel, Iran, South America, the Red Sea and the Middle East, as well as applicable laws, sanctions and trade control restrictions resulting therefrom. Any sanctions measures and increased governmental oversight and enforcement activities could adversely affect the global economy and supply chains as well as the oil and gas sector generally. The extent to which our operations and financial results may be affected by any such hostilities will depend on various factors, including the extent and duration of the conflicts and their related effects on operating and capital spending by our customers.</w:t>
      </w:r>
    </w:p>
    <w:p>
      <w:pPr>
        <w:spacing w:after="0" w:line="167" w:lineRule="exact"/>
        <w:rPr>
          <w:sz w:val="20"/>
          <w:szCs w:val="20"/>
          <w:color w:val="auto"/>
        </w:rPr>
      </w:pPr>
    </w:p>
    <w:p>
      <w:pPr>
        <w:ind w:right="540" w:firstLine="648"/>
        <w:spacing w:after="0" w:line="278" w:lineRule="auto"/>
        <w:rPr>
          <w:sz w:val="20"/>
          <w:szCs w:val="20"/>
          <w:color w:val="auto"/>
        </w:rPr>
      </w:pPr>
      <w:r>
        <w:rPr>
          <w:rFonts w:ascii="Arial" w:cs="Arial" w:eastAsia="Arial" w:hAnsi="Arial"/>
          <w:sz w:val="18"/>
          <w:szCs w:val="18"/>
          <w:b w:val="1"/>
          <w:bCs w:val="1"/>
          <w:i w:val="1"/>
          <w:iCs w:val="1"/>
          <w:color w:val="auto"/>
        </w:rPr>
        <w:t>Our renewables business may be adversely affected by industry-specific economic, regulatory and market factors.</w:t>
      </w:r>
    </w:p>
    <w:p>
      <w:pPr>
        <w:spacing w:after="0" w:line="13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services to the renewable energy sector and offshore wind farm developments consist primarily of subsea cable trenching and burial as well as seabed clearance and preparation services provided by our Robotics segment.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and expansion of offshore renewable energy projects to deeper water and other regions. The offshore renewable energy sector also has country-specific regulations, restrictions, incentives, subsidies and tax credits, that if revised negatively, can affect our customers’ needs for our services. Stagnant or declining economic conditions, which may slow global electricity demand, can negatively affect developer spending towards renewable energy projects. Finally, the pace of innovation and evolution in the offshore wind market can affect our ability to continue offering services to this segment.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the effects of changing prices.</w:t>
      </w:r>
    </w:p>
    <w:p>
      <w:pPr>
        <w:spacing w:after="0" w:line="21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Inflation rates have been relatively low and stable over the previous three decades; however, inflation rates rose significantly between 2021 and 2024 due in part to supply chain disruptions and the effects of the global health pandemic and more recently relating to political and economic turmoil resulting from the proliferation of tariffs and escalation of global trade tensions. Although inflation rates have stabilized at a moderate level, future economic shocks, such as those due to tariffs and trade wars, could increase inflation levels going forward. We bear the costs of operating and maintaining our assets, including labor and material costs as well as certification and dry dock costs. Although we may be able to reduce some of our exposure to price increases through the rates we charge, competitive market pressures may affect our ability to pass along price adjustments, which may result in reductions in our operating margins and cash flows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OPERATIONAL RISKS</w:t>
      </w:r>
    </w:p>
    <w:p>
      <w:pPr>
        <w:spacing w:after="0" w:line="187"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b w:val="1"/>
          <w:bCs w:val="1"/>
          <w:i w:val="1"/>
          <w:iCs w:val="1"/>
          <w:color w:val="auto"/>
        </w:rPr>
        <w:t>Our backlog may not be ultimately realized for various reasons, our contracts may be terminated early, and our call-off work may be terminated earlier than expected.</w:t>
      </w:r>
    </w:p>
    <w:p>
      <w:pPr>
        <w:spacing w:after="0" w:line="139"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As of December 31, 2025, backlog for our services supported by written agreements or contracts totaled $1.3 billion, of which $694 million is expected to be performed in 2026.</w:t>
      </w:r>
    </w:p>
    <w:p>
      <w:pPr>
        <w:spacing w:after="0" w:line="15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may not be able to perform under our contracts for various reasons giving our customers certain contractual rights under their contracts with us, which ultimately could include termination of a contract. In addition, our customers may seek to cancel, terminate, suspend or renegotiate our contracts, or our projects in Helix Alliance subject to call-off orders may be terminated earlier than expected, in the event of our customers’ diminished demand for our services due to global or industry conditions. Some of these contracts provide for no cancellation fee or a cancellation fee that is substantially less than the expected rates from the contracts. In addition, some of our customers could experience liquidity issues or could otherwise be unable or unwilling to perform under a contract, in which case a customer may repudiate or seek to cancel or renegotiate the contract. The repudiation, early cancellation, termination or renegotiation of our contracts by our customers, or the termination or reduction of call-off work, could have a material adverse effect on our financial position, results of operations and cash flows. Furthermore, we may incur capital costs, we may charter vessels for the purpose of performing these contracts, and/or we may forgo or not seek other contracting opportunities in light of these contracts.</w:t>
      </w:r>
    </w:p>
    <w:p>
      <w:pPr>
        <w:spacing w:after="0" w:line="185"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b w:val="1"/>
          <w:bCs w:val="1"/>
          <w:i w:val="1"/>
          <w:iCs w:val="1"/>
          <w:color w:val="auto"/>
        </w:rPr>
        <w:t>A large portion of our current backlog is concentrated in a small number of long-term contracts that we may fail to renew or replace.</w:t>
      </w:r>
    </w:p>
    <w:p>
      <w:pPr>
        <w:spacing w:after="0" w:line="13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Although historically our service contracts were of relatively short duration, over the past few years we performed a number of long-term contracts. We currently have contracts with six customers that represent approximately 82% of our total backlog as of December 31, 2025. Any cancellation, termination or breach of those contracts would have a larger impact on our operating results and financial condition than of our shorter-term contracts. Furthermore, our ability to extend, renew or replace our long-term contracts when they expire or obtain new contracts as alternatives, and the terms of any such contracts, will continue to depend on various factors, including market conditions and the specific needs of our customers. Given the historically cyclical nature of the oil and gas market, as we have experienced, we may not be able to extend, renew or replace such contracts or we may be required to extend, renew or replace expiring contracts or obtain new contracts at rates that are below our existing contract rates, or that have other terms that are less favorable to us than our existing contracts. Failure to extend, renew or replace expiring contracts or secure new contracts at comparable rates and with favorable terms could have a material adverse effect on our financial position, results of operations and cash flows.</w:t>
      </w:r>
    </w:p>
    <w:p>
      <w:pPr>
        <w:spacing w:after="0" w:line="185" w:lineRule="exact"/>
        <w:rPr>
          <w:sz w:val="20"/>
          <w:szCs w:val="20"/>
          <w:color w:val="auto"/>
        </w:rPr>
      </w:pPr>
    </w:p>
    <w:p>
      <w:pPr>
        <w:ind w:right="800" w:firstLine="648"/>
        <w:spacing w:after="0" w:line="256" w:lineRule="auto"/>
        <w:rPr>
          <w:sz w:val="20"/>
          <w:szCs w:val="20"/>
          <w:color w:val="auto"/>
        </w:rPr>
      </w:pPr>
      <w:r>
        <w:rPr>
          <w:rFonts w:ascii="Arial" w:cs="Arial" w:eastAsia="Arial" w:hAnsi="Arial"/>
          <w:sz w:val="18"/>
          <w:szCs w:val="18"/>
          <w:b w:val="1"/>
          <w:bCs w:val="1"/>
          <w:i w:val="1"/>
          <w:iCs w:val="1"/>
          <w:color w:val="auto"/>
        </w:rPr>
        <w:t>Our operations involve numerous risks, which could result in our inability or failure to perform operationally under our contracts and result in reduced revenues, contractual penalties and/or contract termination.</w:t>
      </w:r>
    </w:p>
    <w:p>
      <w:pPr>
        <w:spacing w:after="0" w:line="15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Our equipment and services are very technical and the offshore environment poses significant challenges. Performing the work we do pursuant to the terms of our contracts can be difficult for various reasons, including equipment failure or reduced performance, human error, third-party failure or other fault, design flaws, weather, water currents or other physical conditions. Operating in new locations may also present incremental complications. Any of these factors could lead to performance concerns as well as disputes with our customers. The nature of offshore operations requires our offshore crew members as well as our customers and vendors to regularly travel to and from the vessels. The occurrence or threat of an epidemic or pandemic may impede our ability to execute such crewing or crew changes, which could lead to vessel downtime or suspension of operations, which may be beyond our control. Failure to perform in accordance with contract specifications can result in reduced rates (or zero rates), customer disputes, contractual penalties, and ultimately, termination in the event of sustained non-performance. As a large portion of our revenues are concentrated with a relatively small number of contracts, any reduced revenues and/or contract termination due to our inability or failure to perform operationally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suppliers and other counterparties may be unable to perform their obligations.</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Industry uncertainty and domestic and global economic conditions, including the financial condition of our customers, suppliers, lenders, insurers and other financial institutions generally, could jeopardize the ability of such parties to perform their obligations to us, including obligations to pay amounts owed to us and to deliver goods and/or services to us in a timely manner. In the event one or more of our customers and/or suppliers is adversely affected by a global health emergency, our business with them may be affected. We may face an increased risk of customers deferring work, declining to commit to new work, asserting claims of force majeure and/or terminating contracts, or our customers’, subcontractors’ or partners’ inability to make payments or remain solvent. We may also face supply chain issues such as loss of access to spares and equipment, which could cause operational delays and loss of revenue.</w:t>
      </w:r>
    </w:p>
    <w:p>
      <w:pPr>
        <w:spacing w:after="0" w:line="18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7"/>
          <w:szCs w:val="17"/>
          <w:color w:val="auto"/>
        </w:rPr>
        <w:t>Although we assess the creditworthiness of our counterparties, a variety of conditions and factors could lead to changes in a counterparty’s liquidity and increase our exposure to credit risk and bad debts. In particular, our Robotics and Helix Alliance businesses tend to do business with smaller customers that may not be capitalized or insured to the same extent as larger operators and that may be more exposed to financial loss in an uncertain economic environment. In addition, we may offer favorable payment or other contractual terms to customers in order to secure contracts. These circumstances may lead to collection issues that could impact our financial results and liquidity and lead to losses.</w:t>
      </w:r>
    </w:p>
    <w:p>
      <w:pPr>
        <w:spacing w:after="0" w:line="165"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The inability of our customers, suppliers and other counterparties to perform under our various contracts, credit agreements and insurance policies may materially adversely affect our business, financial position, results of operations and cash flows.</w:t>
      </w:r>
    </w:p>
    <w:p>
      <w:pPr>
        <w:spacing w:after="0" w:line="17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i w:val="1"/>
          <w:iCs w:val="1"/>
          <w:color w:val="auto"/>
        </w:rPr>
        <w:t>We may own assets with costs that cannot be recouped if the assets are not under contract, and time chartering vessels requires us to make payments regardless of utilization of and revenue generation from those vessels.</w:t>
      </w:r>
    </w:p>
    <w:p>
      <w:pPr>
        <w:spacing w:after="0" w:line="159"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color w:val="auto"/>
        </w:rPr>
        <w:t>We own vessels, systems and other equipment for which there are costs, including maintenance, manning, insurance and depreciation. We may also construct assets without first obtaining service contracts covering the cost of those assets. Our failure to secure contracts for vessels or other assets could materially adversely affect our financial position, results of operations and cash flows.</w:t>
      </w:r>
    </w:p>
    <w:p>
      <w:pPr>
        <w:spacing w:after="0" w:line="174"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Further, we charter our robotics support vessels under time charter agreements. We also have entered into long-term charter agreements for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Should our contracts with customers be canceled, terminated or breached and/or if we do not secure work for the chartered vessels, we are still required to make charter payments. Making those payments absent revenue generation could have a material adverse effect on our financial position, results of operations and cash flows.</w:t>
      </w:r>
    </w:p>
    <w:p>
      <w:pPr>
        <w:spacing w:after="0" w:line="178" w:lineRule="exact"/>
        <w:rPr>
          <w:sz w:val="20"/>
          <w:szCs w:val="20"/>
          <w:color w:val="auto"/>
        </w:rPr>
      </w:pPr>
    </w:p>
    <w:p>
      <w:pPr>
        <w:ind w:right="220" w:firstLine="648"/>
        <w:spacing w:after="0" w:line="249" w:lineRule="auto"/>
        <w:rPr>
          <w:sz w:val="20"/>
          <w:szCs w:val="20"/>
          <w:color w:val="auto"/>
        </w:rPr>
      </w:pPr>
      <w:r>
        <w:rPr>
          <w:rFonts w:ascii="Arial" w:cs="Arial" w:eastAsia="Arial" w:hAnsi="Arial"/>
          <w:sz w:val="18"/>
          <w:szCs w:val="18"/>
          <w:b w:val="1"/>
          <w:bCs w:val="1"/>
          <w:i w:val="1"/>
          <w:iCs w:val="1"/>
          <w:color w:val="auto"/>
        </w:rPr>
        <w:t>Asset upgrade, modification, refurbishment, repair, dry dock, vessel acquisition, fleet replacement and construction projects, and customer contractual acceptance of vessels, systems and other equipment, are subject to risks, including delays, cost overruns, loss of revenue, significant capital cost, and failure to commence or maintain contracts.</w:t>
      </w:r>
    </w:p>
    <w:p>
      <w:pPr>
        <w:spacing w:after="0" w:line="16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incur significant upgrade, modification, refurbishment, repair and dry dock expenditures on our fleet from time to time. We also construct or make capital improvements to other assets. While some of these capital projects are planned, some are unplanned. Additionally, as assets age, they are more likely to be subject to higher maintenance and repair activities. These projects are subject to the many risks, including delay and cost overruns, inherent in any large capital project. We may also need to construct or acquire new vessels to maintain our current fleet size and the age of our fleet and the cost of constructing or adding a new vessel to our fleet can be substantial.</w:t>
      </w:r>
    </w:p>
    <w:p>
      <w:pPr>
        <w:spacing w:after="0" w:line="17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Actual capital expenditures could materially exceed our estimated or planned capital expenditures. Moreover, assets undergoing upgrades, modifications, refurbishments, repairs or dry docks may not earn revenue during the period they are out of service. Any significant period of such unplanned activity for our assets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addition, delays in the delivery of vessels and other assets being constructed or undergoing upgrades, modifications, refurbishments, repairs, or dry docks may result in delay in customer acceptance and/or contract commencement, resulting in a loss of revenue and cash flow to us, and may cause our customers to seek to terminate or shorten the terms of their contracts with us and/or seek damages under applicable contract terms. In the event of termination or modification of a contract due to late delivery, we may not be able to secure a replacement contract on favorable terms, if at all, which could have a material adverse effect on our business, financial position, results of operations and cash flows.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compete successfully against current and future competitors.</w:t>
      </w:r>
    </w:p>
    <w:p>
      <w:pPr>
        <w:spacing w:after="0" w:line="21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industries in which we operate are highly competitive. An oversupply of offshore drilling rigs coupled with a significant slowdown in industry activities results in increased competition from drilling rigs as well as substantially lower rates on work that is being performed. Several of our competitors are larger and have greater financial and other resources to better withstand a prolonged period of difficult industry conditions. In order to compete for customers, these larger competitors may undercut us by reducing rates to levels we are unable to withstand. Further, certain other companies may seek to compete with us by hiring vessels of opportunity from which to deploy modular systems and/or be willing to take on additional risks. With respect to our Helix Alliance business there may be lower barriers to entry into a market that historically has been serviced at least in part by smaller companies. If other companies relocate or acquire assets for operations in the regions in which we operate, levels of competition may increase further and our business could be adversely affected.</w:t>
      </w:r>
    </w:p>
    <w:p>
      <w:pPr>
        <w:spacing w:after="0" w:line="182" w:lineRule="exact"/>
        <w:rPr>
          <w:sz w:val="20"/>
          <w:szCs w:val="20"/>
          <w:color w:val="auto"/>
        </w:rPr>
      </w:pPr>
    </w:p>
    <w:p>
      <w:pPr>
        <w:ind w:right="200" w:firstLine="648"/>
        <w:spacing w:after="0" w:line="278" w:lineRule="auto"/>
        <w:rPr>
          <w:sz w:val="20"/>
          <w:szCs w:val="20"/>
          <w:color w:val="auto"/>
        </w:rPr>
      </w:pPr>
      <w:r>
        <w:rPr>
          <w:rFonts w:ascii="Arial" w:cs="Arial" w:eastAsia="Arial" w:hAnsi="Arial"/>
          <w:sz w:val="18"/>
          <w:szCs w:val="18"/>
          <w:b w:val="1"/>
          <w:bCs w:val="1"/>
          <w:i w:val="1"/>
          <w:iCs w:val="1"/>
          <w:color w:val="auto"/>
        </w:rPr>
        <w:t>Our North Sea and Helix Alliance businesses typically decline in the winter, and weather can adversely affect our operations.</w:t>
      </w:r>
    </w:p>
    <w:p>
      <w:pPr>
        <w:spacing w:after="0" w:line="13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Marine operations conducted in the North Sea and the Gulf of America shelf are seasonal and depend, in part, on weather conditions. Historically, we have enjoyed our highest North Sea vessel utilization rates during the summer and fall when weather conditions are more favorable for offshore operations, and we typically have experienced our lowest North Sea utilization rates in the first quarter. Helix Alliance experiences a slower winter season in its diving and certain vessel operations. As is common in our industry, where we do have utilization in these seasonal markets, we may bear the risk of delays caused by adverse weather conditions. Our results in any one quarter are not necessarily indicative of annual results or continuing trends.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Certain areas in which we operate experience unfavorable weather conditions including hurricanes and extreme storms on a relatively frequent basis. Substantially all of our facilities and assets offshore and along the Gulf of America and the North Sea are susceptible to damage and/or total loss by these weather conditions. Damage caused by high winds and turbulent seas could potentially cause us to adjust service operations or curtail operations for significant periods of time until damage can be assessed and repaired. Moreover, even if we do not experience direct damage from any of these weather conditions, we may experience disruptions in our operations if our personnel is adversely impacted, or because customers may adjust their activities due to damage to their assets, platforms, pipelines and other related facilities.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operation of marine vessels is risky, and we do not have insurance coverage for all risks.</w:t>
      </w:r>
    </w:p>
    <w:p>
      <w:pPr>
        <w:spacing w:after="0" w:line="21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Vessel-based offshore services involve a high degree of operational risk. Hazards, such as vessels sinking, grounding, colliding and sustaining damage from severe weather conditions, are inherent in marine operations. These hazards can cause personal injury or loss of life, severe damage to and destruction of property and equipment, pollution or environmental damage, and suspension of operations. Damage arising from such occurrences may result in assertions of our liability. Insurance may not be sufficient or effective under all circumstances or against all hazards to which we may be subject. A successful liability claim for which we are not fully insured could have a material adverse effect on our financial position, results of operations and cash flows. Moreover, we can provide no assurance that we will be able to maintain adequate insurance in the future at rates that we consider reasonable. In some instances, certain insurance could become unavailable or available only for reduced amounts of coverage. For example, insurance carriers require broad exclusions for losses due to war risk and terrorist acts, and limitations for wind storm damage. The current insurance on our assets is in amounts approximating replacement value. In the event of property loss due to a catastrophe, mechanical failure, collision or other event, insurance may not cover a substantial loss of revenue, increased costs and other liabilities, and therefore the loss of any of our assets, or damage asserted to have been caused by our assets, could have a material adverse effect on us.</w:t>
      </w:r>
    </w:p>
    <w:p>
      <w:pPr>
        <w:sectPr>
          <w:pgSz w:w="11900" w:h="16838" w:orient="portrait"/>
          <w:cols w:equalWidth="0" w:num="1">
            <w:col w:w="9620"/>
          </w:cols>
          <w:pgMar w:left="1120" w:top="513"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900" w:firstLine="648"/>
        <w:spacing w:after="0" w:line="278" w:lineRule="auto"/>
        <w:rPr>
          <w:sz w:val="20"/>
          <w:szCs w:val="20"/>
          <w:color w:val="auto"/>
        </w:rPr>
      </w:pPr>
      <w:r>
        <w:rPr>
          <w:rFonts w:ascii="Arial" w:cs="Arial" w:eastAsia="Arial" w:hAnsi="Arial"/>
          <w:sz w:val="18"/>
          <w:szCs w:val="18"/>
          <w:b w:val="1"/>
          <w:bCs w:val="1"/>
          <w:i w:val="1"/>
          <w:iCs w:val="1"/>
          <w:color w:val="auto"/>
        </w:rPr>
        <w:t>Our oil and gas operations involve a high degree of operational, contractual and financial risk, particularly risk of personal injury, damage, loss of equipment and environmental incidents.</w:t>
      </w:r>
    </w:p>
    <w:p>
      <w:pPr>
        <w:spacing w:after="0" w:line="13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Engaging in oil and gas production and transportation operations subjects us to certain risks inherent in the ownership and operation of oil and gas wells, including but not limited to uncontrolled flows of oil, gas, brine or well fluids into the environment; blowouts; cratering; pipeline or other facility ruptures; mechanical difficulties or other equipment malfunction; fires, explosions or other physical damage; hurricanes, storms and other natural disasters and weather conditions; and pollution and other environmental damage; any of which could result in substantial losses to us. Although we maintain insurance against some of these risks, we cannot insure against all possible losses. Furthermore, such operations necessarily involve some degree of contractual counterparty risk, including for the transportation, marketing and sale of such production, and to the extent we have partners in any of the properties we own or operate. As a result, any damage or loss not covered by our insurance could have a material adverse effect on our financial condition, results of operations and cash flows.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customers may be unable or unwilling to indemnify us.</w:t>
      </w:r>
    </w:p>
    <w:p>
      <w:pPr>
        <w:spacing w:after="0" w:line="210"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Consistent with standard industry practice, we typically seek to obtain contractual indemnification from our customers whereby they agree to protect and indemnify us for liabilities resulting from various hazards associated with offshore operations. We can provide no assurance, however, that we will obtain such contractual indemnification or that our customers will be willing or financially able to meet their indemnification obligations.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operations outside of the U.S. subject us to additional risks.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operations outside of the U.S. are subject to risks inherent in foreign operations, including:</w:t>
      </w:r>
    </w:p>
    <w:p>
      <w:pPr>
        <w:spacing w:after="0" w:line="212" w:lineRule="exact"/>
        <w:rPr>
          <w:sz w:val="20"/>
          <w:szCs w:val="20"/>
          <w:color w:val="auto"/>
        </w:rPr>
      </w:pPr>
    </w:p>
    <w:p>
      <w:pPr>
        <w:ind w:left="680" w:right="620" w:hanging="328"/>
        <w:spacing w:after="0" w:line="244"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revenue, property and equipment from expropriation, nationalization, war, insurrection, acts of terrorism and other political risks;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in taxes and governmental royalties;</w:t>
      </w:r>
    </w:p>
    <w:p>
      <w:pPr>
        <w:spacing w:after="0" w:line="8" w:lineRule="exact"/>
        <w:rPr>
          <w:rFonts w:ascii="Times New Roman" w:cs="Times New Roman" w:eastAsia="Times New Roman" w:hAnsi="Times New Roman"/>
          <w:sz w:val="18"/>
          <w:szCs w:val="18"/>
          <w:color w:val="auto"/>
        </w:rPr>
      </w:pPr>
    </w:p>
    <w:p>
      <w:pPr>
        <w:ind w:left="680" w:right="120" w:hanging="328"/>
        <w:spacing w:after="0" w:line="234" w:lineRule="auto"/>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laws and regulations affecting our operations, including with respect to customs, assessments and procedures, and similar laws and regulations that may affect our ability to move our assets and/or personnel in and out of foreign jurisdictions;</w:t>
      </w:r>
    </w:p>
    <w:p>
      <w:pPr>
        <w:spacing w:after="0" w:line="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renegotiation or abrogation of contracts with governmental and quasi-governmental entities;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and policies governing operations of foreign-based companies;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restrictions and exchange rate fluctuations;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global economic cycles;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or quotas on production and commodity sales;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limited market access;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trade and labor unions as well as local content requirements;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other uncertainties arising out of foreign government sovereignty over our international operations.</w:t>
      </w:r>
    </w:p>
    <w:p>
      <w:pPr>
        <w:spacing w:after="0" w:line="206"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Certain countries have in place or are in the process of developing complex laws for foreign companies doing business in these countries. Some of these laws are difficult to interpret, making compliance uncertain, and others increase the cost of doing business, which may make it difficult for us in some cases to be competitive. The combination of such laws with the local requirements have further increased the challenges of doing business in these countries. In addition, laws and policies of the U.S. affecting foreign trade, taxation and other commercial activity may adversely affect our international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protect our intellectual property or other technology may adversely affect our business.</w:t>
      </w:r>
    </w:p>
    <w:p>
      <w:pPr>
        <w:spacing w:after="0" w:line="21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industry is highly technical. We utilize and rely on a variety of advanced assets and other tools, such as our vessels, DP systems, intervention systems, ROVs and trenchers, to provide customers with services designed to meet the technological challenges of their subsea activities worldwide. In some instances we hold intellectual property (“IP”) rights related to our business. We rely significantly on proprietary technology, processes and other information that are not subject to IP protection, as well as IP licensed from third parties. We employ confidentiality agreements to protect our IP and other proprietary information, and we have management systems in place designed to protect our legal and contractual rights. We may be subject to, among other things, theft or other misappropriation of our IP and other proprietary information, challenges to the validity or enforceability of our or our licensors’ IP rights, and breaches of confidentiality obligations. These risks are heightened by the global nature of our business, as effective protections</w:t>
      </w:r>
    </w:p>
    <w:p>
      <w:pPr>
        <w:sectPr>
          <w:pgSz w:w="11900" w:h="16838" w:orient="portrait"/>
          <w:cols w:equalWidth="0" w:num="1">
            <w:col w:w="9600"/>
          </w:cols>
          <w:pgMar w:left="1120" w:top="513" w:right="117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may be limited in certain jurisdictions. Although we endeavor to identify and protect our IP and other confidential or proprietary information as appropriate, there can be no assurance that these measures will succeed. Such a failure could result in an interruption in our operations, increased competition, unplanned capital expenditures, and exposure to claims. Any such failure could have a material adverse effect on our business, competitive position, financial position, results of operations and cash flows.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Climate change might adversely impact our business operations and/or our supply chain.</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Scientific consensus shows that carbon dioxide and other greenhouse gases in the atmosphere have caused and will in the future cause changes in weather patterns around the globe. Climatologists predict these changes will result in the increased frequency of extreme weather events and natural disasters which could disrupt our business operations or those of our customers or suppliers. In addition, concern about climate change and greenhouse gases may result in new or additional legal, legislative, and/or regulatory requirements designed to reduce or mitigate the effects of climate change on the environment. Any such new requirements could increase our operating costs and impede our ability to provide services to our customers.</w:t>
      </w:r>
    </w:p>
    <w:p>
      <w:pPr>
        <w:spacing w:after="0" w:line="187" w:lineRule="exact"/>
        <w:rPr>
          <w:sz w:val="20"/>
          <w:szCs w:val="20"/>
          <w:color w:val="auto"/>
        </w:rPr>
      </w:pPr>
    </w:p>
    <w:p>
      <w:pPr>
        <w:ind w:right="560" w:firstLine="648"/>
        <w:spacing w:after="0" w:line="256" w:lineRule="auto"/>
        <w:rPr>
          <w:sz w:val="20"/>
          <w:szCs w:val="20"/>
          <w:color w:val="auto"/>
        </w:rPr>
      </w:pPr>
      <w:r>
        <w:rPr>
          <w:rFonts w:ascii="Arial" w:cs="Arial" w:eastAsia="Arial" w:hAnsi="Arial"/>
          <w:sz w:val="18"/>
          <w:szCs w:val="18"/>
          <w:b w:val="1"/>
          <w:bCs w:val="1"/>
          <w:i w:val="1"/>
          <w:iCs w:val="1"/>
          <w:color w:val="auto"/>
        </w:rPr>
        <w:t>The actual or perceived lack of sustainability of the oil and gas sector, our failure to adequately implement and communicate initiatives that demonstrate our own sustainability or our failure to adapt our sustainability efforts to evolving industry demand, may adversely affect our business.</w:t>
      </w:r>
    </w:p>
    <w:p>
      <w:pPr>
        <w:spacing w:after="0" w:line="15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Sustainability initiatives remain important factors in assessing a company’s outlook, as investors look to identify factors that they believe inform a company’s ability to create long-term value. The nature of the oil and gas sector in which we predominantly operate may impact the sustainability sentiment of investors, lenders, customers, other industry participants and individuals, to the extent the global markets value green energy and environmental conservation. Further, we may not succeed in implementing or communicating a sustainability message that is well understood or received.</w:t>
      </w:r>
    </w:p>
    <w:p>
      <w:pPr>
        <w:spacing w:after="0" w:line="17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Alternatively, recent developments indicate a potential slowdown and shift in the direction and pace of the adoption of renewable energy technologies and the reversal of climate change-related regulations. We may adequately message our sustainability, but stakeholder sentiment may view sustainability initiatives as shifting attention away from shareholder value-oriented and profit-focused efforts, which could lead to a negative perception. As a result we may experience diminished reputation or sentiment, reduced access to capital markets and/or increased cost of capital, an inability to attract and retain talent, and loss of customers, employees or vendors.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AND LIQUIDITY RISKS</w:t>
      </w:r>
    </w:p>
    <w:p>
      <w:pPr>
        <w:spacing w:after="0" w:line="187"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b w:val="1"/>
          <w:bCs w:val="1"/>
          <w:i w:val="1"/>
          <w:iCs w:val="1"/>
          <w:color w:val="auto"/>
        </w:rPr>
        <w:t>Our indebtedness and the terms of our indebtedness could impair our financial condition and our ability to fulfill our debt obligations or otherwise limit our business and financial activities.</w:t>
      </w:r>
    </w:p>
    <w:p>
      <w:pPr>
        <w:spacing w:after="0" w:line="139" w:lineRule="exact"/>
        <w:rPr>
          <w:sz w:val="20"/>
          <w:szCs w:val="20"/>
          <w:color w:val="auto"/>
        </w:rPr>
      </w:pPr>
    </w:p>
    <w:p>
      <w:pPr>
        <w:ind w:right="1140" w:firstLine="648"/>
        <w:spacing w:after="0" w:line="301" w:lineRule="auto"/>
        <w:rPr>
          <w:sz w:val="20"/>
          <w:szCs w:val="20"/>
          <w:color w:val="auto"/>
        </w:rPr>
      </w:pPr>
      <w:r>
        <w:rPr>
          <w:rFonts w:ascii="Arial" w:cs="Arial" w:eastAsia="Arial" w:hAnsi="Arial"/>
          <w:sz w:val="17"/>
          <w:szCs w:val="17"/>
          <w:color w:val="auto"/>
        </w:rPr>
        <w:t>As of December 31, 2025, we had consolidated indebtedness with a remaining principal amount of $314.6 million. The level of indebtedness may have an adverse effect on our future operations, including:</w:t>
      </w:r>
    </w:p>
    <w:p>
      <w:pPr>
        <w:spacing w:after="0" w:line="131" w:lineRule="exact"/>
        <w:rPr>
          <w:sz w:val="20"/>
          <w:szCs w:val="20"/>
          <w:color w:val="auto"/>
        </w:rPr>
      </w:pPr>
    </w:p>
    <w:p>
      <w:pPr>
        <w:ind w:left="680" w:right="260" w:hanging="328"/>
        <w:spacing w:after="0" w:line="241"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refinance maturing debt or to obtain additional financing on satisfactory terms to fund our working capital requirements, capital expenditures, acquisitions, investments, debt service requirements and other general corporate requirements;</w:t>
      </w:r>
    </w:p>
    <w:p>
      <w:pPr>
        <w:spacing w:after="0" w:line="1" w:lineRule="exact"/>
        <w:rPr>
          <w:rFonts w:ascii="Times New Roman" w:cs="Times New Roman" w:eastAsia="Times New Roman" w:hAnsi="Times New Roman"/>
          <w:sz w:val="18"/>
          <w:szCs w:val="18"/>
          <w:color w:val="auto"/>
        </w:rPr>
      </w:pPr>
    </w:p>
    <w:p>
      <w:pPr>
        <w:ind w:left="680" w:right="260" w:hanging="328"/>
        <w:spacing w:after="0" w:line="23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a general economic downturn, competition and industry conditions, which could place us at a disadvantage compared to our competitors that are less leveraged;</w:t>
      </w:r>
    </w:p>
    <w:p>
      <w:pPr>
        <w:ind w:left="680" w:right="20" w:hanging="328"/>
        <w:spacing w:after="0" w:line="23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exposure to potential rising interest rates for any portion of our borrowings that may be at variable interest rates or at risk to be refinanced at rising rates;</w:t>
      </w:r>
    </w:p>
    <w:p>
      <w:pPr>
        <w:ind w:left="680" w:right="220" w:hanging="328"/>
        <w:spacing w:after="0" w:line="23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reducing the availability of our cash flows to fund our working capital requirements, capital expenditures, acquisitions, investments and other general corporate requirements for that portion of our cash flows that may be needed to service debt obligations;</w:t>
      </w:r>
    </w:p>
    <w:p>
      <w:pPr>
        <w:spacing w:after="0" w:line="1" w:lineRule="exact"/>
        <w:rPr>
          <w:rFonts w:ascii="Times New Roman" w:cs="Times New Roman" w:eastAsia="Times New Roman" w:hAnsi="Times New Roman"/>
          <w:sz w:val="18"/>
          <w:szCs w:val="18"/>
          <w:color w:val="auto"/>
        </w:rPr>
      </w:pPr>
    </w:p>
    <w:p>
      <w:pPr>
        <w:ind w:left="680" w:right="680" w:hanging="328"/>
        <w:spacing w:after="0" w:line="234"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ind w:left="680" w:right="20" w:hanging="328"/>
        <w:spacing w:after="0" w:line="242" w:lineRule="auto"/>
        <w:tabs>
          <w:tab w:leader="none" w:pos="6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expand our business through capital expenditures or pursuit of acquisition opportunities due to negative covenants in credit facilities that place limitations on the types and amounts of investments that we may make;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80" w:right="360" w:hanging="328"/>
        <w:spacing w:after="0" w:line="241"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use, or post security for, bonds or similar instruments required under the laws of certain jurisdictions with respect to, among other things, the temporary importation of vessels, systems and other equipment and the decommissioning of offshore oil and gas properties; and</w:t>
      </w:r>
    </w:p>
    <w:p>
      <w:pPr>
        <w:spacing w:after="0" w:line="1" w:lineRule="exact"/>
        <w:rPr>
          <w:rFonts w:ascii="Times New Roman" w:cs="Times New Roman" w:eastAsia="Times New Roman" w:hAnsi="Times New Roman"/>
          <w:sz w:val="18"/>
          <w:szCs w:val="18"/>
          <w:color w:val="auto"/>
        </w:rPr>
      </w:pPr>
    </w:p>
    <w:p>
      <w:pPr>
        <w:ind w:left="680" w:right="60" w:hanging="328"/>
        <w:spacing w:after="0" w:line="249" w:lineRule="auto"/>
        <w:tabs>
          <w:tab w:leader="none" w:pos="6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sell or pledge assets or use proceeds from certain asset sales for purposes other than debt repayment.</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 prolonged period of weak economic or industry conditions and other events beyond our control may make it difficult to comply with our covenants and other restrictions in agreements governing our debt. If we fail to comply with these covenants and other restrictions, it could lead to reduced liquidity, an event of default, the possible acceleration of our repayment of outstanding debt and the exercise of certain remedies by our lenders, including foreclosure against our collateral. These conditions and events may limit our access to the credit markets if we need to replace our existing debt, which could lead to increased costs and less favorable terms, including shorter repayment schedules and higher fees and interest rates.</w:t>
      </w:r>
    </w:p>
    <w:p>
      <w:pPr>
        <w:spacing w:after="0" w:line="187"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b w:val="1"/>
          <w:bCs w:val="1"/>
          <w:i w:val="1"/>
          <w:iCs w:val="1"/>
          <w:color w:val="auto"/>
        </w:rPr>
        <w:t>Because we have certain debt and other obligations, a prolonged period of low demand or rates for our services could lead to a material adverse effect on our liquidity.</w:t>
      </w:r>
    </w:p>
    <w:p>
      <w:pPr>
        <w:spacing w:after="0" w:line="13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A prolonged period of difficult industry conditions, the failure of our customers to expend funds on our services or a longer period of lower rates for our services, coupled with certain fixed obligations that we have related to debt repayment, long-term vessel time charter contracts and certain other commitments related to ongoing operational activities, could lead to a material adverse effect on our liquidity and financial position.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Lack of access to the financial markets could negatively impact our ability to operate our business.</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Access to financing may be limited and uncertain, especially in times of economic weakness, or declining sentiment towards industries we service or our business model. If capital and credit markets are limited, we may be unable to refinance or we may incur increased costs and obtain less favorable terms associated with refinancing of our maturing debt. Also, we may incur increased costs and obtain less favorable terms associated with any additional financing that we may require for future operations. Limited access to the financial markets could adversely impact our ability to take advantage of business opportunities or react to changing economic and business conditions. Additionally, if capital and credit markets are limited, this could potentially result in our customers curtailing their capital and operating expenditure programs, which could result in a decrease in demand for our assets and a reduction in revenues and/or utilization. Certain of our customers could experience an inability to pay suppliers, including us, in the event they are unable to access financial markets as needed to fund their operations. Likewise, our other counterparties may be unable to sustain their current level of operations, fulfill their commitments and/or fund future operations and obligations, each of which could adversely affect our operations. Continued lower levels of economic activity and weakness in the financial markets could also adversely affect our ability to implement our strategic objectives.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decline in the offshore energy services market could result in impairment charges.</w:t>
      </w:r>
    </w:p>
    <w:p>
      <w:pPr>
        <w:spacing w:after="0" w:line="21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Prolonged periods of low utilization or low rates for our services could result in the recognition of impairment charges for our assets if future cash flow estimates, based on information available to us at the time, indicate that their carrying value may not be recoverable.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international operations are exposed to currency devaluation and fluctuation risk</w:t>
      </w:r>
      <w:r>
        <w:rPr>
          <w:rFonts w:ascii="Arial" w:cs="Arial" w:eastAsia="Arial" w:hAnsi="Arial"/>
          <w:sz w:val="18"/>
          <w:szCs w:val="18"/>
          <w:b w:val="1"/>
          <w:bCs w:val="1"/>
          <w:color w:val="auto"/>
        </w:rPr>
        <w:t>.</w:t>
      </w:r>
    </w:p>
    <w:p>
      <w:pPr>
        <w:spacing w:after="0" w:line="212"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Because we are a global company, our international operations are exposed to foreign currency exchange rate risks on all contracts denominated in foreign currencies. For some of our international contracts, a portion of the revenue and local expenses is incurred in local currencies and we may be at risk of changes in the exchange rates between the U.S. dollar and such currencies. We may receive payments in a currency that is not easily traded and may be illiquid, unable to be hedged, or subject to exchange controls that limit the currency’s ability to be converted into a more liquid currency, and we may be at risk of devaluation until such time as the currency may be able to be converted or spent.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reporting currency for our consolidated financial statements is the U.S. dollar. Certain of our assets, liabilities, revenues and expenses are denominated in other countries’ currencies. Those assets, liabilities, revenues and expenses are translated into U.S. dollars at the applicable exchange rates to prepare our consolidated financial statements. Therefore, changes in exchange rates between the U.S. dollar and those other currencies affect the value of those items as reflected in our consolidated financial statements, even if their value remains unchanged in their original currency.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AND REGULATORY COMPLIANCE RISKS</w:t>
      </w:r>
    </w:p>
    <w:p>
      <w:pPr>
        <w:spacing w:after="0" w:line="187"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b w:val="1"/>
          <w:bCs w:val="1"/>
          <w:i w:val="1"/>
          <w:iCs w:val="1"/>
          <w:color w:val="auto"/>
        </w:rPr>
        <w:t>Government regulations, including those specific to deepwater offshore drilling, may make our business operations more difficult or costly, or limit our services.</w:t>
      </w:r>
    </w:p>
    <w:p>
      <w:pPr>
        <w:spacing w:after="0" w:line="13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business is affected by changes in public policy and by federal, state, local and international laws and regulations relating to the offshore oil and gas and renewables operations. Such operations are affected by tax, environmental, safety, labor, cabotage and other laws, by changes in those laws, application or interpretation of existing laws, and changes in related administrative regulations or enforcement priorities. Government authorities, including BOEM and BSEE, may also continue to issue further regulations regarding deepwater offshore drilling. It is also possible that these laws and regulations in the future may add significantly to our capital and operating costs or those of our customers or otherwise directly or indirectly affect our operations.</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Risks of substantial costs and liabilities related to environmental compliance issues are inherent in our operations. Our operations are subject to extensive federal, state, local and international laws and regulations relating to the generation, storage, handling, emission, transportation and discharge of materials into the environment. Permits are required for the operations of various facilities, including vessels, and those permits are subject to revocation, modification and renewal. Governmental authorities have the power to enforce compliance with their regulations, and violations are subject to fines, injunctions or both. In some cases, those governmental requirements can impose liability for the cost of cleanup on any responsible party without regard to negligence or fault and impose liability on us for the conduct of others or conditions others have caused, or for our acts that complied with applicable requirements when performed. It is possible that other developments, such as stricter environmental laws and regulations, or claims for damages to property or persons resulting from our operations, could result in substantial costs and liabilities. Our insurance policies and the contractual indemnity protections we seek to obtain from our counterparties, assuming they are obtained, may not be sufficient or effective to protect us under all circumstances or against all risk involving compliance with environmental laws and regulations. We do not anticipate that compliance with existing environmental laws and regulations will have a material effect upon our capital expenditures, earnings or competitive position. However, changes in environmental laws and regulations, changes in the ways such laws and regulations are interpreted or enforced, or claims for damages to persons, property, natural resources or the environment, could result in substantial costs and liabilities, and accordingly there can be no assurance that we will not incur significant environmental compliance costs or liabilities in the future.</w:t>
      </w:r>
    </w:p>
    <w:p>
      <w:pPr>
        <w:spacing w:after="0" w:line="182"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As a multi-national organization, we are subject to taxation in multiple jurisdictions. The Organization for Economic Co-operation and Development, the European Union and individual taxing jurisdictions are focused on tax base erosion and profit shifting as well as minimum tax directives (including Pillar Two). These initiatives and directives continue to evolve along with country specific legislation. We anticipate increased disclosure and reporting to facilitate compliance with these directives. Future changes may have adverse effects on us, including increased administrative and compliance costs.</w:t>
      </w:r>
    </w:p>
    <w:p>
      <w:pPr>
        <w:spacing w:after="0" w:line="179"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We cannot predict with any certainty the substance or effect of any new or additional regulations in the U.S. or in other areas around the world. If the U.S. or other countries where our customers operate enact stricter restrictions on offshore operations, and this results in decreased demand for or profitability of our services, our business, financial position, results of operations and cash flows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280" w:firstLine="648"/>
        <w:spacing w:after="0" w:line="278"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foreign ownership provisions or if these provisions were modified or repealed</w:t>
      </w:r>
      <w:r>
        <w:rPr>
          <w:rFonts w:ascii="Arial" w:cs="Arial" w:eastAsia="Arial" w:hAnsi="Arial"/>
          <w:sz w:val="18"/>
          <w:szCs w:val="18"/>
          <w:b w:val="1"/>
          <w:bCs w:val="1"/>
          <w:color w:val="auto"/>
        </w:rPr>
        <w:t>.</w:t>
      </w:r>
    </w:p>
    <w:p>
      <w:pPr>
        <w:spacing w:after="0" w:line="13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are subject to the Jones Act and other federal laws that restrict maritime cargo transportation between points in the U.S. We own vessels registered under the U.S. flag whose operations in the Gulf of America may constitute coastwise trade. In order to operate vessels in the Jones Act trade and to be qualified to document vessels for coastwise trade, we must maintain U.S. citizen status for Jones Act purposes, and we could cease being a U.S. citizen if certain events were to occur. The consequences of our failure to comply with the Jones Act provisions on coastwise trade, including failing to qualify as a U.S. citizen, would have an adverse effect on our results of operations as we may be prohibited from operating certain of our vessels in the U.S. coastwise trade or, under certain circumstances, permanently lose U.S. coastwise trading rights or be subject to fines or forfeiture of certain our vessels. There have been attempts to repeal or amend restrictions contained in the Jones Act, and such attempts are expected to continue in the future. Our business could be adversely affected if the Jones Act were to be modified or repealed so as to permit foreign competition that is not subject to the same U.S. government imposed burdens.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comply with anti-bribery laws could have a material adverse impact on our business.</w:t>
      </w:r>
    </w:p>
    <w:p>
      <w:pPr>
        <w:spacing w:after="0" w:line="21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The U.S. Foreign Corrupt Practices Act and similar anti-bribery laws in other jurisdictions, including the United Kingdom Bribery Act 2010 and Brazil’s Clean Company Act, generally prohibit companies and their intermediaries from making improper payments to foreign officials for the purpose of obtaining or retaining business. We operate in many parts of the world that have experienced corruption to some degree. We have a robust ethics and compliance program that is designed to deter or detect violations of applicable laws and regulations through the application of our anti-corruption policies and procedures, Code of Business Conduct and Ethics, training, internal controls, investigation and remediation activities, and other measures. However, our ethics and compliance program may not be fully effective in preventing all employees, contractors or intermediaries from violating or circumventing our compliance requirements or applicable laws and regulations. Failure to comply with anti-bribery laws could subject us to civil and criminal penalties, and such failure, and in some instances even the mere allegation of such a failure, could create termination or other rights in connection with our existing contracts, negatively impact our ability to obtain future work, or lead to other sanctions, all of which could have a material adverse effect on our business, financial position, results of operations and cash flows, and cause reputational damage. We could also face fines, sanctions and other penalties from authorities, including prohibition of our participating in or curtailment of business operations in certain jurisdictions and the seizure of vessels or other assets. Further, we may have competitors who are not subject to the same laws, which may provide them with a competitive advantage over us in securing business or gaining other preferential treatment.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RISKS</w:t>
      </w:r>
    </w:p>
    <w:p>
      <w:pPr>
        <w:spacing w:after="0" w:line="187" w:lineRule="exact"/>
        <w:rPr>
          <w:sz w:val="20"/>
          <w:szCs w:val="20"/>
          <w:color w:val="auto"/>
        </w:rPr>
      </w:pPr>
    </w:p>
    <w:p>
      <w:pPr>
        <w:ind w:right="340" w:firstLine="648"/>
        <w:spacing w:after="0" w:line="278" w:lineRule="auto"/>
        <w:rPr>
          <w:sz w:val="20"/>
          <w:szCs w:val="20"/>
          <w:color w:val="auto"/>
        </w:rPr>
      </w:pPr>
      <w:r>
        <w:rPr>
          <w:rFonts w:ascii="Arial" w:cs="Arial" w:eastAsia="Arial" w:hAnsi="Arial"/>
          <w:sz w:val="18"/>
          <w:szCs w:val="18"/>
          <w:b w:val="1"/>
          <w:bCs w:val="1"/>
          <w:i w:val="1"/>
          <w:iCs w:val="1"/>
          <w:color w:val="auto"/>
        </w:rPr>
        <w:t>We may execute a strategic transaction that may not achieve intended results, could increase our net debt or the number of our shares outstanding, or result in a change of control.</w:t>
      </w:r>
    </w:p>
    <w:p>
      <w:pPr>
        <w:spacing w:after="0" w:line="139"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have executed acquisitions and divestitures in the past, and in the future we may evaluate and potentially enter into additional strategic transactions. Any such transaction could be material to our business, could occur at any time and could take any number of forms, including, for example, an acquisition, merger, joint venture, strategic alliance, equity investment, divestiture or an asset sale.</w:t>
      </w:r>
    </w:p>
    <w:p>
      <w:pPr>
        <w:spacing w:after="0" w:line="17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success of any transaction may depend on, in part, our ability to integrate an acquired business and realize the financial growth or synergies expected from the transaction. Any such transaction may not be successful, may not be accretive to shareholders or may not achieve expected benefits within an expected timeframe. Acquired businesses may also have unanticipated liabilities, contingencies or negative tax consequences. In addition, acquisitions are accompanied by the risk that the obligations of an acquired business may not be adequately reflected in the historical financial statements of that company and the risk that those historical financial statements may be based on assumptions which are incorrect or inconsistent with our assumptions or approach to accounting policies. Any of these material obligations, unanticipated liabilities or incorrect or inconsistent assumptions could have a material adverse effect on our growth strategy, business, financial condition, prospects and results of operations. Furthermore, evaluating potential transactions and integrating completed transactions could be time-consuming, involve significant transaction related expenses, create unexpected costs, involve difficulties assimilating the operations and personnel of an acquired business, make evaluating our business and future financial prospects difficult and may divert the attention of our management from other operating matters.</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Any such transaction may require additional financing that could result in an increase in the number of our outstanding shares or the aggregate amount of our debt, and the number of shares of our common stock or the aggregate principal amount of our debt that we may issue may be significant. Certain transactions may not be permitted under our existing asset-based credit facility or other debt instruments, requiring either waivers, amendments, or terminating such facility. Furthermore, a strategic transaction may result in a change in control of our company or otherwise materially and adversely affect our business.</w:t>
      </w:r>
    </w:p>
    <w:p>
      <w:pPr>
        <w:spacing w:after="0" w:line="181" w:lineRule="exact"/>
        <w:rPr>
          <w:sz w:val="20"/>
          <w:szCs w:val="20"/>
          <w:color w:val="auto"/>
        </w:rPr>
      </w:pPr>
    </w:p>
    <w:p>
      <w:pPr>
        <w:jc w:val="both"/>
        <w:ind w:right="300" w:firstLine="648"/>
        <w:spacing w:after="0" w:line="256" w:lineRule="auto"/>
        <w:rPr>
          <w:sz w:val="20"/>
          <w:szCs w:val="20"/>
          <w:color w:val="auto"/>
        </w:rPr>
      </w:pPr>
      <w:r>
        <w:rPr>
          <w:rFonts w:ascii="Arial" w:cs="Arial" w:eastAsia="Arial" w:hAnsi="Arial"/>
          <w:sz w:val="18"/>
          <w:szCs w:val="18"/>
          <w:b w:val="1"/>
          <w:bCs w:val="1"/>
          <w:i w:val="1"/>
          <w:iCs w:val="1"/>
          <w:color w:val="auto"/>
        </w:rPr>
        <w:t>The loss of the services of one or more of our key employees, or our failure to attract and retain other highly qualified personnel and other skilled workers in the future, could disrupt our operations and adversely affect our financial results.</w:t>
      </w:r>
    </w:p>
    <w:p>
      <w:pPr>
        <w:spacing w:after="0" w:line="15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success depends on the active participation of our key employees. Our industry has lost a significant number of experienced professionals over the years due to its cyclical nature, including in connection with industry downturn and a decline in sentiment towards fossil fuels. The loss of our key people could adversely affect our operations. The delivery of our services also requires personnel with specialized skills, qualifications and experience. The demand for skilled workers can be high and the supply may be limited. A significant increase in the wages paid, or benefits offered, by competing employers could result in a reduction of our skilled labor force, increases to our cost structures, or both. As a result, our ability to remain productive and profitable will depend upon our ability to employ and retain skilled, qualified and experienced workers.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Cybersecurity breaches or business system disruptions may adversely affect our business.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rely on our IT infrastructure and management information systems to operate and record almost every aspect of our business. This may include confidential or personal information belonging to us, our employees, customers, suppliers, or others. Similar to other companies, our systems and networks, and those of third parties with whom we do business, could be subject to cybersecurity breaches caused by, among other things, illegal hacking and cybercriminals, insider threats, terrorism, nation-state actors, competitors, hostile media, or hardware and software vulnerabilities. Furthermore, we may also experience increased cybersecurity risk as some of our onshore personnel may periodically work remotely.</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 addition to our own systems and networks, we use third-party service providers to process certain data or information on our behalf. Due to applicable laws and regulations, we may be held responsible for cybersecurity incidents attributed to our service providers to the extent it relates to information we share with them. Although we seek to require that these service providers implement and maintain reasonable security measures, we cannot control third parties and cannot guarantee that a security breach will not occur in their systems or networks. Despite our efforts to continually refine our procedures, educate our employees, and implement tools and security measures to protect against such cybersecurity risks, there can be no assurance that these measures will prevent unauthorized access or detect every type of attempt or attack. Our potential future upgrades, refinements, tools and measures may not be completely effective or result in the anticipated improvements, if at all, and may cause disruptions in our business operations.</w:t>
      </w:r>
    </w:p>
    <w:p>
      <w:pPr>
        <w:spacing w:after="0" w:line="183"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 addition, a cyberattack or security breach could go undetected for an extended period of time, and the resulting investigation of an incident could take time to complete. During that period, we may not necessarily know the impact to our systems or networks, costs and actions required to fully remediate and our initial remediation efforts may not be successful, and the errors or actions could be repeated before they are fully contained and remediated. A breach or failure of our systems or networks, critical third-party systems on which we rely, or those of our customers or vendors, could result in an interruption in our operations, disruption to certain systems that are used to operate our vessels or other assets, unplanned capital expenditures, unauthorized publication of our confidential business or proprietary information, unauthorized release of customer, employee or third party data, theft or misappropriation of funds, violation of privacy or other laws, and exposure to regulatory enforcement investigations, litigation or indemnity claims. There could also be increased costs to detect, prevent, respond to, or recover from cybersecurity incidents, along with diversion of attention from management. Any such breach, or our delay or failure to make adequate or timely disclosures to the public, regulatory or law enforcement agencies or affected individuals following such an event, could have a material adverse effect on our business, reputation, financial position, results of operations and cash flows, and cause reputational damage.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right="160" w:firstLine="648"/>
        <w:spacing w:after="0" w:line="278" w:lineRule="auto"/>
        <w:rPr>
          <w:sz w:val="20"/>
          <w:szCs w:val="20"/>
          <w:color w:val="auto"/>
        </w:rPr>
      </w:pPr>
      <w:r>
        <w:rPr>
          <w:rFonts w:ascii="Arial" w:cs="Arial" w:eastAsia="Arial" w:hAnsi="Arial"/>
          <w:sz w:val="18"/>
          <w:szCs w:val="18"/>
          <w:b w:val="1"/>
          <w:bCs w:val="1"/>
          <w:i w:val="1"/>
          <w:iCs w:val="1"/>
          <w:color w:val="auto"/>
        </w:rPr>
        <w:t>The emergence of artificial intelligence (“AI”) technologies may expose us to risks that could adversely affect our business.</w:t>
      </w:r>
    </w:p>
    <w:p>
      <w:pPr>
        <w:spacing w:after="0" w:line="13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may use, and may increasingly rely on, AI technologies in various aspects of our business. The use of AI presents risks that could adversely affect our business, results of operations, financial condition or reputation. AI systems may produce inaccurate, incomplete or biased outputs, may be dependent on the quality and availability of underlying data, and may be difficult to monitor or explain. In addition, our use of AI may increase our exposure to cybersecurity threats, data privacy concerns, intellectual property claims, and reliance on third-party vendors. The regulatory and legal framework governing AI is rapidly evolving, and changes in laws, regulations or enforcement practices could increase compliance costs or restrict our ability to use AI. Our failure to identify, effectively develop, implement, govern or control the use of AI could significantly and adversely impact our business or operations.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competitors may adopt AI into their service offerings, business processes or operations more quickly or more successfully than us, which could affect our ability to compete effectively.</w:t>
      </w:r>
    </w:p>
    <w:p>
      <w:pPr>
        <w:spacing w:after="0" w:line="156" w:lineRule="exact"/>
        <w:rPr>
          <w:sz w:val="20"/>
          <w:szCs w:val="20"/>
          <w:color w:val="auto"/>
        </w:rPr>
      </w:pPr>
    </w:p>
    <w:p>
      <w:pPr>
        <w:ind w:right="140" w:firstLine="648"/>
        <w:spacing w:after="0" w:line="278" w:lineRule="auto"/>
        <w:rPr>
          <w:sz w:val="20"/>
          <w:szCs w:val="20"/>
          <w:color w:val="auto"/>
        </w:rPr>
      </w:pPr>
      <w:r>
        <w:rPr>
          <w:rFonts w:ascii="Arial" w:cs="Arial" w:eastAsia="Arial" w:hAnsi="Arial"/>
          <w:sz w:val="18"/>
          <w:szCs w:val="18"/>
          <w:b w:val="1"/>
          <w:bCs w:val="1"/>
          <w:i w:val="1"/>
          <w:iCs w:val="1"/>
          <w:color w:val="auto"/>
        </w:rPr>
        <w:t>Increasing legal and regulatory focus on data privacy and security issues could expose us to increased liability and operational changes and costs.</w:t>
      </w:r>
    </w:p>
    <w:p>
      <w:pPr>
        <w:spacing w:after="0" w:line="13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Along with our own data and information in the normal course of our business, we collect and retain certain data that is subject to specific laws and regulations. The compliant collection and processing of this data, both domestically and internationally, continues to increase in complexity. This data is subject to regulation at various levels of government in many areas of our business and in jurisdictions across the world, and other jurisdictions may in the future promulgate further data privacy laws and regulations. As the implementation, interpretation, and enforcement of such laws continues to progress and evolve, there may also be developments that amplify such risks. Any failure by us to comply with these laws and regulations, including as a result of a security or privacy breach, or otherwise, could expose us to litigation or enforcement, and could result in significant penalties, fines, and other liabilities.</w:t>
      </w:r>
    </w:p>
    <w:p>
      <w:pPr>
        <w:spacing w:after="0" w:line="182" w:lineRule="exact"/>
        <w:rPr>
          <w:sz w:val="20"/>
          <w:szCs w:val="20"/>
          <w:color w:val="auto"/>
        </w:rPr>
      </w:pPr>
    </w:p>
    <w:p>
      <w:pPr>
        <w:ind w:right="840" w:firstLine="648"/>
        <w:spacing w:after="0" w:line="278" w:lineRule="auto"/>
        <w:rPr>
          <w:sz w:val="20"/>
          <w:szCs w:val="20"/>
          <w:color w:val="auto"/>
        </w:rPr>
      </w:pPr>
      <w:r>
        <w:rPr>
          <w:rFonts w:ascii="Arial" w:cs="Arial" w:eastAsia="Arial" w:hAnsi="Arial"/>
          <w:sz w:val="18"/>
          <w:szCs w:val="18"/>
          <w:b w:val="1"/>
          <w:bCs w:val="1"/>
          <w:i w:val="1"/>
          <w:iCs w:val="1"/>
          <w:color w:val="auto"/>
        </w:rPr>
        <w:t>Certain provisions of our corporate documents, financial arrangements and Minnesota law may discourage a third party from making a takeover proposal.</w:t>
      </w:r>
    </w:p>
    <w:p>
      <w:pPr>
        <w:spacing w:after="0" w:line="1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We are authorized to establish, without any action by our shareholders, the rights and preferences on up to 5,000,000 shares of preferred stock, including dividend, liquidation and voting rights. In addition, our by-laws divide our Board into three classes. We are also subject to certain anti-takeover provisions of the Minnesota Business Corporation Act. We have employment and other long-term incentive arrangements with all of our executive officers that could require cash and/or equity payments and covenants in our asset-based credit agreement (the “Amended ABL Facility”) and the indenture governing our Senior Notes due 2029 (the “2029 Notes”) that could put us in breach, in the event of a “change of control.” Any or all of these provisions or factors may discourage a takeover proposal or tender offer not approved by management and our Board and could result in shareholders who may wish to participate in such a proposal or tender offer receiving less in return for their shares than otherwise might be available in the event of a takeover attempt.</w:t>
      </w:r>
    </w:p>
    <w:p>
      <w:pPr>
        <w:spacing w:after="0" w:line="171" w:lineRule="exact"/>
        <w:rPr>
          <w:sz w:val="20"/>
          <w:szCs w:val="20"/>
          <w:color w:val="auto"/>
        </w:rPr>
      </w:pPr>
    </w:p>
    <w:p>
      <w:pPr>
        <w:ind w:right="580" w:firstLine="648"/>
        <w:spacing w:after="0" w:line="256" w:lineRule="auto"/>
        <w:rPr>
          <w:sz w:val="20"/>
          <w:szCs w:val="20"/>
          <w:color w:val="auto"/>
        </w:rPr>
      </w:pPr>
      <w:r>
        <w:rPr>
          <w:rFonts w:ascii="Arial" w:cs="Arial" w:eastAsia="Arial" w:hAnsi="Arial"/>
          <w:sz w:val="18"/>
          <w:szCs w:val="18"/>
          <w:b w:val="1"/>
          <w:bCs w:val="1"/>
          <w:i w:val="1"/>
          <w:iCs w:val="1"/>
          <w:color w:val="auto"/>
        </w:rPr>
        <w:t>Our ability to repurchase shares through any share repurchase program is subject to certain considerations, including availability of Free Cash Flow, and any repurchases could affect the price of our common stock and increase volatility.</w:t>
      </w:r>
    </w:p>
    <w:p>
      <w:pPr>
        <w:spacing w:after="0" w:line="15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Board has in the past authorized and may from time to time in the future authorize share repurchase programs. The timing and amount of such repurchases depend upon several factors. Our ability to successfully effect a share repurchase program requires us to generate consistent Free Cash Flow and have available capital in the years ahead in amounts sufficient to enable us to also continue to fund our working capital requirements, capital expenditures, acquisitions, investments, debt service requirements and other general corporate requirements. We may not have available Free Cash Flow to repurchase shares if we use our available cash to satisfy other priorities such as strategic opportunities and acquisitions, or if our Board determines to change or discontinue the repurchase program. There is no guarantee that we would carry out repurchases in the same manner as they may have been announced. Although share repurchase programs are intended to enhance long-term shareholder value, there is no assurance that it will do so. Any failure to repurchase our common stock after we have announced our intention to do so may negatively impact our stock price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global health pandemic could disrupt our operations and adversely impact our business and financial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w:t>
      </w:r>
    </w:p>
    <w:p>
      <w:pPr>
        <w:spacing w:after="0" w:line="194"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A global health emergency could lead to worldwide shutdowns and halting of commercial and interpersonal activity, resulting in a precipitous decline in oil prices and reduced operating and capital spending by oil and gas producers that may persist for an extended period of time, undermining the confidence in overall industry viability.</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onshore and offshore operations could be disrupted, and any protocols implemented may not prove fully successful. We may experience reduced productivity as our onshore personnel work remotely, and any spread to our key management personnel may disrupt our business. Any outbreak on our vessels may impede the vessel’s ability to generate revenue and/or increase the costs to operate the vessel. We may also experience challenges in connection with our offshore crew changes due to health and travel restrictions, or a decline in the available offshore workforce, whether due to the pandemic, considerations related to our protocols, attrition from our industry, or a combination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MANAGEMENT AND STRATEGY</w:t>
      </w:r>
    </w:p>
    <w:p>
      <w:pPr>
        <w:spacing w:after="0" w:line="18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Our cybersecurity program is designed to monitor, detect, prevent and respond to cyber threats. We take a multi-faceted approach to identifying and mitigating information security risks. This includes, among other things, regular penetration tests of our external network and use of third-party scanning tools to monitor our network; maintaining robust patch management protocols to ensure software updates are implemented on a timely basis; comprehensive employee awareness programs designed to facilitate recognition of security risks and encourage proactive reporting of suspicious activity.</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assess, identify and manage material risks from cybersecurity threats and vulnerabilities according to our Cybersecurity Incident Response Plan (the “IRP”). The IRP uses the six-stage model of the National Institute of Standards and Technology (“NIST”) Cybersecurity Framework (Preparation, Detection, Containment, Investigation, Remediation, and Recovery) to outline steps for reporting, responding, and mitigating various aspects of a cybersecurity incident. The Cybersecurity Incident Response Team coordinates the execution of activities under the IRP, while communications planning is managed cross-functionally through the Helix Crisis Assistance Team and the Cybersecurity Incident Communication Group. There are also separate processes in place for the effective management of cyber incidents involving our offshore assets and certain regional business units.</w:t>
      </w:r>
    </w:p>
    <w:p>
      <w:pPr>
        <w:spacing w:after="0" w:line="180"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To enhance our cybersecurity posture, we engage a range of external specialists and partners to assist in the identification and management of threats. This includes leveraging a third-party Security Operations Center (“SOC”) for continuous network monitoring, as well as collaborating with managed service providers, financial institutions, and government and law enforcement entities to share threat intelligence and coordinate incident response efforts. In addition, we collaborate with our internal auditors to ensure our processes are documented and followed appropriately.</w:t>
      </w:r>
    </w:p>
    <w:p>
      <w:pPr>
        <w:spacing w:after="0" w:line="176" w:lineRule="exact"/>
        <w:rPr>
          <w:sz w:val="20"/>
          <w:szCs w:val="20"/>
          <w:color w:val="auto"/>
        </w:rPr>
      </w:pPr>
    </w:p>
    <w:p>
      <w:pPr>
        <w:ind w:right="200" w:firstLine="648"/>
        <w:spacing w:after="0" w:line="242" w:lineRule="auto"/>
        <w:rPr>
          <w:sz w:val="20"/>
          <w:szCs w:val="20"/>
          <w:color w:val="auto"/>
        </w:rPr>
      </w:pPr>
      <w:r>
        <w:rPr>
          <w:rFonts w:ascii="Arial" w:cs="Arial" w:eastAsia="Arial" w:hAnsi="Arial"/>
          <w:sz w:val="18"/>
          <w:szCs w:val="18"/>
          <w:color w:val="auto"/>
        </w:rPr>
        <w:t>We have processes in place to identify and mitigate cybersecurity risks associated with our use of third-party service providers. Our policy requires that each third-party service provider go through a mandatory IT and Information Security Governance processes review and obtain formal approval from our IT and Information Security Governance groups before it can be used. Notifications and remediation of cyber threats are tracked, reviewed, and archived. Processes implemented and lessons learned involving these third parties are evaluated after each incident to ensure efficiency and replication.</w:t>
      </w:r>
    </w:p>
    <w:p>
      <w:pPr>
        <w:spacing w:after="0" w:line="179"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We face risks from cybersecurity threats that could have a material adverse effect on our business, financial condition, results of operations, cash flows or reputation. We have experienced, and may continue to experience, cyber incidents in the normal course of its business. However, prior cybersecurity incidents have not had a material adverse effect on our business, financial condition, results of operations, or cash flows. See “Risk Factors – General Risks – Cybersecurity breaches or business system disruptions may adversely affect our business.”</w:t>
      </w:r>
    </w:p>
    <w:p>
      <w:pPr>
        <w:sectPr>
          <w:pgSz w:w="11900" w:h="16838" w:orient="portrait"/>
          <w:cols w:equalWidth="0" w:num="1">
            <w:col w:w="9620"/>
          </w:cols>
          <w:pgMar w:left="1120" w:top="513"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GOVERNANCE</w:t>
      </w:r>
    </w:p>
    <w:p>
      <w:pPr>
        <w:spacing w:after="0" w:line="185"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Risks relating to cybersecurity are overseen by the Audit Committee. Certain members of our management, including the Executive Vice President and Chief Financial Officer (the “CFO”), the Vice President – Finance and Accounting and Chief Accounting Officer (the “CAO”) and the Vice President of Internal Audit, report to the Audit Committee regarding cybersecurity risks. IT management presents an annual update of cybersecurity related activities to the Audit Committee. Interim updates are provided to the Audit Committee by the CFO on an as needed basis should an incident warrant immediate notification or escalation.</w:t>
      </w:r>
    </w:p>
    <w:p>
      <w:pPr>
        <w:spacing w:after="0" w:line="179" w:lineRule="exact"/>
        <w:rPr>
          <w:sz w:val="20"/>
          <w:szCs w:val="20"/>
          <w:color w:val="auto"/>
        </w:rPr>
      </w:pPr>
    </w:p>
    <w:p>
      <w:pPr>
        <w:ind w:right="60" w:firstLine="648"/>
        <w:spacing w:after="0" w:line="261" w:lineRule="auto"/>
        <w:rPr>
          <w:sz w:val="20"/>
          <w:szCs w:val="20"/>
          <w:color w:val="auto"/>
        </w:rPr>
      </w:pPr>
      <w:r>
        <w:rPr>
          <w:rFonts w:ascii="Arial" w:cs="Arial" w:eastAsia="Arial" w:hAnsi="Arial"/>
          <w:sz w:val="17"/>
          <w:szCs w:val="17"/>
          <w:color w:val="auto"/>
        </w:rPr>
        <w:t>Within Helix’s IT department, several IT management positions are responsible for assessing and managing cybersecurity risk, including the Chief Information Officer, Director of Information Technology and Cybersecurity Manager. Each of the IT department’s management personnel has over 20 years of IT and information security experience. The Director of Information Technology and the Cybersecurity Manager positions are tasked with the daily and per incident assessment and management of cybersecurity risks, while the Chief Information Officer is tasked with oversight.</w:t>
      </w:r>
    </w:p>
    <w:p>
      <w:pPr>
        <w:spacing w:after="0" w:line="16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Helix’s IT leadership ensures that senior management is apprised of significant cybersecurity incidents throughout the lifecycle of the event (from initial detection and discovery through remediation and restoration) consistent with the escalation protocols defined in our IRP.</w:t>
      </w:r>
    </w:p>
    <w:p>
      <w:pPr>
        <w:spacing w:after="0" w:line="16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Helix’s IT department holds regular quarterly meetings with the CFO, CAO, and Vice President of Internal Audit to recap cybersecurity risks and incidents to determine any actions required as a result.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VESSELS AND OTHER OPERATING ASSETS</w:t>
      </w:r>
    </w:p>
    <w:p>
      <w:pPr>
        <w:spacing w:after="0" w:line="212"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 xml:space="preserve">As of December 31, 2025, our fleet included 26 owned vessels, eight IRSs, three SILs, the ROAM, 20 P&amp;A systems, six CT systems, 39 ROVs, six trenchers and three IROV boulder grabs. We also had seven vessels under time charter agreements. All of our chartered vessels and 11 of our owned vessels have DP capabilities specifically designed to meet the needs of our customers’ offshore activities. Our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and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vessels also have built-in saturation diving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Listing of Vessels and Other Assets Related to Operations as of December 31, 2025 </w:t>
      </w:r>
      <w:r>
        <w:rPr>
          <w:rFonts w:ascii="Arial" w:cs="Arial" w:eastAsia="Arial" w:hAnsi="Arial"/>
          <w:sz w:val="26"/>
          <w:szCs w:val="26"/>
          <w:b w:val="1"/>
          <w:bCs w:val="1"/>
          <w:color w:val="auto"/>
          <w:vertAlign w:val="superscript"/>
        </w:rPr>
        <w:t>(1)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Placed</w:t>
            </w:r>
          </w:p>
        </w:tc>
        <w:tc>
          <w:tcPr>
            <w:tcW w:w="8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gridSpan w:val="2"/>
            <w:vMerge w:val="restart"/>
          </w:tcPr>
          <w:p>
            <w:pPr>
              <w:ind w:left="40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Flag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7"/>
                <w:szCs w:val="17"/>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Length</w:t>
            </w:r>
          </w:p>
        </w:tc>
        <w:tc>
          <w:tcPr>
            <w:tcW w:w="120" w:type="dxa"/>
            <w:vAlign w:val="bottom"/>
          </w:tcPr>
          <w:p>
            <w:pPr>
              <w:spacing w:after="0"/>
              <w:rPr>
                <w:sz w:val="17"/>
                <w:szCs w:val="17"/>
                <w:color w:val="auto"/>
              </w:rPr>
            </w:pP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28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State</w:t>
            </w:r>
          </w:p>
        </w:tc>
        <w:tc>
          <w:tcPr>
            <w:tcW w:w="120" w:type="dxa"/>
            <w:vAlign w:val="bottom"/>
          </w:tcPr>
          <w:p>
            <w:pPr>
              <w:spacing w:after="0"/>
              <w:rPr>
                <w:sz w:val="20"/>
                <w:szCs w:val="20"/>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5"/>
              </w:rPr>
              <w:t xml:space="preserve">Service </w:t>
            </w:r>
            <w:r>
              <w:rPr>
                <w:rFonts w:ascii="Arial" w:cs="Arial" w:eastAsia="Arial" w:hAnsi="Arial"/>
                <w:sz w:val="26"/>
                <w:szCs w:val="26"/>
                <w:b w:val="1"/>
                <w:bCs w:val="1"/>
                <w:color w:val="auto"/>
                <w:w w:val="95"/>
                <w:vertAlign w:val="superscript"/>
              </w:rPr>
              <w:t>(2)</w:t>
            </w:r>
          </w:p>
        </w:tc>
        <w:tc>
          <w:tcPr>
            <w:tcW w:w="80" w:type="dxa"/>
            <w:vAlign w:val="bottom"/>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(Feet)</w:t>
            </w:r>
          </w:p>
        </w:tc>
        <w:tc>
          <w:tcPr>
            <w:tcW w:w="12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DP</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Floating Production Unit —</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Helix Producer I</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Bahamas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4/2009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528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Well Intervention —</w:t>
            </w:r>
          </w:p>
        </w:tc>
        <w:tc>
          <w:tcPr>
            <w:tcW w:w="9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Q4000 </w:t>
            </w:r>
            <w:r>
              <w:rPr>
                <w:rFonts w:ascii="Arial" w:cs="Arial" w:eastAsia="Arial" w:hAnsi="Arial"/>
                <w:sz w:val="23"/>
                <w:szCs w:val="23"/>
                <w:color w:val="auto"/>
                <w:vertAlign w:val="superscript"/>
              </w:rPr>
              <w:t>(3)</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4/2002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Seawell </w:t>
            </w:r>
            <w:r>
              <w:rPr>
                <w:rFonts w:ascii="Arial" w:cs="Arial" w:eastAsia="Arial" w:hAnsi="Arial"/>
                <w:sz w:val="23"/>
                <w:szCs w:val="23"/>
                <w:color w:val="auto"/>
                <w:vertAlign w:val="superscript"/>
              </w:rPr>
              <w:t>(4)</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U.K.</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Well Enhancer </w:t>
            </w:r>
            <w:r>
              <w:rPr>
                <w:rFonts w:ascii="Arial" w:cs="Arial" w:eastAsia="Arial" w:hAnsi="Arial"/>
                <w:sz w:val="23"/>
                <w:szCs w:val="23"/>
                <w:color w:val="auto"/>
                <w:vertAlign w:val="superscript"/>
              </w:rPr>
              <w:t>(4)</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U.K.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10/2009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432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Q5000</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Bahamas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4/2015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6"/>
                <w:szCs w:val="16"/>
                <w:i w:val="1"/>
                <w:iCs w:val="1"/>
                <w:color w:val="auto"/>
              </w:rPr>
              <w:t xml:space="preserve">Sea Helix 1 </w:t>
            </w:r>
            <w:r>
              <w:rPr>
                <w:rFonts w:ascii="Arial" w:cs="Arial" w:eastAsia="Arial" w:hAnsi="Arial"/>
                <w:sz w:val="23"/>
                <w:szCs w:val="23"/>
                <w:color w:val="auto"/>
                <w:vertAlign w:val="superscript"/>
              </w:rPr>
              <w:t>(5)</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Bahamas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6/2016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521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i w:val="1"/>
                <w:iCs w:val="1"/>
                <w:color w:val="auto"/>
              </w:rPr>
              <w:t xml:space="preserve">Siem Helix 2 </w:t>
            </w:r>
            <w:r>
              <w:rPr>
                <w:rFonts w:ascii="Arial" w:cs="Arial" w:eastAsia="Arial" w:hAnsi="Arial"/>
                <w:sz w:val="23"/>
                <w:szCs w:val="23"/>
                <w:color w:val="auto"/>
                <w:vertAlign w:val="superscript"/>
              </w:rPr>
              <w:t>(5)</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Bahamas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2/2017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Q7000</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Bahamas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1/2020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320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DP3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8 IRSs, 3 SILs and the ROAM </w:t>
            </w:r>
            <w:r>
              <w:rPr>
                <w:rFonts w:ascii="Arial" w:cs="Arial" w:eastAsia="Arial" w:hAnsi="Arial"/>
                <w:sz w:val="23"/>
                <w:szCs w:val="23"/>
                <w:color w:val="auto"/>
                <w:vertAlign w:val="superscript"/>
              </w:rPr>
              <w:t>(6)</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Helix Alliance —</w:t>
            </w:r>
          </w:p>
        </w:tc>
        <w:tc>
          <w:tcPr>
            <w:tcW w:w="960" w:type="dxa"/>
            <w:vAlign w:val="bottom"/>
          </w:tcPr>
          <w:p>
            <w:pPr>
              <w:spacing w:after="0"/>
              <w:rPr>
                <w:sz w:val="18"/>
                <w:szCs w:val="18"/>
                <w:color w:val="auto"/>
              </w:rPr>
            </w:pPr>
          </w:p>
        </w:tc>
        <w:tc>
          <w:tcPr>
            <w:tcW w:w="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EPIC Hedron </w:t>
            </w:r>
            <w:r>
              <w:rPr>
                <w:rFonts w:ascii="Arial" w:cs="Arial" w:eastAsia="Arial" w:hAnsi="Arial"/>
                <w:sz w:val="18"/>
                <w:szCs w:val="18"/>
                <w:color w:val="auto"/>
              </w:rPr>
              <w:t>(heavy lift barge)</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Vanuatu</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7/2022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9 liftboats, 6 OSVs, 3 DSVs and 1 crew boat</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U.S.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7/2022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6"/>
                <w:szCs w:val="16"/>
                <w:color w:val="auto"/>
              </w:rPr>
              <w:t xml:space="preserve">DP1 </w:t>
            </w:r>
            <w:r>
              <w:rPr>
                <w:rFonts w:ascii="Arial" w:cs="Arial" w:eastAsia="Arial" w:hAnsi="Arial"/>
                <w:sz w:val="23"/>
                <w:szCs w:val="23"/>
                <w:color w:val="auto"/>
                <w:vertAlign w:val="superscript"/>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 P&amp;A systems and 6 CT systems</w:t>
            </w: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Various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Robotics —</w:t>
            </w:r>
          </w:p>
        </w:tc>
        <w:tc>
          <w:tcPr>
            <w:tcW w:w="960" w:type="dxa"/>
            <w:vAlign w:val="bottom"/>
          </w:tcPr>
          <w:p>
            <w:pPr>
              <w:spacing w:after="0"/>
              <w:rPr>
                <w:sz w:val="18"/>
                <w:szCs w:val="18"/>
                <w:color w:val="auto"/>
              </w:rPr>
            </w:pPr>
          </w:p>
        </w:tc>
        <w:tc>
          <w:tcPr>
            <w:tcW w:w="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39 ROVs, 6 Trenchers and 3 IROV boulder grabs</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(4), (8)</w:t>
            </w: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9"/>
        </w:trPr>
        <w:tc>
          <w:tcPr>
            <w:tcW w:w="4280" w:type="dxa"/>
            <w:vAlign w:val="bottom"/>
            <w:gridSpan w:val="2"/>
          </w:tcPr>
          <w:p>
            <w:pPr>
              <w:spacing w:after="0"/>
              <w:rPr>
                <w:sz w:val="20"/>
                <w:szCs w:val="20"/>
                <w:color w:val="auto"/>
              </w:rPr>
            </w:pPr>
            <w:r>
              <w:rPr>
                <w:rFonts w:ascii="Arial" w:cs="Arial" w:eastAsia="Arial" w:hAnsi="Arial"/>
                <w:sz w:val="18"/>
                <w:szCs w:val="18"/>
                <w:color w:val="auto"/>
              </w:rPr>
              <w:t xml:space="preserve">5 chartered robotics support vessels </w:t>
            </w:r>
            <w:r>
              <w:rPr>
                <w:rFonts w:ascii="Arial" w:cs="Arial" w:eastAsia="Arial" w:hAnsi="Arial"/>
                <w:sz w:val="26"/>
                <w:szCs w:val="26"/>
                <w:color w:val="auto"/>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240 - 419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DP2 or DP3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80"/>
          </w:cols>
          <w:pgMar w:left="1120" w:top="513" w:right="10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15259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40" w:hanging="639"/>
        <w:spacing w:after="0" w:line="24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maintain our vessels in accordance with standards of seaworthiness, safety and health set by governmental regulations and classification organizations. We maintain our fleet to the standards for seaworthiness, safety and health set by the ABS, Bureau Veritas (“BV”), Det Norske Veritas (“DNV”), Lloyds Register of Shipping (“Lloyds”), and the U.S. Coast Guard. ABS, BV, DNV and Lloyds are classification societies used by vessel owners to certify that their vessels meet certain structural, mechanical and safety equipment standards.</w:t>
      </w:r>
    </w:p>
    <w:p>
      <w:pPr>
        <w:spacing w:after="0" w:line="68" w:lineRule="exact"/>
        <w:rPr>
          <w:rFonts w:ascii="Arial" w:cs="Arial" w:eastAsia="Arial" w:hAnsi="Arial"/>
          <w:sz w:val="18"/>
          <w:szCs w:val="18"/>
          <w:color w:val="auto"/>
        </w:rPr>
      </w:pPr>
    </w:p>
    <w:p>
      <w:pPr>
        <w:ind w:left="640" w:right="60" w:hanging="639"/>
        <w:spacing w:after="0" w:line="27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date we placed our owned vessels in service (rather than the date of commissioning) or the date the original charters for our chartered vessels commenced, as applicable.</w:t>
      </w:r>
    </w:p>
    <w:p>
      <w:pPr>
        <w:spacing w:after="0" w:line="45"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a vessel mortgage securing our MARAD Debt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Serves as security for the Amended ABL Facility described in Note 7.</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Vessels under time charter agreements.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own a 50% interest in the ROAM and three of the IRSs.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DP capabilities are only applicable to five OSVs.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age of our Robotics assets is approximately 13.0 years.</w:t>
      </w:r>
    </w:p>
    <w:p>
      <w:pPr>
        <w:spacing w:after="0" w:line="198"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We incur routine dry dock, inspection, maintenance and repair costs pursuant to applicable statutory regulations in order to maintain our vessels in accordance with the rules of the applicable class society. In addition to complying with these requirements, we have our own asset maintenance programs that we believe help us to continue to provide our customers with well-maintained, reliable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corporate headquarters are located at 3505 West Sam Houston Parkway North, Suite 400, Houston, Texas</w:t>
      </w:r>
    </w:p>
    <w:p>
      <w:pPr>
        <w:spacing w:after="0" w:line="14"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77043. Except for two owned properties related to Helix Alliance, we currently lease all of our facilities, which are primarily located in Texas, Louisiana, Scotland, Singapore and Brazil.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12"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The information required to be set forth under this heading is incorporated by reference from Note 16 to our consolidated financial statements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executive officers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240" w:type="dxa"/>
            <w:vAlign w:val="bottom"/>
          </w:tcPr>
          <w:p>
            <w:pPr>
              <w:ind w:left="880"/>
              <w:spacing w:after="0"/>
              <w:rPr>
                <w:sz w:val="20"/>
                <w:szCs w:val="20"/>
                <w:color w:val="auto"/>
              </w:rPr>
            </w:pPr>
            <w:r>
              <w:rPr>
                <w:rFonts w:ascii="Arial" w:cs="Arial" w:eastAsia="Arial" w:hAnsi="Arial"/>
                <w:sz w:val="18"/>
                <w:szCs w:val="18"/>
                <w:b w:val="1"/>
                <w:bCs w:val="1"/>
                <w:color w:val="auto"/>
              </w:rPr>
              <w:t>Name</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Age</w:t>
            </w:r>
            <w:r>
              <w:rPr>
                <w:rFonts w:ascii="Arial" w:cs="Arial" w:eastAsia="Arial" w:hAnsi="Arial"/>
                <w:sz w:val="18"/>
                <w:szCs w:val="18"/>
                <w:color w:val="auto"/>
              </w:rPr>
              <w:t xml:space="preserve">   ​​​</w:t>
            </w:r>
          </w:p>
        </w:tc>
        <w:tc>
          <w:tcPr>
            <w:tcW w:w="6200" w:type="dxa"/>
            <w:vAlign w:val="bottom"/>
          </w:tcPr>
          <w:p>
            <w:pPr>
              <w:ind w:left="2760"/>
              <w:spacing w:after="0"/>
              <w:rPr>
                <w:sz w:val="20"/>
                <w:szCs w:val="20"/>
                <w:color w:val="auto"/>
              </w:rPr>
            </w:pPr>
            <w:r>
              <w:rPr>
                <w:rFonts w:ascii="Arial" w:cs="Arial" w:eastAsia="Arial" w:hAnsi="Arial"/>
                <w:sz w:val="18"/>
                <w:szCs w:val="18"/>
                <w:b w:val="1"/>
                <w:bCs w:val="1"/>
                <w:color w:val="auto"/>
              </w:rPr>
              <w:t>Position</w:t>
            </w:r>
          </w:p>
        </w:tc>
      </w:tr>
      <w:tr>
        <w:trPr>
          <w:trHeight w:val="264"/>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Owen Kratz</w:t>
            </w:r>
          </w:p>
        </w:tc>
        <w:tc>
          <w:tcPr>
            <w:tcW w:w="2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CEEFF"/>
            </w:tcBorders>
            <w:shd w:val="clear" w:color="auto" w:fill="CCEEFF"/>
          </w:tcPr>
          <w:p>
            <w:pPr>
              <w:spacing w:after="0"/>
              <w:rPr>
                <w:sz w:val="22"/>
                <w:szCs w:val="22"/>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65"/>
        </w:trPr>
        <w:tc>
          <w:tcPr>
            <w:tcW w:w="2240" w:type="dxa"/>
            <w:vAlign w:val="bottom"/>
          </w:tcPr>
          <w:p>
            <w:pPr>
              <w:spacing w:after="0"/>
              <w:rPr>
                <w:sz w:val="20"/>
                <w:szCs w:val="20"/>
                <w:color w:val="auto"/>
              </w:rPr>
            </w:pPr>
            <w:r>
              <w:rPr>
                <w:rFonts w:ascii="Arial" w:cs="Arial" w:eastAsia="Arial" w:hAnsi="Arial"/>
                <w:sz w:val="18"/>
                <w:szCs w:val="18"/>
                <w:color w:val="auto"/>
              </w:rPr>
              <w:t>Erik Staffeldt</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Scott A. Sparks</w:t>
            </w: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23"/>
                <w:szCs w:val="23"/>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60"/>
        </w:trPr>
        <w:tc>
          <w:tcPr>
            <w:tcW w:w="2240" w:type="dxa"/>
            <w:vAlign w:val="bottom"/>
          </w:tcPr>
          <w:p>
            <w:pPr>
              <w:spacing w:after="0"/>
              <w:rPr>
                <w:sz w:val="20"/>
                <w:szCs w:val="20"/>
                <w:color w:val="auto"/>
              </w:rPr>
            </w:pPr>
            <w:r>
              <w:rPr>
                <w:rFonts w:ascii="Arial" w:cs="Arial" w:eastAsia="Arial" w:hAnsi="Arial"/>
                <w:sz w:val="18"/>
                <w:szCs w:val="18"/>
                <w:color w:val="auto"/>
              </w:rPr>
              <w:t>Kenneth E. Neikirk</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864"/>
        </w:trPr>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0" w:type="dxa"/>
            <w:vAlign w:val="bottom"/>
          </w:tcPr>
          <w:p>
            <w:pPr>
              <w:ind w:left="1280"/>
              <w:spacing w:after="0"/>
              <w:rPr>
                <w:sz w:val="20"/>
                <w:szCs w:val="20"/>
                <w:color w:val="auto"/>
              </w:rPr>
            </w:pPr>
            <w:r>
              <w:rPr>
                <w:rFonts w:ascii="Arial" w:cs="Arial" w:eastAsia="Arial" w:hAnsi="Arial"/>
                <w:sz w:val="18"/>
                <w:szCs w:val="18"/>
                <w:color w:val="auto"/>
              </w:rPr>
              <w:t>31</w:t>
            </w:r>
          </w:p>
        </w:tc>
      </w:tr>
      <w:tr>
        <w:trPr>
          <w:trHeight w:val="543"/>
        </w:trPr>
        <w:tc>
          <w:tcPr>
            <w:tcW w:w="2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9640"/>
          </w:cols>
          <w:pgMar w:left="1120" w:top="513" w:right="11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Owen Kratz </w:t>
      </w:r>
      <w:r>
        <w:rPr>
          <w:rFonts w:ascii="Arial" w:cs="Arial" w:eastAsia="Arial" w:hAnsi="Arial"/>
          <w:sz w:val="18"/>
          <w:szCs w:val="18"/>
          <w:color w:val="auto"/>
        </w:rPr>
        <w:t>is President and Chief Executive Officer of Helix. He was named Executive Chairman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2006 and served in that capacity until February 2008 when he resumed the position of President and Chief Executive Officer. On December 17, 2025, Mr. Kratz informed the Board of his intention to retire and serve as President and CEO until the Board has appointed a successor. He served as Helix’s Chief Executive Officer from April 1997 until October 2006. Mr. Kratz served as President from 1993 until February 1999, and has served as a Director since 1990 (including as Chairman of our Board from May 1998 to July 2017). He served as Chief Operating Officer from 1990 through 1997. Mr. Kratz joined Cal Dive International, Inc. (now known as Helix) in 1984 and held various offshore positions, including saturation diving supervisor, and management responsibility for client relations, marketing and estimating. From 1982 to 1983, Mr. Kratz was the owner of an independent marine construction company operating in the Bay of Campeche. Prior to 1982, he was a superintendent for Santa Fe and various international diving companies, and a diver in the North Sea. From February 2006 to December 2011, Mr. Kratz was a member of the Board of Directors of Cal Dive International, Inc., a once publicly traded company, which was formerly a subsidiary of Helix. Mr. Kratz has a Bachelor of Science degree from State University of New York.</w:t>
      </w:r>
    </w:p>
    <w:p>
      <w:pPr>
        <w:spacing w:after="0" w:line="18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Erik Staffeldt </w:t>
      </w:r>
      <w:r>
        <w:rPr>
          <w:rFonts w:ascii="Arial" w:cs="Arial" w:eastAsia="Arial" w:hAnsi="Arial"/>
          <w:sz w:val="18"/>
          <w:szCs w:val="18"/>
          <w:color w:val="auto"/>
        </w:rPr>
        <w:t>is Executive Vice President and Chief Financial Officer of Helix. Prior thereto he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beginning in June 2017 until February 2019. Mr. Staffeldt oversees Helix’s finance, treasury, accounting, tax, information technology and corporate planning functions. Since joining Helix in July 2009 as Assistant Corporate Controller, Mr. Staffeldt has served as Director — Corporate Accounting from August 2011 until March 2013, Director of Finance from March 2013 until February 2014, Finance and Treasury Director from February 2014 until July 2015, and Vice President — Finance and Accounting from July 2015 until June 2017.</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Mr. Staffeldt was also designated as Helix’s “principal accounting officer” for purposes of the Securities Act, the Exchange Act and the rules and regulations promulgated thereunder in July 2015 until December 2021. Mr. Staffeldt served in various financial and accounting capacities prior to joining Helix and has over 30 years of experience in the energy industry. Mr. Staffeldt is a graduate of the University of Notre Dame with a BBA in Accounting and Loyola University in New Orleans with an MBA, and is a Certified Public Accountant.</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i w:val="1"/>
          <w:iCs w:val="1"/>
          <w:color w:val="auto"/>
        </w:rPr>
        <w:t xml:space="preserve">Scott A. (“Scotty”) Sparks </w:t>
      </w:r>
      <w:r>
        <w:rPr>
          <w:rFonts w:ascii="Arial" w:cs="Arial" w:eastAsia="Arial" w:hAnsi="Arial"/>
          <w:sz w:val="17"/>
          <w:szCs w:val="17"/>
          <w:color w:val="auto"/>
        </w:rPr>
        <w:t>is Executive Vice President and Chief Operating Officer of Helix, having joined Helix in</w:t>
      </w:r>
      <w:r>
        <w:rPr>
          <w:rFonts w:ascii="Arial" w:cs="Arial" w:eastAsia="Arial" w:hAnsi="Arial"/>
          <w:sz w:val="17"/>
          <w:szCs w:val="17"/>
          <w:i w:val="1"/>
          <w:iCs w:val="1"/>
          <w:color w:val="auto"/>
        </w:rPr>
        <w:t xml:space="preserve"> </w:t>
      </w:r>
      <w:r>
        <w:rPr>
          <w:rFonts w:ascii="Arial" w:cs="Arial" w:eastAsia="Arial" w:hAnsi="Arial"/>
          <w:sz w:val="17"/>
          <w:szCs w:val="17"/>
          <w:color w:val="auto"/>
        </w:rPr>
        <w:t>2001. He served as Executive Vice President — Operations of Helix from May 2015 until February 2016. From October 2012 until May 2015, he was Vice President — Commercial and Strategic Development of Helix. He has also served in various positions within Helix Robotics Solutions, Inc. (formerly known as Canyon Offshore, Inc.), including as Senior Vice President from 2007 to September 2012. Mr. Sparks has over 36 years of experience in the subsea industry, including as Operations Manager and Vessel Superintendent at Global Marine Systems and BT Marine Systems.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Kenneth E. (“Ken”) Neikirk </w:t>
      </w:r>
      <w:r>
        <w:rPr>
          <w:rFonts w:ascii="Arial" w:cs="Arial" w:eastAsia="Arial" w:hAnsi="Arial"/>
          <w:sz w:val="18"/>
          <w:szCs w:val="18"/>
          <w:color w:val="auto"/>
        </w:rPr>
        <w:t>is Executive Vice President, General Counsel and Corporate Secretary of Helix.</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Neikirk has over 25 years of experience practicing law in the corporate and energy sectors, and has been a member of Helix’s legal department since 2007, previously serving as Helix’s Senior Vice President, General Counsel and Corporate Secretary from May 2019 to December 2022, and prior to that as Corporate Counsel, Compliance Officer and Assistant Secretary from February 2016 until April 2019. Mr. Neikirk oversees Helix’s legal, human resources, and contracts and insurance functions. Prior to joining Helix Mr. Neikirk was in private practice in New York and Houston. Mr. Neikirk holds a Bachelor of Arts degree from Duke University and a Juris Doctor from the University of Houston Law Center.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36"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Our common stock is traded on the New York Stock Exchange (“NYSE”) under the symbol “HLX.” On February 17, 2026, the closing sale price of our common stock on the NYSE was $8.39 per share. As of February 17, 2026, there were 263 registered shareholders and approximately 77,380 beneficial shareholders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We have not declared or paid cash dividends on our common stock in the past nor do we intend to pay cash dividends in the foreseeable future. In addition, our financing arrangements may place certain limitations on the payment of cash dividends on our common stock. We currently intend to reinvest any retained earnings, if any, for the future operation and growth of our business, to repay maturing debt that is not refinanced, or to use for potential acquisition opportunities or share repurchases. Our Board will review this matter on a regular basis in light of our earnings and financial forecasts, financial position and market opportunities. See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 Liquidity and Capital Resources” of this Annual Report.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following graph compares the cumulative total shareholder return on our common stock for the period since December 31, 2020 to the cumulative total shareholder return for (i) the stocks of 500 large-cap corporations maintained by Standard &amp; Poor’s (“S&amp;P 500”), assuming the reinvestment of dividends; (ii) the Philadelphia Oil Service Sector index (the “OSX”), a price-weighted index of leading oil service companies, assuming the reinvestment of dividends; and (iii) a peer group selected by us as of January 2025 (the “2025 Performance Peer Group”) including the following companies: Archrock, Inc., Core Laboratories N.V., Expro Group Holdings N.V., Forum Energy Technologies, Inc., Helmerich &amp; Payne, Inc., Nabors Industries Ltd., NPK International Inc. (formerly Newpark Resources, Inc.), Noble Corporation plc, NOV Inc., Oceaneering International, Inc., Oil States International, Inc., Patterson-UTI Energy, Inc., Precision Drilling Corporation, ProPetro Holding Corp., RPC, Inc., Select Water Solutions, Inc., TETRA Technologies, Inc., Tidewater Inc., Tranocean Ltd. and Weatherford International plc. The returns of each member of the 2025 Performance Peer Group have been weighted according to each individual company’s equity market capitalization as of December 31, 2025 and have been adjusted for the reinvestment of any dividends. We believe that in 2025 the members of the 2025 Performance Peer Group provided services and products more comparable to us than those companies included in the OSX. The graph assumes $100 was invested on December 31, 2020 in our common stock at the closing price on that date price and on December 31, 2020 in the three indices presented. We paid no cash dividends during the period presented. The cumulative total percentage returns for the period presented are as follows: our stock — 49.3%; the 2025 Performance Peer Group — 71.2%; the OSX — 81.7%; and S&amp;P 500 — 96.2%. These results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127635</wp:posOffset>
            </wp:positionV>
            <wp:extent cx="5297805" cy="3008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9780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Five Year Cumulative Total Return among Helix, S&amp;P 500,</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OSX and Peer Group</w:t>
      </w:r>
    </w:p>
    <w:p>
      <w:pPr>
        <w:spacing w:after="0" w:line="19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 of December 31,</w:t>
      </w:r>
    </w:p>
    <w:p>
      <w:pPr>
        <w:sectPr>
          <w:pgSz w:w="11900" w:h="16838" w:orient="portrait"/>
          <w:cols w:equalWidth="0" w:num="1">
            <w:col w:w="9640"/>
          </w:cols>
          <w:pgMar w:left="1120" w:top="513" w:right="11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 Performance Peer Group Index</w:t>
      </w:r>
    </w:p>
    <w:p>
      <w:pPr>
        <w:spacing w:after="0" w:line="234" w:lineRule="auto"/>
        <w:rPr>
          <w:sz w:val="20"/>
          <w:szCs w:val="20"/>
          <w:color w:val="auto"/>
        </w:rPr>
      </w:pPr>
      <w:r>
        <w:rPr>
          <w:rFonts w:ascii="Arial" w:cs="Arial" w:eastAsia="Arial" w:hAnsi="Arial"/>
          <w:sz w:val="18"/>
          <w:szCs w:val="18"/>
          <w:color w:val="auto"/>
        </w:rPr>
        <w:t>OSX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S&amp;P 500</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Source: Bloomberg.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 to October 31, 2025</w:t>
      </w:r>
    </w:p>
    <w:p>
      <w:pPr>
        <w:spacing w:after="0" w:line="234" w:lineRule="auto"/>
        <w:rPr>
          <w:sz w:val="20"/>
          <w:szCs w:val="20"/>
          <w:color w:val="auto"/>
        </w:rPr>
      </w:pPr>
      <w:r>
        <w:rPr>
          <w:rFonts w:ascii="Arial" w:cs="Arial" w:eastAsia="Arial" w:hAnsi="Arial"/>
          <w:sz w:val="18"/>
          <w:szCs w:val="18"/>
          <w:color w:val="auto"/>
        </w:rPr>
        <w:t>November 1 to November 30, 2025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229235</wp:posOffset>
            </wp:positionV>
            <wp:extent cx="15259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tcBorders>
              <w:top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2025</w:t>
            </w: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77"/>
        </w:trPr>
        <w:tc>
          <w:tcPr>
            <w:tcW w:w="2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74.3</w:t>
            </w:r>
          </w:p>
        </w:tc>
        <w:tc>
          <w:tcPr>
            <w:tcW w:w="3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175.7</w:t>
            </w:r>
          </w:p>
        </w:tc>
        <w:tc>
          <w:tcPr>
            <w:tcW w:w="3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244.8</w:t>
            </w:r>
          </w:p>
        </w:tc>
        <w:tc>
          <w:tcPr>
            <w:tcW w:w="3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221.9</w:t>
            </w:r>
          </w:p>
        </w:tc>
        <w:tc>
          <w:tcPr>
            <w:tcW w:w="380" w:type="dxa"/>
            <w:vAlign w:val="bottom"/>
            <w:gridSpan w:val="2"/>
          </w:tcPr>
          <w:p>
            <w:pPr>
              <w:jc w:val="right"/>
              <w:ind w:right="80"/>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149.3</w:t>
            </w:r>
          </w:p>
        </w:tc>
      </w:tr>
      <w:tr>
        <w:trPr>
          <w:trHeight w:val="203"/>
        </w:trPr>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121.0</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197.8</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208.4</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174.0</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171.2</w:t>
            </w:r>
          </w:p>
        </w:tc>
      </w:tr>
      <w:tr>
        <w:trPr>
          <w:trHeight w:val="203"/>
        </w:trPr>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120.7</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195.0</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198.7</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181.7</w:t>
            </w:r>
          </w:p>
        </w:tc>
      </w:tr>
      <w:tr>
        <w:trPr>
          <w:trHeight w:val="239"/>
        </w:trPr>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-533400</wp:posOffset>
            </wp:positionV>
            <wp:extent cx="61207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0765" cy="137160"/>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-267970</wp:posOffset>
            </wp:positionV>
            <wp:extent cx="612076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0765" cy="12890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20" w:type="dxa"/>
            <w:vAlign w:val="bottom"/>
            <w:gridSpan w:val="8"/>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374"/>
        </w:trPr>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rPr>
              <w:t>(d)</w:t>
            </w:r>
          </w:p>
        </w:tc>
      </w:tr>
      <w:tr>
        <w:trPr>
          <w:trHeight w:val="203"/>
        </w:trPr>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value of shares</w:t>
            </w:r>
          </w:p>
        </w:tc>
      </w:tr>
      <w:tr>
        <w:trPr>
          <w:trHeight w:val="203"/>
        </w:trPr>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(b)</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that may yet be</w:t>
            </w:r>
          </w:p>
        </w:tc>
      </w:tr>
      <w:tr>
        <w:trPr>
          <w:trHeight w:val="193"/>
        </w:trPr>
        <w:tc>
          <w:tcPr>
            <w:tcW w:w="320" w:type="dxa"/>
            <w:vAlign w:val="bottom"/>
          </w:tcPr>
          <w:p>
            <w:pPr>
              <w:spacing w:after="0"/>
              <w:rPr>
                <w:sz w:val="16"/>
                <w:szCs w:val="16"/>
                <w:color w:val="auto"/>
              </w:rPr>
            </w:pPr>
          </w:p>
        </w:tc>
        <w:tc>
          <w:tcPr>
            <w:tcW w:w="120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rPr>
              <w:t>part of publicly</w:t>
            </w:r>
          </w:p>
        </w:tc>
        <w:tc>
          <w:tcPr>
            <w:tcW w:w="200" w:type="dxa"/>
            <w:vAlign w:val="bottom"/>
          </w:tcPr>
          <w:p>
            <w:pPr>
              <w:spacing w:after="0"/>
              <w:rPr>
                <w:sz w:val="16"/>
                <w:szCs w:val="16"/>
                <w:color w:val="auto"/>
              </w:rPr>
            </w:pPr>
          </w:p>
        </w:tc>
        <w:tc>
          <w:tcPr>
            <w:tcW w:w="180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3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9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price paid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0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(2)</w:t>
            </w:r>
          </w:p>
        </w:tc>
      </w:tr>
      <w:tr>
        <w:trPr>
          <w:trHeight w:val="231"/>
        </w:trPr>
        <w:tc>
          <w:tcPr>
            <w:tcW w:w="1520" w:type="dxa"/>
            <w:vAlign w:val="bottom"/>
            <w:gridSpan w:val="2"/>
          </w:tcPr>
          <w:p>
            <w:pPr>
              <w:jc w:val="right"/>
              <w:spacing w:after="0" w:line="231"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6"/>
                <w:szCs w:val="26"/>
                <w:b w:val="1"/>
                <w:bCs w:val="1"/>
                <w:color w:val="auto"/>
                <w:vertAlign w:val="superscript"/>
              </w:rPr>
              <w:t>(1)</w:t>
            </w:r>
          </w:p>
        </w:tc>
        <w:tc>
          <w:tcPr>
            <w:tcW w:w="1120" w:type="dxa"/>
            <w:vAlign w:val="bottom"/>
            <w:gridSpan w:val="3"/>
          </w:tcPr>
          <w:p>
            <w:pPr>
              <w:ind w:left="100"/>
              <w:spacing w:after="0"/>
              <w:rPr>
                <w:sz w:val="20"/>
                <w:szCs w:val="20"/>
                <w:color w:val="auto"/>
              </w:rPr>
            </w:pPr>
            <w:r>
              <w:rPr>
                <w:rFonts w:ascii="Arial" w:cs="Arial" w:eastAsia="Arial" w:hAnsi="Arial"/>
                <w:sz w:val="18"/>
                <w:szCs w:val="18"/>
                <w:b w:val="1"/>
                <w:bCs w:val="1"/>
                <w:color w:val="auto"/>
              </w:rPr>
              <w:t>​​​ per share</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5"/>
              </w:rPr>
              <w:t xml:space="preserve">or programs </w:t>
            </w:r>
            <w:r>
              <w:rPr>
                <w:rFonts w:ascii="Arial" w:cs="Arial" w:eastAsia="Arial" w:hAnsi="Arial"/>
                <w:sz w:val="26"/>
                <w:szCs w:val="26"/>
                <w:b w:val="1"/>
                <w:bCs w:val="1"/>
                <w:color w:val="auto"/>
                <w:w w:val="95"/>
                <w:vertAlign w:val="superscript"/>
              </w:rPr>
              <w:t>(2)</w:t>
            </w:r>
          </w:p>
        </w:tc>
        <w:tc>
          <w:tcPr>
            <w:tcW w:w="3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(in thousands)</w:t>
            </w:r>
          </w:p>
        </w:tc>
      </w:tr>
      <w:tr>
        <w:trPr>
          <w:trHeight w:val="177"/>
        </w:trPr>
        <w:tc>
          <w:tcPr>
            <w:tcW w:w="32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ind w:left="1260"/>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128,380</w:t>
            </w:r>
          </w:p>
        </w:tc>
      </w:tr>
      <w:tr>
        <w:trPr>
          <w:trHeight w:val="203"/>
        </w:trPr>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128,380</w:t>
            </w:r>
          </w:p>
        </w:tc>
      </w:tr>
      <w:tr>
        <w:trPr>
          <w:trHeight w:val="221"/>
        </w:trPr>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128,380</w:t>
            </w:r>
          </w:p>
        </w:tc>
      </w:tr>
      <w:tr>
        <w:trPr>
          <w:trHeight w:val="196"/>
        </w:trPr>
        <w:tc>
          <w:tcPr>
            <w:tcW w:w="3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19,048</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w:t>
            </w:r>
          </w:p>
        </w:tc>
        <w:tc>
          <w:tcPr>
            <w:tcW w:w="2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-290830</wp:posOffset>
            </wp:positionV>
            <wp:extent cx="612076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128905"/>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-556895</wp:posOffset>
            </wp:positionV>
            <wp:extent cx="61207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0765"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960" w:space="260"/>
            <w:col w:w="6420"/>
          </w:cols>
          <w:pgMar w:left="1120" w:top="513" w:right="1139" w:bottom="1440" w:gutter="0" w:footer="0" w:header="0"/>
          <w:type w:val="continuous"/>
        </w:sectPr>
      </w:pPr>
    </w:p>
    <w:p>
      <w:pPr>
        <w:ind w:left="640" w:right="60" w:hanging="639"/>
        <w:spacing w:after="0" w:line="27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forfeited in satisfaction of tax obligations upon vesting of share-based awards under our existing long-term incentive plans.</w:t>
      </w:r>
    </w:p>
    <w:p>
      <w:pPr>
        <w:spacing w:after="0" w:line="45" w:lineRule="exact"/>
        <w:rPr>
          <w:rFonts w:ascii="Arial" w:cs="Arial" w:eastAsia="Arial" w:hAnsi="Arial"/>
          <w:sz w:val="18"/>
          <w:szCs w:val="18"/>
          <w:color w:val="auto"/>
        </w:rPr>
      </w:pPr>
    </w:p>
    <w:p>
      <w:pPr>
        <w:ind w:left="640" w:right="60" w:hanging="639"/>
        <w:spacing w:after="0" w:line="24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20, 2023, we announced that our Board authorized a share repurchase program (the “2023 Repurchase Program”) under which we are authorized to repurchase up to $200 million issued and outstanding shares of our common stock (Note 10).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i w:val="1"/>
          <w:iCs w:val="1"/>
          <w:color w:val="auto"/>
        </w:rPr>
        <w:t xml:space="preserve">The following management’s discussion and analysis should be read in conjunction with our historical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Any reference to Notes in the following management’s discussion and analysis refers to the Notes to Consolidated Financial Statements located in </w:t>
      </w:r>
      <w:r>
        <w:rPr>
          <w:rFonts w:ascii="Arial" w:cs="Arial" w:eastAsia="Arial" w:hAnsi="Arial"/>
          <w:sz w:val="17"/>
          <w:szCs w:val="17"/>
          <w:color w:val="auto"/>
        </w:rPr>
        <w:t>Item 8. Financial Statements and Supplementary Data</w:t>
      </w:r>
      <w:r>
        <w:rPr>
          <w:rFonts w:ascii="Arial" w:cs="Arial" w:eastAsia="Arial" w:hAnsi="Arial"/>
          <w:sz w:val="17"/>
          <w:szCs w:val="17"/>
          <w:i w:val="1"/>
          <w:iCs w:val="1"/>
          <w:color w:val="auto"/>
        </w:rPr>
        <w:t xml:space="preserve"> of this Annual Report. The results of operations reported and summarized below are not necessarily indicative of future operating results. This discussion also contains forward-looking statements that reflect our current views with respect to future events and financial performance. Our actual results may differ materially from those anticipated in these forward-looking statements as a result of certain factors, such as those set forth under </w:t>
      </w:r>
      <w:r>
        <w:rPr>
          <w:rFonts w:ascii="Arial" w:cs="Arial" w:eastAsia="Arial" w:hAnsi="Arial"/>
          <w:sz w:val="17"/>
          <w:szCs w:val="17"/>
          <w:color w:val="auto"/>
        </w:rPr>
        <w:t>Item 1A. Risk Factors</w:t>
      </w:r>
      <w:r>
        <w:rPr>
          <w:rFonts w:ascii="Arial" w:cs="Arial" w:eastAsia="Arial" w:hAnsi="Arial"/>
          <w:sz w:val="17"/>
          <w:szCs w:val="17"/>
          <w:i w:val="1"/>
          <w:iCs w:val="1"/>
          <w:color w:val="auto"/>
        </w:rPr>
        <w:t xml:space="preserve"> and located earlier in this Annual Report.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1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We operate through our four business segments: Well Intervention, Robotics, Shallow Water Abandonment and Production Facilities. Our services are key in supporting a global energy transition by maximizing production of existing oil and gas reserves, decommissioning end-of-life oil and gas fields and supporting renewable energy developments.</w:t>
      </w:r>
    </w:p>
    <w:p>
      <w:pPr>
        <w:spacing w:after="0" w:line="176"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rates are a pricing indicator for our services. Our customers have used drilling rigs on existing long-term contracts (rig overhang) to perform well intervention work instead of new drilling activities. Current volumes of work, rig utilization rates, the rates quoted by drilling rig contractors and existing rig overhang affect the utilization and/or rates we can achieve for our well intervention assets and services.</w:t>
      </w:r>
    </w:p>
    <w:p>
      <w:pPr>
        <w:spacing w:after="0" w:line="179" w:lineRule="exact"/>
        <w:rPr>
          <w:sz w:val="20"/>
          <w:szCs w:val="20"/>
          <w:color w:val="auto"/>
        </w:rPr>
      </w:pPr>
    </w:p>
    <w:p>
      <w:pPr>
        <w:ind w:right="160" w:firstLine="648"/>
        <w:spacing w:after="0" w:line="244" w:lineRule="auto"/>
        <w:rPr>
          <w:sz w:val="20"/>
          <w:szCs w:val="20"/>
          <w:color w:val="auto"/>
        </w:rPr>
      </w:pPr>
      <w:r>
        <w:rPr>
          <w:rFonts w:ascii="Arial" w:cs="Arial" w:eastAsia="Arial" w:hAnsi="Arial"/>
          <w:sz w:val="18"/>
          <w:szCs w:val="18"/>
          <w:color w:val="auto"/>
        </w:rPr>
        <w:t>Once end-of-life oil and gas wells have depleted their production, we P&amp;A and decommission wells and infrastructure in our Well Intervention and Shallow Water Abandonment segments. We believe that our well intervention vessels have a competitive advantage in performing these services more efficiently than rigs, and with our suite of shallow water assets and capabilities, we are the only provider capable of providing all facets of decommissioning services in the Gulf of America shelf.</w:t>
      </w:r>
    </w:p>
    <w:p>
      <w:pPr>
        <w:spacing w:after="0" w:line="176"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support renewable energy primarily in our Robotics segment through our services in offshore wind farm developments, including subsea cable trenching and burial as well as seabed clearance and preparation services. Demand for our services in the renewable energy market is affected by various factors, including the level of offshore wind farm projects, the pace of industry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and/or other governmental regulations supporting or restricting renewable energy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Environment</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Commodity prices dropped 20% during 2025 and have been volatile throughout the year. The current energy market remains uncertain following the ongoing escalation of tariffs and geopolitical tensions globally and their impact on the global economy and energy demands. The offshore oil and gas market continues to evaluate governmental regulations and changes thereto, including the ongoing effects of the U.K. government’s Energy Profits Levy, geopolitical instability and uncertainty, regional conflicts and tensions, unrest in the Middle East, Ukraine and Venezuela, and customer spending declines following mergers in the U.K. North Sea. These factors have shifted spending decisions of our customers into 2026 and prolonged a supply and demand imbalance for offshore vessels, which has negatively impacted activity levels and rates in regions in which we operate.</w:t>
      </w:r>
    </w:p>
    <w:p>
      <w:pPr>
        <w:spacing w:after="0" w:line="180"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The international wind market continues to be robust, with continued activity and sanctioned work primarily in Europe and Asia Pacific. U.S. wind farm activity has decreased and remains uncertain following the 2025 Wind Energy Ban, a Presidential Memorandum issued in the U.S. in January 2025 temporarily withdrawing wind energy leasing in the U.S. Outer Continental Shelf.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Activity Summary</w:t>
      </w:r>
    </w:p>
    <w:p>
      <w:pPr>
        <w:spacing w:after="0" w:line="212"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color w:val="auto"/>
        </w:rPr>
        <w:t>During 2025, we experienced declined activity levels in the North Sea and Gulf of America with lower customer spending due to the uncertain market environment. However, we were able to maintain significant backlog that will provide strong utilization for our vessels and equipment over multiple years. Notable new contracts executed in 2025 include:</w:t>
      </w:r>
    </w:p>
    <w:p>
      <w:pPr>
        <w:spacing w:after="0" w:line="174" w:lineRule="exact"/>
        <w:rPr>
          <w:sz w:val="20"/>
          <w:szCs w:val="20"/>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Four-year trenching agreement with NKT in the North Sea;</w:t>
      </w:r>
    </w:p>
    <w:p>
      <w:pPr>
        <w:spacing w:after="0" w:line="2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Renewables trenching contract with Seaway 7 for estimated 300 days in the North Sea;</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Three-year framework agreement with ExxonMobil for well decommissioning work in the Gulf of America shelf;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Well Intervention contract in the Gulf of America for a minimum of 150 days over a three-year period;</w:t>
      </w:r>
    </w:p>
    <w:p>
      <w:pPr>
        <w:spacing w:after="0" w:line="2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Multi-year riserless P&amp;A contract in the North Sea on up to 34 subsea wells;</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the agreement with HWCG for the HFRS through March 31, 2027; and</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Extension of the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for one year until at least June 1, 2027.</w:t>
      </w:r>
    </w:p>
    <w:p>
      <w:pPr>
        <w:spacing w:after="0" w:line="193"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 xml:space="preserve">During 2025, we executed and/or extended various leases including the charters on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the </w:t>
      </w:r>
      <w:r>
        <w:rPr>
          <w:rFonts w:ascii="Arial" w:cs="Arial" w:eastAsia="Arial" w:hAnsi="Arial"/>
          <w:sz w:val="18"/>
          <w:szCs w:val="18"/>
          <w:i w:val="1"/>
          <w:iCs w:val="1"/>
          <w:color w:val="auto"/>
        </w:rPr>
        <w:t>North Sea</w:t>
      </w:r>
      <w:r>
        <w:rPr>
          <w:rFonts w:ascii="Arial" w:cs="Arial" w:eastAsia="Arial" w:hAnsi="Arial"/>
          <w:sz w:val="18"/>
          <w:szCs w:val="18"/>
          <w:color w:val="auto"/>
        </w:rPr>
        <w:t xml:space="preserve"> </w:t>
      </w:r>
      <w:r>
        <w:rPr>
          <w:rFonts w:ascii="Arial" w:cs="Arial" w:eastAsia="Arial" w:hAnsi="Arial"/>
          <w:sz w:val="18"/>
          <w:szCs w:val="18"/>
          <w:i w:val="1"/>
          <w:iCs w:val="1"/>
          <w:color w:val="auto"/>
        </w:rPr>
        <w:t>Enabler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Patriot</w:t>
      </w:r>
      <w:r>
        <w:rPr>
          <w:rFonts w:ascii="Arial" w:cs="Arial" w:eastAsia="Arial" w:hAnsi="Arial"/>
          <w:sz w:val="18"/>
          <w:szCs w:val="18"/>
          <w:color w:val="auto"/>
        </w:rPr>
        <w:t>, which was delivered to us in January 2026.</w:t>
      </w:r>
    </w:p>
    <w:p>
      <w:pPr>
        <w:spacing w:after="0" w:line="154"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continue to maintain our capital allocation policy of maintaining low levels of Net Debt, maintaining our existing assets, opportunistically targeting markets that complement and further our strategy, and using Free Cash Flow to return cash to shareholders through share repurchases (See “Results of Operations — Non-GAAP Financial Measures” below for definitions of Net Debt and Free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Our 2026 performance should be supported by our existing backlog, of which $694 million is for contracts over the next 12 months, as well as expected new contracting and the materialization of work that had been deferred from 2025. We expect to see continued strong market demand for our Robotics services, in particular our trenching and site preparation offerings. We anticipate an ongoing challenged market for certain of our assets not under long-term contracts, namely in spot markets for our Well Intervention segment, specifically in the North Sea and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Q7000</w:t>
      </w:r>
      <w:r>
        <w:rPr>
          <w:rFonts w:ascii="Arial" w:cs="Arial" w:eastAsia="Arial" w:hAnsi="Arial"/>
          <w:sz w:val="18"/>
          <w:szCs w:val="18"/>
          <w:color w:val="auto"/>
        </w:rPr>
        <w:t>, and in our Shallow Water Abandonment segment, during which time we expect a soft rate environment and uncertain utilization of those vessels and systems.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Beyond 2026, we anticipate increasing energy consumption will continue to place demand for our services in both the oil and gas and renewable energy sectors. We believe these needs will continue to increase customer operating expenditure budgets and demand for our production enhancement offerings and decommissioning services internationally, which should grow over the mid- to long-term as the subsea tree base expands and as customers discharge their decommissioning obligations. We expect long-term growth in our renewables services as the global demand for energy increases and the international energy market continues offshore renewable energy developments. We expect the demand for shallow water decommissioning services in the Gulf of America to also improve over time as former owners address their decommissioning obligations related to oil and gas properties that have reverted to them following bankruptcies.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backlog is represented by signed contracts. As of December 31, 2025, our consolidated backlog totaled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billion, of which $694 million is expected to be performed in 2026. As of December 31, 2025, our various contracts</w:t>
      </w:r>
    </w:p>
    <w:p>
      <w:pPr>
        <w:spacing w:after="0" w:line="234" w:lineRule="auto"/>
        <w:rPr>
          <w:sz w:val="20"/>
          <w:szCs w:val="20"/>
          <w:color w:val="auto"/>
        </w:rPr>
      </w:pPr>
      <w:r>
        <w:rPr>
          <w:rFonts w:ascii="Arial" w:cs="Arial" w:eastAsia="Arial" w:hAnsi="Arial"/>
          <w:sz w:val="18"/>
          <w:szCs w:val="18"/>
          <w:color w:val="auto"/>
        </w:rPr>
        <w:t>with Shell and Subsea 7 globally, our contracts with Petrobras in Brazil, our contracts with Talos in the Gulf of America,</w:t>
      </w:r>
    </w:p>
    <w:p>
      <w:pPr>
        <w:spacing w:after="0" w:line="235" w:lineRule="auto"/>
        <w:rPr>
          <w:sz w:val="20"/>
          <w:szCs w:val="20"/>
          <w:color w:val="auto"/>
        </w:rPr>
      </w:pPr>
      <w:r>
        <w:rPr>
          <w:rFonts w:ascii="Arial" w:cs="Arial" w:eastAsia="Arial" w:hAnsi="Arial"/>
          <w:sz w:val="18"/>
          <w:szCs w:val="18"/>
          <w:color w:val="auto"/>
        </w:rPr>
        <w:t>and our new multi-year agreements with NKT and CNR in the North Sea collectively represented approximately 82% of</w:t>
      </w:r>
    </w:p>
    <w:p>
      <w:pPr>
        <w:spacing w:after="0" w:line="235" w:lineRule="auto"/>
        <w:rPr>
          <w:sz w:val="20"/>
          <w:szCs w:val="20"/>
          <w:color w:val="auto"/>
        </w:rPr>
      </w:pPr>
      <w:r>
        <w:rPr>
          <w:rFonts w:ascii="Arial" w:cs="Arial" w:eastAsia="Arial" w:hAnsi="Arial"/>
          <w:sz w:val="18"/>
          <w:szCs w:val="18"/>
          <w:color w:val="auto"/>
        </w:rPr>
        <w:t>our total backlog. As of December 31, 2024, our consolidated backlog totaled $1.4 billion. Backlog is not necessarily a</w:t>
      </w:r>
    </w:p>
    <w:p>
      <w:pPr>
        <w:spacing w:after="0" w:line="235" w:lineRule="auto"/>
        <w:rPr>
          <w:sz w:val="20"/>
          <w:szCs w:val="20"/>
          <w:color w:val="auto"/>
        </w:rPr>
      </w:pPr>
      <w:r>
        <w:rPr>
          <w:rFonts w:ascii="Arial" w:cs="Arial" w:eastAsia="Arial" w:hAnsi="Arial"/>
          <w:sz w:val="18"/>
          <w:szCs w:val="18"/>
          <w:color w:val="auto"/>
        </w:rPr>
        <w:t>reliable indicator of revenues derived from our contracts as (i) services are often added but may sometimes be</w:t>
      </w:r>
    </w:p>
    <w:p>
      <w:pPr>
        <w:spacing w:after="0" w:line="235" w:lineRule="auto"/>
        <w:rPr>
          <w:sz w:val="20"/>
          <w:szCs w:val="20"/>
          <w:color w:val="auto"/>
        </w:rPr>
      </w:pPr>
      <w:r>
        <w:rPr>
          <w:rFonts w:ascii="Arial" w:cs="Arial" w:eastAsia="Arial" w:hAnsi="Arial"/>
          <w:sz w:val="18"/>
          <w:szCs w:val="18"/>
          <w:color w:val="auto"/>
        </w:rPr>
        <w:t>subtracted; (ii) contracts may be renegotiated, deferred, canceled and in many cases modified while in progress; and (iii)</w:t>
      </w:r>
    </w:p>
    <w:p>
      <w:pPr>
        <w:spacing w:after="0" w:line="234" w:lineRule="auto"/>
        <w:rPr>
          <w:sz w:val="20"/>
          <w:szCs w:val="20"/>
          <w:color w:val="auto"/>
        </w:rPr>
      </w:pPr>
      <w:r>
        <w:rPr>
          <w:rFonts w:ascii="Arial" w:cs="Arial" w:eastAsia="Arial" w:hAnsi="Arial"/>
          <w:sz w:val="18"/>
          <w:szCs w:val="18"/>
          <w:color w:val="auto"/>
        </w:rPr>
        <w:t>reduced rates, fines and penalties may be imposed by our customers. Furthermore, our contracts are in certain cases</w:t>
      </w:r>
    </w:p>
    <w:p>
      <w:pPr>
        <w:spacing w:after="0" w:line="235" w:lineRule="auto"/>
        <w:rPr>
          <w:sz w:val="20"/>
          <w:szCs w:val="20"/>
          <w:color w:val="auto"/>
        </w:rPr>
      </w:pPr>
      <w:r>
        <w:rPr>
          <w:rFonts w:ascii="Arial" w:cs="Arial" w:eastAsia="Arial" w:hAnsi="Arial"/>
          <w:sz w:val="18"/>
          <w:szCs w:val="18"/>
          <w:color w:val="auto"/>
        </w:rPr>
        <w:t>cancelable without penalty. If there are cancellation fees, the amount of those fees can be substantially less than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backlog.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U.S. generally accepted accounting principles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79"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178"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net other income or expense, and depreciation and amortization expense. To arrive at our measure of Adjusted EBITDA, we exclude gains or losses on disposition of assets, long-lived asset impairment losses, acquisition and integration costs, gains or losses related to convertible senior notes, the change in fair value of contingent consideration and the general provision for (release of)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consolidated financial statements unless otherwise noted.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net income (loss) to EBITDA and Adjusted EBITDA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2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29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tcBorders>
            <w:gridSpan w:val="2"/>
          </w:tcPr>
          <w:p>
            <w:pPr>
              <w:jc w:val="right"/>
              <w:ind w:right="12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tcBorders>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30,827</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55,637</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(10,838)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line="202" w:lineRule="exact"/>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2"/>
          </w:tcPr>
          <w:p>
            <w:pPr>
              <w:jc w:val="right"/>
              <w:ind w:right="34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58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26,427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3,922</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187,382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173,292</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164,116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254,029</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281,907</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192,558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line="196" w:lineRule="exact"/>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18,064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provision for (release of) current expected credit losses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271,957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303,147</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273,403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7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5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20" w:top="513" w:right="10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2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29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96"/>
        </w:trPr>
        <w:tc>
          <w:tcPr>
            <w:tcW w:w="5420" w:type="dxa"/>
            <w:vAlign w:val="bottom"/>
          </w:tcPr>
          <w:p>
            <w:pPr>
              <w:spacing w:after="0"/>
              <w:rPr>
                <w:sz w:val="17"/>
                <w:szCs w:val="17"/>
                <w:color w:val="auto"/>
              </w:rPr>
            </w:pPr>
          </w:p>
        </w:tc>
        <w:tc>
          <w:tcPr>
            <w:tcW w:w="48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2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136,749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186,028</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152,457</w:t>
            </w:r>
          </w:p>
        </w:tc>
      </w:tr>
      <w:tr>
        <w:trPr>
          <w:trHeight w:val="184"/>
        </w:trPr>
        <w:tc>
          <w:tcPr>
            <w:tcW w:w="5420" w:type="dxa"/>
            <w:vAlign w:val="bottom"/>
          </w:tcPr>
          <w:p>
            <w:pPr>
              <w:ind w:left="100"/>
              <w:spacing w:after="0" w:line="183" w:lineRule="exact"/>
              <w:rPr>
                <w:sz w:val="20"/>
                <w:szCs w:val="20"/>
                <w:color w:val="auto"/>
              </w:rPr>
            </w:pPr>
            <w:r>
              <w:rPr>
                <w:rFonts w:ascii="Arial" w:cs="Arial" w:eastAsia="Arial" w:hAnsi="Arial"/>
                <w:sz w:val="18"/>
                <w:szCs w:val="18"/>
                <w:color w:val="auto"/>
              </w:rPr>
              <w:t>Less: Capital expenditures, net of proceeds from asset sales and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1"/>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insurance recoveries</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w:t>
            </w:r>
          </w:p>
        </w:tc>
      </w:tr>
      <w:tr>
        <w:trPr>
          <w:trHeight w:val="196"/>
        </w:trPr>
        <w:tc>
          <w:tcPr>
            <w:tcW w:w="5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120,407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163,188</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133,798</w:t>
            </w: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60" w:type="dxa"/>
            <w:vAlign w:val="bottom"/>
          </w:tcPr>
          <w:p>
            <w:pPr>
              <w:spacing w:after="0"/>
              <w:rPr>
                <w:sz w:val="19"/>
                <w:szCs w:val="19"/>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9"/>
                <w:szCs w:val="19"/>
                <w:color w:val="auto"/>
              </w:rPr>
            </w:pPr>
          </w:p>
        </w:tc>
      </w:tr>
      <w:tr>
        <w:trPr>
          <w:trHeight w:val="196"/>
        </w:trPr>
        <w:tc>
          <w:tcPr>
            <w:tcW w:w="4960" w:type="dxa"/>
            <w:vAlign w:val="bottom"/>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1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307,995</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315,157</w:t>
            </w:r>
          </w:p>
        </w:tc>
      </w:tr>
      <w:tr>
        <w:trPr>
          <w:trHeight w:val="203"/>
        </w:trPr>
        <w:tc>
          <w:tcPr>
            <w:tcW w:w="49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Less: Cash and cash equivalents</w:t>
            </w:r>
          </w:p>
        </w:tc>
        <w:tc>
          <w:tcPr>
            <w:tcW w:w="16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(445,196)</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(368,030)</w:t>
            </w:r>
          </w:p>
        </w:tc>
      </w:tr>
      <w:tr>
        <w:trPr>
          <w:trHeight w:val="196"/>
        </w:trPr>
        <w:tc>
          <w:tcPr>
            <w:tcW w:w="4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1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(137,201)</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(52,873)</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2025 and 2024</w:t>
      </w:r>
    </w:p>
    <w:p>
      <w:pPr>
        <w:spacing w:after="0" w:line="212"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consolidated financial statements. The following table details various financial and operational highlights for the periods presented (dollars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Increase/(Decrease)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4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Amount</w:t>
            </w:r>
          </w:p>
        </w:tc>
        <w:tc>
          <w:tcPr>
            <w:tcW w:w="9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 Percent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729,371</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829,862</w:t>
            </w:r>
          </w:p>
        </w:tc>
        <w:tc>
          <w:tcPr>
            <w:tcW w:w="4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(100,491)</w:t>
            </w:r>
          </w:p>
        </w:tc>
        <w:tc>
          <w:tcPr>
            <w:tcW w:w="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323,353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297,678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25,675</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199,633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186,979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12,654</w:t>
            </w:r>
          </w:p>
        </w:tc>
        <w:tc>
          <w:tcPr>
            <w:tcW w:w="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72,693</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88,709</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(16,016)</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(33,576)</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(44,668)</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11,092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1,291,474</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(67,086)</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40,594</w:t>
            </w:r>
          </w:p>
        </w:tc>
        <w:tc>
          <w:tcPr>
            <w:tcW w:w="2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110,612</w:t>
            </w:r>
          </w:p>
        </w:tc>
        <w:tc>
          <w:tcPr>
            <w:tcW w:w="4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(70,018)</w:t>
            </w:r>
          </w:p>
        </w:tc>
        <w:tc>
          <w:tcPr>
            <w:tcW w:w="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81,781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88,287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(6,506)</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17,932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18,709</w:t>
            </w:r>
          </w:p>
        </w:tc>
        <w:tc>
          <w:tcPr>
            <w:tcW w:w="8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2,408 %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21,147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23,766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(2,619)</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(2,316)</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(2,324)</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159,138</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219,564</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(60,426)</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6 %</w:t>
            </w:r>
          </w:p>
        </w:tc>
        <w:tc>
          <w:tcPr>
            <w:tcW w:w="1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13 %</w:t>
            </w:r>
          </w:p>
        </w:tc>
        <w:tc>
          <w:tcPr>
            <w:tcW w:w="160" w:type="dxa"/>
            <w:vAlign w:val="bottom"/>
          </w:tcPr>
          <w:p>
            <w:pPr>
              <w:spacing w:after="0"/>
              <w:rPr>
                <w:sz w:val="17"/>
                <w:szCs w:val="17"/>
                <w:color w:val="auto"/>
              </w:rPr>
            </w:pPr>
          </w:p>
        </w:tc>
        <w:tc>
          <w:tcPr>
            <w:tcW w:w="10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25 %</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9 %</w:t>
            </w:r>
          </w:p>
        </w:tc>
        <w:tc>
          <w:tcPr>
            <w:tcW w:w="1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10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12 %</w:t>
            </w:r>
          </w:p>
        </w:tc>
        <w:tc>
          <w:tcPr>
            <w:tcW w:w="1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16 %</w:t>
            </w:r>
          </w:p>
        </w:tc>
        <w:tc>
          <w:tcPr>
            <w:tcW w:w="160" w:type="dxa"/>
            <w:vAlign w:val="bottom"/>
          </w:tcPr>
          <w:p>
            <w:pPr>
              <w:spacing w:after="0"/>
              <w:rPr>
                <w:sz w:val="17"/>
                <w:szCs w:val="17"/>
                <w:color w:val="auto"/>
              </w:rPr>
            </w:pPr>
          </w:p>
        </w:tc>
        <w:tc>
          <w:tcPr>
            <w:tcW w:w="10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80" w:type="dxa"/>
            <w:vAlign w:val="bottom"/>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 / 72</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 / 90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48 / 59 %</w:t>
            </w:r>
          </w:p>
        </w:tc>
        <w:tc>
          <w:tcPr>
            <w:tcW w:w="1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47 / 69 %</w:t>
            </w:r>
          </w:p>
        </w:tc>
        <w:tc>
          <w:tcPr>
            <w:tcW w:w="160" w:type="dxa"/>
            <w:vAlign w:val="bottom"/>
          </w:tcPr>
          <w:p>
            <w:pPr>
              <w:spacing w:after="0"/>
              <w:rPr>
                <w:sz w:val="17"/>
                <w:szCs w:val="17"/>
                <w:color w:val="auto"/>
              </w:rPr>
            </w:pPr>
          </w:p>
        </w:tc>
        <w:tc>
          <w:tcPr>
            <w:tcW w:w="10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 / 88 %</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 / 92 %</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 / 53 %</w:t>
            </w:r>
          </w:p>
        </w:tc>
        <w:tc>
          <w:tcPr>
            <w:tcW w:w="160" w:type="dxa"/>
            <w:vAlign w:val="bottom"/>
          </w:tcPr>
          <w:p>
            <w:pPr>
              <w:spacing w:after="0"/>
              <w:rPr>
                <w:sz w:val="17"/>
                <w:szCs w:val="17"/>
                <w:color w:val="auto"/>
              </w:rPr>
            </w:pPr>
          </w:p>
        </w:tc>
        <w:tc>
          <w:tcPr>
            <w:tcW w:w="12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 / 60 %</w:t>
            </w:r>
          </w:p>
        </w:tc>
        <w:tc>
          <w:tcPr>
            <w:tcW w:w="160" w:type="dxa"/>
            <w:vAlign w:val="bottom"/>
          </w:tcPr>
          <w:p>
            <w:pPr>
              <w:spacing w:after="0"/>
              <w:rPr>
                <w:sz w:val="17"/>
                <w:szCs w:val="17"/>
                <w:color w:val="auto"/>
              </w:rPr>
            </w:pPr>
          </w:p>
        </w:tc>
        <w:tc>
          <w:tcPr>
            <w:tcW w:w="10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 / 28 %</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 / 24 %</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15259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40" w:hanging="639"/>
        <w:spacing w:after="0" w:line="24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65" w:lineRule="exact"/>
        <w:rPr>
          <w:rFonts w:ascii="Arial" w:cs="Arial" w:eastAsia="Arial" w:hAnsi="Arial"/>
          <w:sz w:val="18"/>
          <w:szCs w:val="18"/>
          <w:color w:val="auto"/>
        </w:rPr>
      </w:pPr>
    </w:p>
    <w:p>
      <w:pPr>
        <w:ind w:left="640" w:right="240" w:hanging="639"/>
        <w:spacing w:after="0" w:line="25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(excluding vessel charter off-hire days) in the applicable period.</w:t>
      </w:r>
    </w:p>
    <w:p>
      <w:pPr>
        <w:spacing w:after="0" w:line="60"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198"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760" w:type="dxa"/>
            <w:vAlign w:val="bottom"/>
          </w:tcPr>
          <w:p>
            <w:pPr>
              <w:spacing w:after="0"/>
              <w:rPr>
                <w:sz w:val="17"/>
                <w:szCs w:val="17"/>
                <w:color w:val="auto"/>
              </w:rPr>
            </w:pPr>
          </w:p>
        </w:tc>
        <w:tc>
          <w:tcPr>
            <w:tcW w:w="172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380" w:type="dxa"/>
            <w:vAlign w:val="bottom"/>
            <w:gridSpan w:val="3"/>
          </w:tcPr>
          <w:p>
            <w:pPr>
              <w:jc w:val="right"/>
              <w:ind w:right="47"/>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6,390</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(6,390)</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33,512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38,039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(4,527)</w:t>
            </w: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r>
      <w:tr>
        <w:trPr>
          <w:trHeight w:val="196"/>
        </w:trPr>
        <w:tc>
          <w:tcPr>
            <w:tcW w:w="3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33,576</w:t>
            </w:r>
          </w:p>
        </w:tc>
        <w:tc>
          <w:tcPr>
            <w:tcW w:w="2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44,668</w:t>
            </w:r>
          </w:p>
        </w:tc>
        <w:tc>
          <w:tcPr>
            <w:tcW w:w="26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(11,092)</w:t>
            </w:r>
          </w:p>
        </w:tc>
      </w:tr>
      <w:tr>
        <w:trPr>
          <w:trHeight w:val="20"/>
        </w:trPr>
        <w:tc>
          <w:tcPr>
            <w:tcW w:w="3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significant financial statement items below the gross profit (loss) line (in thousands):</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12076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0765" cy="137160"/>
                    </a:xfrm>
                    <a:prstGeom prst="rect">
                      <a:avLst/>
                    </a:prstGeom>
                    <a:noFill/>
                  </pic:spPr>
                </pic:pic>
              </a:graphicData>
            </a:graphic>
          </wp:anchor>
        </w:drawing>
      </w:r>
    </w:p>
    <w:p>
      <w:pPr>
        <w:spacing w:after="0" w:line="7" w:lineRule="exact"/>
        <w:rPr>
          <w:sz w:val="20"/>
          <w:szCs w:val="20"/>
          <w:color w:val="auto"/>
        </w:rPr>
      </w:pPr>
    </w:p>
    <w:p>
      <w:pPr>
        <w:ind w:right="1860"/>
        <w:spacing w:after="0" w:line="234" w:lineRule="auto"/>
        <w:rPr>
          <w:sz w:val="20"/>
          <w:szCs w:val="20"/>
          <w:color w:val="auto"/>
        </w:rPr>
      </w:pPr>
      <w:r>
        <w:rPr>
          <w:rFonts w:ascii="Arial" w:cs="Arial" w:eastAsia="Arial" w:hAnsi="Arial"/>
          <w:sz w:val="18"/>
          <w:szCs w:val="18"/>
          <w:color w:val="auto"/>
        </w:rPr>
        <w:t>Selling, general and administrative expenses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612076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20765" cy="12890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Losses related to convertible senior notes</w:t>
      </w:r>
    </w:p>
    <w:p>
      <w:pPr>
        <w:spacing w:after="0" w:line="235" w:lineRule="auto"/>
        <w:rPr>
          <w:sz w:val="20"/>
          <w:szCs w:val="20"/>
          <w:color w:val="auto"/>
        </w:rPr>
      </w:pPr>
      <w:r>
        <w:rPr>
          <w:rFonts w:ascii="Arial" w:cs="Arial" w:eastAsia="Arial" w:hAnsi="Arial"/>
          <w:sz w:val="18"/>
          <w:szCs w:val="18"/>
          <w:color w:val="auto"/>
        </w:rPr>
        <w:t>Other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612076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0765"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620" w:type="dxa"/>
            <w:vAlign w:val="bottom"/>
            <w:tcBorders>
              <w:top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r>
      <w:tr>
        <w:trPr>
          <w:trHeight w:val="177"/>
        </w:trPr>
        <w:tc>
          <w:tcPr>
            <w:tcW w:w="140" w:type="dxa"/>
            <w:vAlign w:val="bottom"/>
          </w:tcPr>
          <w:p>
            <w:pPr>
              <w:spacing w:after="0"/>
              <w:rPr>
                <w:sz w:val="15"/>
                <w:szCs w:val="15"/>
                <w:color w:val="auto"/>
              </w:rPr>
            </w:pPr>
          </w:p>
        </w:tc>
        <w:tc>
          <w:tcPr>
            <w:tcW w:w="320" w:type="dxa"/>
            <w:vAlign w:val="bottom"/>
            <w:tcBorders>
              <w:top w:val="single" w:sz="8" w:color="auto"/>
            </w:tcBorders>
            <w:gridSpan w:val="2"/>
          </w:tcPr>
          <w:p>
            <w:pPr>
              <w:jc w:val="right"/>
              <w:ind w:right="220"/>
              <w:spacing w:after="0" w:line="177"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18,064</w:t>
            </w:r>
          </w:p>
        </w:tc>
        <w:tc>
          <w:tcPr>
            <w:tcW w:w="280" w:type="dxa"/>
            <w:vAlign w:val="bottom"/>
          </w:tcPr>
          <w:p>
            <w:pPr>
              <w:spacing w:after="0"/>
              <w:rPr>
                <w:sz w:val="15"/>
                <w:szCs w:val="15"/>
                <w:color w:val="auto"/>
              </w:rPr>
            </w:pPr>
          </w:p>
        </w:tc>
        <w:tc>
          <w:tcPr>
            <w:tcW w:w="34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75,939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91,650</w:t>
            </w: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20,922</w:t>
            </w:r>
          </w:p>
        </w:tc>
      </w:tr>
      <w:tr>
        <w:trPr>
          <w:trHeight w:val="203"/>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1,390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r>
      <w:tr>
        <w:trPr>
          <w:trHeight w:val="239"/>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11,653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26,427</w:t>
            </w:r>
          </w:p>
        </w:tc>
      </w:tr>
    </w:tbl>
    <w:p>
      <w:pPr>
        <w:spacing w:after="0" w:line="166" w:lineRule="exact"/>
        <w:rPr>
          <w:sz w:val="20"/>
          <w:szCs w:val="20"/>
          <w:color w:val="auto"/>
        </w:rPr>
      </w:pPr>
    </w:p>
    <w:p>
      <w:pPr>
        <w:sectPr>
          <w:pgSz w:w="11900" w:h="16838" w:orient="portrait"/>
          <w:cols w:equalWidth="0" w:num="2">
            <w:col w:w="5440" w:space="720"/>
            <w:col w:w="3480"/>
          </w:cols>
          <w:pgMar w:left="1120" w:top="513" w:right="1139" w:bottom="1440" w:gutter="0" w:footer="0" w:header="0"/>
          <w:type w:val="continuous"/>
        </w:sectPr>
      </w:pPr>
    </w:p>
    <w:p>
      <w:pPr>
        <w:ind w:right="1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decreased by 5% in 2025 as compared to 2024, reflecting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 our Well Intervention and Production Facilities business segments, offset in part by higher revenues in our Robotics and Shallow Water Abandonment segments.</w:t>
      </w:r>
    </w:p>
    <w:p>
      <w:pPr>
        <w:spacing w:after="0" w:line="16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revenues decreased by 12% in 2025 as compared to 2024, primarily reflecting overall lower utilization, offset in part by higher rates during 2025. Utilization declined primarily due to the stacking of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in the North Sea during the entirety of 2025 whereas the vessel had 86% utilization during 2024. Utilization also declined as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collectively underwent 131 docking days during 2025 as compared to 10 days on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during 2024. Additionally, revenues in 2024 included $14 million of contract cancellation fees related to work that had been planned for 2025. Revenue decreases were offset in part by higher rates on the </w:t>
      </w:r>
      <w:r>
        <w:rPr>
          <w:rFonts w:ascii="Arial" w:cs="Arial" w:eastAsia="Arial" w:hAnsi="Arial"/>
          <w:sz w:val="18"/>
          <w:szCs w:val="18"/>
          <w:i w:val="1"/>
          <w:iCs w:val="1"/>
          <w:color w:val="auto"/>
        </w:rPr>
        <w:t>Well Enhancer</w:t>
      </w:r>
      <w:r>
        <w:rPr>
          <w:rFonts w:ascii="Arial" w:cs="Arial" w:eastAsia="Arial" w:hAnsi="Arial"/>
          <w:sz w:val="18"/>
          <w:szCs w:val="18"/>
          <w:color w:val="auto"/>
        </w:rPr>
        <w:t>, and in Brazil in 2025.</w:t>
      </w:r>
    </w:p>
    <w:p>
      <w:pPr>
        <w:spacing w:after="0" w:line="18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Robotics revenues increased by 9% in 2025 as compared to 2024, primarily reflecting increased trenching on third party vessels and higher project rates on our vessel activities, offset in part by lower overall vessel and ROV utilization during 2025. Robotics generated 483 days of trenching on third-party vessels during 2025 as compared to 167 days during 2024. However, vessel utilization decreased to 1,808 days (including 75 spot vessel days at full utilization) during 2025 as compared to 1,901 days (including 371 spot vessel days at full utilization) during 2024. Included in vessel days are integrated vessel trenching days, which decreased to 635 days in 2025 as compared to 835 days in 2024, and site clearance vessel days, which increased to 503 days as compared to 325 days in 2024. Overall ROV utilization decreased to 59% during 2025 as compared to 69% during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240" w:firstLine="648"/>
        <w:spacing w:after="0" w:line="244" w:lineRule="auto"/>
        <w:rPr>
          <w:sz w:val="20"/>
          <w:szCs w:val="20"/>
          <w:color w:val="auto"/>
        </w:rPr>
      </w:pPr>
      <w:r>
        <w:rPr>
          <w:rFonts w:ascii="Arial" w:cs="Arial" w:eastAsia="Arial" w:hAnsi="Arial"/>
          <w:sz w:val="18"/>
          <w:szCs w:val="18"/>
          <w:color w:val="auto"/>
        </w:rPr>
        <w:t xml:space="preserve">Our Shallow Water Abandonment revenues increased by 7% in 2025 as compared to 2024. The increase in revenues was primarily due to higher utilization on our systems and on the </w:t>
      </w:r>
      <w:r>
        <w:rPr>
          <w:rFonts w:ascii="Arial" w:cs="Arial" w:eastAsia="Arial" w:hAnsi="Arial"/>
          <w:sz w:val="18"/>
          <w:szCs w:val="18"/>
          <w:i w:val="1"/>
          <w:iCs w:val="1"/>
          <w:color w:val="auto"/>
        </w:rPr>
        <w:t>Epic Hedron</w:t>
      </w:r>
      <w:r>
        <w:rPr>
          <w:rFonts w:ascii="Arial" w:cs="Arial" w:eastAsia="Arial" w:hAnsi="Arial"/>
          <w:sz w:val="18"/>
          <w:szCs w:val="18"/>
          <w:color w:val="auto"/>
        </w:rPr>
        <w:t xml:space="preserve"> heavy lift barge. P&amp;A systems and CT systems achieved 2,686 days of utilization, or 28%, during 2025 as compared to 2,281 days of utilization, or 24%, during 2024. Utilization on the </w:t>
      </w:r>
      <w:r>
        <w:rPr>
          <w:rFonts w:ascii="Arial" w:cs="Arial" w:eastAsia="Arial" w:hAnsi="Arial"/>
          <w:sz w:val="18"/>
          <w:szCs w:val="18"/>
          <w:i w:val="1"/>
          <w:iCs w:val="1"/>
          <w:color w:val="auto"/>
        </w:rPr>
        <w:t>Epic Hedron</w:t>
      </w:r>
      <w:r>
        <w:rPr>
          <w:rFonts w:ascii="Arial" w:cs="Arial" w:eastAsia="Arial" w:hAnsi="Arial"/>
          <w:sz w:val="18"/>
          <w:szCs w:val="18"/>
          <w:color w:val="auto"/>
        </w:rPr>
        <w:t xml:space="preserve"> heavy lift barge was 58% during 2025 as compared to 44% during 2024. Vessel utilization (excluding heavy lift) declined to 53% during 2025 as compared to 61% during 2024.</w:t>
      </w:r>
    </w:p>
    <w:p>
      <w:pPr>
        <w:spacing w:after="0" w:line="176"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Our Production Facilities revenues decreased by 18% in 2025 as compared to 2024, primarily reflecting lower oil and gas production volumes with the Thunder Hawk field being shut in during 2025 after having had approximately seven months of production in 2024. The Droshky field had lower production in 2025 as compared to 2024 and realized oil prices were lower by 12% year over year.</w:t>
      </w:r>
    </w:p>
    <w:p>
      <w:pPr>
        <w:spacing w:after="0" w:line="17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2025 gross profit decreased by $60.4 million as compared to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reduced profitability from our Well Intervention, Robotics and Production Facilities business segments, offset in part by increased profitability from our Shallow Water Abandonment segment.</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Our Well Intervention gross profit decreased by $70.0 million in 2025 as compared to 2024, primarily reflecting lower overall revenues, offset in part by lower vessel costs on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due to the vessel being warm-stacked in 2025 and higher cost deferrals related to the dockings during 2025.</w:t>
      </w:r>
    </w:p>
    <w:p>
      <w:pPr>
        <w:spacing w:after="0" w:line="169"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Our Robotics gross profit decreased by $6.5 million in 2025 as compared to 2024, primarily reflecting lower margins on certain projects due to the mix of contracting, offset in part by higher revenues during 2025.</w:t>
      </w:r>
    </w:p>
    <w:p>
      <w:pPr>
        <w:spacing w:after="0" w:line="154"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Our Shallow Water Abandonment gross profit was $17.9 million in 2025 as compared to a gross loss of $0.8 million in 2024, primarily reflecting higher overall revenues and higher margin contracting during 2025.</w:t>
      </w:r>
    </w:p>
    <w:p>
      <w:pPr>
        <w:spacing w:after="0" w:line="154"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Our Production Facilities gross profit decreased by $ 2.6 million in 2025 as compared to 2024, primarily due to lower revenues, offset in part by lower workover costs on the Thunder Hawk field during 2025.</w:t>
      </w:r>
    </w:p>
    <w:p>
      <w:pPr>
        <w:spacing w:after="0" w:line="154" w:lineRule="exact"/>
        <w:rPr>
          <w:sz w:val="20"/>
          <w:szCs w:val="20"/>
          <w:color w:val="auto"/>
        </w:rPr>
      </w:pPr>
    </w:p>
    <w:p>
      <w:pPr>
        <w:ind w:right="44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Long-Lived Asset Impairment. </w:t>
      </w:r>
      <w:r>
        <w:rPr>
          <w:rFonts w:ascii="Arial" w:cs="Arial" w:eastAsia="Arial" w:hAnsi="Arial"/>
          <w:sz w:val="18"/>
          <w:szCs w:val="18"/>
          <w:color w:val="auto"/>
        </w:rPr>
        <w:t>The $18.1 million non-cash impairment loss in 2025 was attributable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of the remaining net book value of the Thunder Hawk field (Note 5).</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$75.9 million in 2025 as compared to $91.7 million in 2024, primarily reflecting decreases in employee compensation-</w:t>
      </w:r>
    </w:p>
    <w:p>
      <w:pPr>
        <w:spacing w:after="0"/>
        <w:rPr>
          <w:sz w:val="20"/>
          <w:szCs w:val="20"/>
          <w:color w:val="auto"/>
        </w:rPr>
      </w:pPr>
      <w:r>
        <w:rPr>
          <w:rFonts w:ascii="Arial" w:cs="Arial" w:eastAsia="Arial" w:hAnsi="Arial"/>
          <w:sz w:val="18"/>
          <w:szCs w:val="18"/>
          <w:color w:val="auto"/>
        </w:rPr>
        <w:t>related costs during 2025.</w:t>
      </w:r>
    </w:p>
    <w:p>
      <w:pPr>
        <w:spacing w:after="0" w:line="194"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$22.8 million in 2025 as compared to $22.6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primarily reflecting lower interest income on our invested cash (Note 7).</w:t>
      </w:r>
    </w:p>
    <w:p>
      <w:pPr>
        <w:spacing w:after="0" w:line="154" w:lineRule="exact"/>
        <w:rPr>
          <w:sz w:val="20"/>
          <w:szCs w:val="20"/>
          <w:color w:val="auto"/>
        </w:rPr>
      </w:pPr>
    </w:p>
    <w:p>
      <w:pPr>
        <w:jc w:val="both"/>
        <w:ind w:right="12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losses during 2024 were associated with the redemption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Convertible Senior Notes due 2026 (the “2026 Notes”) (Note 7).</w:t>
      </w:r>
    </w:p>
    <w:p>
      <w:pPr>
        <w:spacing w:after="0" w:line="154"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$ 1.4 million in 2025 as compared to $3.9 million in 2024,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a $2.4 million charge in 2024 associated with the increase in the value of incentive credits issued to the seller of P&amp;A equipment acquired in 2023.</w:t>
      </w:r>
    </w:p>
    <w:p>
      <w:pPr>
        <w:spacing w:after="0" w:line="16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$11.7 million for 2025 as compared to $ 26.4 million for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 tax rate for 2025 was impacted by certain discrete items, additional foreign tax credit benefits and the jurisdictional mix of earnings. The effective rate for 2024 was impacted by the non-deductibility of certain losses associated with the 2026 Notes Redemptions, which was characterized as a discrete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2024 and 2023</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Various financial and operational highlights for the years ended December 31, 2024 and 2023 were previously presented in our 2024 Annual Report on Form 10-K.</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56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Pr>
          <w:p>
            <w:pPr>
              <w:spacing w:after="0"/>
              <w:rPr>
                <w:sz w:val="19"/>
                <w:szCs w:val="19"/>
                <w:color w:val="auto"/>
              </w:rPr>
            </w:pPr>
          </w:p>
        </w:tc>
        <w:tc>
          <w:tcPr>
            <w:tcW w:w="1580" w:type="dxa"/>
            <w:vAlign w:val="bottom"/>
            <w:vMerge w:val="restart"/>
          </w:tcPr>
          <w:p>
            <w:pPr>
              <w:ind w:left="14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1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525,314</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405,266</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298,351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305,971</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553,550</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429,586</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Long-term debt in the table above, presented net of unamortized debt discount and debt issuance costs, includes the 2029 Notes and the MARAD Debt, excluding current maturities of $9.6 million and $9.2 million, respectively, at December 31, 2025 and 2024. For information relating to our long-term debt, see Note 7 to our consolidated financial statements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We define liquidity as cash and cash equivalents plus available capacity under our credit facility, but excluding cash pledged as collateral toward the Amended ABL Facility. Our liquidity at December 31, 2025 included $445.2 million of cash and cash equivalents and $110.9 million of available borrowing capacity under the Amended ABL Facility (Note 7) and excluded $2.5 million of pledged cash. Our liquidity at December 31, 2024 included $368.0 million of cash and cash equivalents and $66.6 million of available borrowing capacity under the Amended ABL Facility and excluded $5.0 million of pledged cash.</w:t>
      </w:r>
    </w:p>
    <w:p>
      <w:pPr>
        <w:spacing w:after="0" w:line="179"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except for the issuance of letters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summary data from our consolidated statements of cash flows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44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136,749</w:t>
            </w: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186,028</w:t>
            </w:r>
          </w:p>
        </w:tc>
        <w:tc>
          <w:tcPr>
            <w:tcW w:w="5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152,457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(22,840)</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6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(45,059)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(125,310)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3460" w:type="dxa"/>
            <w:vAlign w:val="bottom"/>
          </w:tcPr>
          <w:p>
            <w:pPr>
              <w:spacing w:after="0"/>
              <w:rPr>
                <w:sz w:val="24"/>
                <w:szCs w:val="24"/>
                <w:color w:val="auto"/>
              </w:rPr>
            </w:pPr>
          </w:p>
        </w:tc>
        <w:tc>
          <w:tcPr>
            <w:tcW w:w="220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20" w:top="513" w:right="10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Cash flows provided by operating activities for 2025 decreased as compared to 2024 despite the absence of an earnout payment, primarily reflecting lower earnings, higher regulatory certification costs on our vessels and systems and net working capital outflows. Our operating cash outflows during 2024 included $58.3 million of the $85.0 million earnout payment on April 3, 2024. Regulatory certification costs, which are considered part of our capital spending program but are classified in operating cash flows, were $52.0 million in 2025 compared to $35.4 million in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Cash flows used in investing activities for 2025 decreased as compared to 2024 primarily due to lower capital expenditures in our Well Intervention and Robotics segments.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Net cash outflows from financing activities for 2025 primarily reflect the repurchases of $30.2 million in our common stock under the 2023 Repurchase Program and related excise tax payments, principal repayment of $9.2 million related to the MARAD Debt and payments in satisfaction of tax obligations upon vesting of share-based awards.</w:t>
      </w:r>
    </w:p>
    <w:p>
      <w:pPr>
        <w:spacing w:after="0" w:line="169"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Net cash outflows from financing activities for 2024 primarily reflect cash outflows of $60.7 million related to the 2026 Notes, $ 26.7 million of the $ 85.0 million earnout payment, the principal repayment of $8.7 million related to the MARAD Debt and $29.6 million in repurchases of our common stock under the 2023 Repurchase Program. These outflows were offset in part by $4.4 million of cash inflows from the proportionate settlement of the 2026 Capped Calls.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operating lease obligations and property and equipment, as of December 31, 2025 and the portions of those amounts that are short-term (due in less than one year) and long-term (due in one year or greater) based on their stated terms. Our property and equipment commitments include contractually committed amounts to purchase and service certain property and equipment (inclusive of commitments related to regulatory certification and dry dock as discussed below) but do not include expected capital spending that is not contractually committed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5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Short-Term</w:t>
            </w:r>
          </w:p>
        </w:tc>
        <w:tc>
          <w:tcPr>
            <w:tcW w:w="460" w:type="dxa"/>
            <w:vAlign w:val="bottom"/>
            <w:gridSpan w:val="3"/>
          </w:tcPr>
          <w:p>
            <w:pPr>
              <w:jc w:val="right"/>
              <w:ind w:right="87"/>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c>
          <w:tcPr>
            <w:tcW w:w="3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5,001</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95,369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30,282</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65,087</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6,519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788,314</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164,733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623,581</w:t>
            </w:r>
          </w:p>
        </w:tc>
      </w:tr>
      <w:tr>
        <w:trPr>
          <w:trHeight w:val="196"/>
        </w:trPr>
        <w:tc>
          <w:tcPr>
            <w:tcW w:w="2400" w:type="dxa"/>
            <w:vAlign w:val="bottom"/>
          </w:tcPr>
          <w:p>
            <w:pPr>
              <w:ind w:left="100"/>
              <w:spacing w:after="0" w:line="196" w:lineRule="exact"/>
              <w:rPr>
                <w:sz w:val="20"/>
                <w:szCs w:val="20"/>
                <w:color w:val="auto"/>
              </w:rPr>
            </w:pPr>
            <w:r>
              <w:rPr>
                <w:rFonts w:ascii="Arial" w:cs="Arial" w:eastAsia="Arial" w:hAnsi="Arial"/>
                <w:sz w:val="18"/>
                <w:szCs w:val="18"/>
                <w:color w:val="auto"/>
              </w:rPr>
              <w:t>Total cash obligations</w:t>
            </w:r>
          </w:p>
        </w:tc>
        <w:tc>
          <w:tcPr>
            <w:tcW w:w="2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1,204,847</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211,178</w:t>
            </w:r>
          </w:p>
        </w:tc>
        <w:tc>
          <w:tcPr>
            <w:tcW w:w="300" w:type="dxa"/>
            <w:vAlign w:val="bottom"/>
            <w:gridSpan w:val="2"/>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993,669</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62" w:lineRule="exact"/>
        <w:rPr>
          <w:sz w:val="20"/>
          <w:szCs w:val="20"/>
          <w:color w:val="auto"/>
        </w:rPr>
      </w:pPr>
    </w:p>
    <w:p>
      <w:pPr>
        <w:ind w:left="640" w:right="200" w:hanging="639"/>
        <w:spacing w:after="0" w:line="24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including commitments related to leases executed but not yet commenced. At December 31, 2025, our commitment related to long-term vessel charters that have commenced totaled approximately $724.9 million, of which $366.9 million was related to the non-lease (services) components that are not included in operating lease liabilities in the consolidated balance sheet as of December 31, 2025.</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15).</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consolidated balance sheets, approximate $ 80.9 million (undiscounted) for Thunder Hawk field oil and gas properties and $37.1 million (undiscounted) for Droshky field oil and gas properties as of December 31, 2025. We are entitled to receive $30.0 million (undiscounted) from Marathon Oil Corporation as certain decommissioning obligations associated with Droshky field oil and gas properties are fulfilled.</w:t>
      </w:r>
    </w:p>
    <w:p>
      <w:pPr>
        <w:spacing w:after="0" w:line="176"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i w:val="1"/>
          <w:iCs w:val="1"/>
          <w:color w:val="auto"/>
        </w:rPr>
        <w:t xml:space="preserve">Regulatory certification and dry dock. </w:t>
      </w:r>
      <w:r>
        <w:rPr>
          <w:rFonts w:ascii="Arial" w:cs="Arial" w:eastAsia="Arial" w:hAnsi="Arial"/>
          <w:sz w:val="18"/>
          <w:szCs w:val="18"/>
          <w:color w:val="auto"/>
        </w:rPr>
        <w:t>Our vessels and systems are subject to certain regulatory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17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Although not currently expected to be utilized, we also have availability under the Amended ABL Facility and access to capital markets.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consolidated financial statements and related footnotes included in Item 8</w:t>
      </w:r>
      <w:r>
        <w:rPr>
          <w:rFonts w:ascii="Arial" w:cs="Arial" w:eastAsia="Arial" w:hAnsi="Arial"/>
          <w:sz w:val="18"/>
          <w:szCs w:val="18"/>
          <w:i w:val="1"/>
          <w:iCs w:val="1"/>
          <w:color w:val="auto"/>
        </w:rPr>
        <w:t>. Financial Statements and Supplementary Data</w:t>
      </w:r>
      <w:r>
        <w:rPr>
          <w:rFonts w:ascii="Arial" w:cs="Arial" w:eastAsia="Arial" w:hAnsi="Arial"/>
          <w:sz w:val="18"/>
          <w:szCs w:val="18"/>
          <w:color w:val="auto"/>
        </w:rPr>
        <w:t xml:space="preserve"> of this Annual Report,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We believe that the most critical accounting estimates are described below. See Note 2 to our consolidated financial statements for a detailed discussion on the application of our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ind w:right="80" w:firstLine="648"/>
        <w:spacing w:after="0" w:line="252" w:lineRule="auto"/>
        <w:rPr>
          <w:sz w:val="20"/>
          <w:szCs w:val="20"/>
          <w:color w:val="auto"/>
        </w:rPr>
      </w:pPr>
      <w:r>
        <w:rPr>
          <w:rFonts w:ascii="Arial" w:cs="Arial" w:eastAsia="Arial" w:hAnsi="Arial"/>
          <w:sz w:val="17"/>
          <w:szCs w:val="17"/>
          <w:color w:val="auto"/>
        </w:rPr>
        <w:t>We review our property and equipment for impairment indicators at least quarterly or whenever changes in facts and circumstances indicate that the carrying amount of the asset or asset group may not be recoverable. We evaluate impairment indicators considering the nature of the asset or asset group, the future economic benefits of the asset or asset group, historical and estimated future profitability measures, and other external market conditions or factors that may be present. We often estimate future earnings and cash flows of our assets to corroborate our determination of whether impairment indicators exist. If impairment indicators suggest that the carrying amount of an asset may not be recoverable, we determine whether an impairment has occurred by estimating undiscounted cash flows of the asset and comparing those cash flows to the asset’s carrying value. If the undiscounted cash flows are less than the asset’s carrying value (i.e., the asset is unrecoverable), impairment, if any, is recognized for the difference between the asset’s carrying value and its estimated fair value. The expected future cash flows used for the assessment of recoverability are based on judgmental assessments of operating costs, project margins and capital project spending, considering information available at the date of review. Because there usually is a lack of quoted market prices for long-lived assets, the fair value of impaired assets is typically determined based on the present values of expected future cash flows using discount rates believed to be consistent with those used by principal market participants or based on a multiple of operating cash flows validated with historical market transactions of similar assets where possible.</w:t>
      </w:r>
    </w:p>
    <w:p>
      <w:pPr>
        <w:spacing w:after="0" w:line="175" w:lineRule="exact"/>
        <w:rPr>
          <w:sz w:val="20"/>
          <w:szCs w:val="20"/>
          <w:color w:val="auto"/>
        </w:rPr>
      </w:pPr>
    </w:p>
    <w:p>
      <w:pPr>
        <w:jc w:val="both"/>
        <w:ind w:right="120" w:firstLine="648"/>
        <w:spacing w:after="0" w:line="247" w:lineRule="auto"/>
        <w:rPr>
          <w:sz w:val="20"/>
          <w:szCs w:val="20"/>
          <w:color w:val="auto"/>
        </w:rPr>
      </w:pPr>
      <w:r>
        <w:rPr>
          <w:rFonts w:ascii="Arial" w:cs="Arial" w:eastAsia="Arial" w:hAnsi="Arial"/>
          <w:sz w:val="18"/>
          <w:szCs w:val="18"/>
          <w:color w:val="auto"/>
        </w:rPr>
        <w:t>The review of property and equipment for impairment indicators, the projection of future cash flows of property and equipment, and the estimated fair value of any property and equipment that may be deemed unrecoverable involve significant judgment and estimation by our management. Changes to those judgments and estimations could require us to recognize impairment charges in the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12"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For discussion on the potential impact of new accounting standards issued but not yet adopted, see Note 2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12"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14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consolidated balance sheets. At December 31, 2025, approximately 57% of our net assets were impacted by changes in foreign currencies (primarily the British pound) in relation to the U.S. dollar. For the years ended December 31, 2025, 2024 and 2023, we recorded foreign currency translation gains (losses) of $ 63.1 million, $(17.6) million and $22.3 million, respectively, to accumulated other comprehensive loss. Deferred taxes have not been provided on foreign currency translation adjustments as any outside stock basis differences would be realized in a tax-free manner.</w:t>
      </w:r>
    </w:p>
    <w:p>
      <w:pPr>
        <w:spacing w:after="0" w:line="38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 ended December 31, 2025, we recorded net foreign currency losses of $1.7 million, primarily related to our international subsidiaries’ foreign currency positions. For the year ended December 31, 2024, we recorded foreign currency transaction losses of $1.5 million, primarily related to U.S. dollar denominated debt in our U.K. and Brazil entities. For the year ended December 31, 2023, we recorded foreign currency transaction losses of $4.4 million, primarily reflecting foreign currency losses of $15.7 million related to the devaluation of the Nigerian naira on our naira cash holdings, offset in part by foreign currency gains related to U.S. dollar denominated intercompany debt in our U.K. entities.</w:t>
      </w:r>
    </w:p>
    <w:p>
      <w:pPr>
        <w:spacing w:after="0" w:line="183"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the Amended ABL Facility or other debt subject to floating rates.</w:t>
      </w:r>
    </w:p>
    <w:p>
      <w:pPr>
        <w:spacing w:after="0" w:line="17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are exposed to market price risks related to oil and natural gas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offshore oil and gas production in our Production Facilities business. Prices are volatile and unpredictable and are dependent on many factors beyond our control.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 list of factors affecting oil and gas prices.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1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audited the accompanying consolidated balance sheets of Helix Energy Solutions Group, Inc. and subsidiaries (the Company) as of December 31, 2025 and 2024, the related consolidated statements of operations, comprehensive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income (loss), shareholders’ equity, and cash flows for each of the years in the three-year period ended December 31, 2025, and the related notes (collectively, the consolidated financial statements). In our opinion, the consolidated financial</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statements present fairly, in all material respects, the financial position of the Company as of December 31, 2025 and 2024, and the results of its operations and its cash flows for each of the years in the three-year period 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in conformity with U.S. generally accepted accounting principles.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also have audited, in accordance with the standards of the Public Company Accounting Oversight Board (United</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States) (PCAOB), the Company’s internal control over financial reporting as of December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w:t>
      </w:r>
    </w:p>
    <w:p>
      <w:pPr>
        <w:spacing w:after="0" w:line="1" w:lineRule="exact"/>
        <w:rPr>
          <w:sz w:val="20"/>
          <w:szCs w:val="20"/>
          <w:color w:val="auto"/>
        </w:rPr>
      </w:pPr>
    </w:p>
    <w:p>
      <w:pPr>
        <w:ind w:right="1020"/>
        <w:spacing w:after="0" w:line="250" w:lineRule="auto"/>
        <w:rPr>
          <w:sz w:val="20"/>
          <w:szCs w:val="20"/>
          <w:color w:val="auto"/>
        </w:rPr>
      </w:pPr>
      <w:r>
        <w:rPr>
          <w:rFonts w:ascii="Arial" w:cs="Arial" w:eastAsia="Arial" w:hAnsi="Arial"/>
          <w:sz w:val="18"/>
          <w:szCs w:val="18"/>
          <w:color w:val="auto"/>
        </w:rPr>
        <w:t>the Treadway Commission, and our report dated February 26, 2026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w:t>
      </w:r>
    </w:p>
    <w:p>
      <w:pPr>
        <w:spacing w:after="0" w:line="235" w:lineRule="auto"/>
        <w:rPr>
          <w:sz w:val="20"/>
          <w:szCs w:val="20"/>
          <w:color w:val="auto"/>
        </w:rPr>
      </w:pPr>
      <w:r>
        <w:rPr>
          <w:rFonts w:ascii="Arial" w:cs="Arial" w:eastAsia="Arial" w:hAnsi="Arial"/>
          <w:sz w:val="18"/>
          <w:szCs w:val="18"/>
          <w:color w:val="auto"/>
        </w:rPr>
        <w:t>registered with the PCAOB and are required to be independent with respect to the Company in accordance with the U.S.</w:t>
      </w:r>
    </w:p>
    <w:p>
      <w:pPr>
        <w:spacing w:after="0" w:line="219" w:lineRule="auto"/>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153"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material misstatement, whether due to error or fraud. Our audits included performing procedures to assess the risks of material misstatement of the consolidated financial statements, whether due to error or fraud, and performing procedures</w:t>
      </w:r>
    </w:p>
    <w:p>
      <w:pPr>
        <w:spacing w:after="0" w:line="236" w:lineRule="auto"/>
        <w:rPr>
          <w:sz w:val="20"/>
          <w:szCs w:val="20"/>
          <w:color w:val="auto"/>
        </w:rPr>
      </w:pPr>
      <w:r>
        <w:rPr>
          <w:rFonts w:ascii="Arial" w:cs="Arial" w:eastAsia="Arial" w:hAnsi="Arial"/>
          <w:sz w:val="18"/>
          <w:szCs w:val="18"/>
          <w:color w:val="auto"/>
        </w:rPr>
        <w:t>that respond to those risks. Such procedures included examining, on a test basis, evidence regarding the amounts and</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disclosures in the consolidated financial statements. Our audits also included evaluating the accounting principles used and significant estimates made by management, as well as evaluating the overall presentation of the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financial statements that was communicated or required to be communicated to the audit committee and that: (1) relates to accounts or disclosures that are material to the consolidated financial statements and (2) involved our especially</w:t>
      </w:r>
    </w:p>
    <w:p>
      <w:pPr>
        <w:spacing w:after="0" w:line="236" w:lineRule="auto"/>
        <w:rPr>
          <w:sz w:val="20"/>
          <w:szCs w:val="20"/>
          <w:color w:val="auto"/>
        </w:rPr>
      </w:pPr>
      <w:r>
        <w:rPr>
          <w:rFonts w:ascii="Arial" w:cs="Arial" w:eastAsia="Arial" w:hAnsi="Arial"/>
          <w:sz w:val="18"/>
          <w:szCs w:val="18"/>
          <w:color w:val="auto"/>
        </w:rPr>
        <w:t>challenging, subjective, or complex judgments. The communication of a critical audit matter does not alter in any way our</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property and equipment impairment triggering events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discussed in Note 2 to the consolidated financial statements, the Company evaluates property and equipment</w:t>
      </w:r>
    </w:p>
    <w:p>
      <w:pPr>
        <w:spacing w:after="0" w:line="14" w:lineRule="exact"/>
        <w:rPr>
          <w:sz w:val="20"/>
          <w:szCs w:val="20"/>
          <w:color w:val="auto"/>
        </w:rPr>
      </w:pPr>
    </w:p>
    <w:p>
      <w:pPr>
        <w:ind w:left="640" w:right="340"/>
        <w:spacing w:after="0" w:line="226" w:lineRule="auto"/>
        <w:rPr>
          <w:sz w:val="20"/>
          <w:szCs w:val="20"/>
          <w:color w:val="auto"/>
        </w:rPr>
      </w:pPr>
      <w:r>
        <w:rPr>
          <w:rFonts w:ascii="Arial" w:cs="Arial" w:eastAsia="Arial" w:hAnsi="Arial"/>
          <w:sz w:val="18"/>
          <w:szCs w:val="18"/>
          <w:color w:val="auto"/>
        </w:rPr>
        <w:t>for impairment at least quarterly or whenever events or changes in circumstances indicate that the carrying amount of an asset or asset group may not be recoverable, or triggering events. The Company performs this</w:t>
      </w:r>
    </w:p>
    <w:p>
      <w:pPr>
        <w:ind w:left="640"/>
        <w:spacing w:after="0" w:line="236" w:lineRule="auto"/>
        <w:rPr>
          <w:sz w:val="20"/>
          <w:szCs w:val="20"/>
          <w:color w:val="auto"/>
        </w:rPr>
      </w:pPr>
      <w:r>
        <w:rPr>
          <w:rFonts w:ascii="Arial" w:cs="Arial" w:eastAsia="Arial" w:hAnsi="Arial"/>
          <w:sz w:val="18"/>
          <w:szCs w:val="18"/>
          <w:color w:val="auto"/>
        </w:rPr>
        <w:t>evaluation considering the future economic benefits of the asset or asset groups, historical and estimated future</w:t>
      </w:r>
    </w:p>
    <w:p>
      <w:pPr>
        <w:spacing w:after="0" w:line="1"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profitability measures, and other factors that may be present, such as extended periods of idle time or the inability to contract the Company’s equipment at economical rates. The carrying value of property and equipment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2025 was $1.4 billion.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05" w:lineRule="exact"/>
        <w:rPr>
          <w:sz w:val="20"/>
          <w:szCs w:val="20"/>
          <w:color w:val="auto"/>
        </w:rPr>
      </w:pPr>
    </w:p>
    <w:p>
      <w:pPr>
        <w:ind w:left="640" w:right="280"/>
        <w:spacing w:after="0" w:line="259" w:lineRule="auto"/>
        <w:rPr>
          <w:sz w:val="20"/>
          <w:szCs w:val="20"/>
          <w:color w:val="auto"/>
        </w:rPr>
      </w:pPr>
      <w:r>
        <w:rPr>
          <w:rFonts w:ascii="Arial" w:cs="Arial" w:eastAsia="Arial" w:hAnsi="Arial"/>
          <w:sz w:val="17"/>
          <w:szCs w:val="17"/>
          <w:color w:val="auto"/>
        </w:rPr>
        <w:t>We identified the evaluation of property and equipment impairment triggering events as a critical audit matter. Sustained decreases in commodity prices and uncertainty regarding spending trends by customers in the</w:t>
      </w:r>
    </w:p>
    <w:p>
      <w:pPr>
        <w:spacing w:after="0" w:line="1" w:lineRule="exact"/>
        <w:rPr>
          <w:sz w:val="20"/>
          <w:szCs w:val="20"/>
          <w:color w:val="auto"/>
        </w:rPr>
      </w:pPr>
    </w:p>
    <w:p>
      <w:pPr>
        <w:ind w:left="640" w:right="340"/>
        <w:spacing w:after="0" w:line="226" w:lineRule="auto"/>
        <w:rPr>
          <w:sz w:val="20"/>
          <w:szCs w:val="20"/>
          <w:color w:val="auto"/>
        </w:rPr>
      </w:pPr>
      <w:r>
        <w:rPr>
          <w:rFonts w:ascii="Arial" w:cs="Arial" w:eastAsia="Arial" w:hAnsi="Arial"/>
          <w:sz w:val="18"/>
          <w:szCs w:val="18"/>
          <w:color w:val="auto"/>
        </w:rPr>
        <w:t>industry may lead to periods of low utilization and low day rates for those assets or asset groups not under a long-term contract, and the evaluation of the impact of these factors required a higher degree of subjective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auditor judgment.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primary procedures we performed to address this critical audit matter. We evaluated the</w:t>
      </w:r>
    </w:p>
    <w:p>
      <w:pPr>
        <w:spacing w:after="0" w:line="14" w:lineRule="exact"/>
        <w:rPr>
          <w:sz w:val="20"/>
          <w:szCs w:val="20"/>
          <w:color w:val="auto"/>
        </w:rPr>
      </w:pPr>
    </w:p>
    <w:p>
      <w:pPr>
        <w:ind w:left="640"/>
        <w:spacing w:after="0" w:line="226" w:lineRule="auto"/>
        <w:rPr>
          <w:sz w:val="20"/>
          <w:szCs w:val="20"/>
          <w:color w:val="auto"/>
        </w:rPr>
      </w:pPr>
      <w:r>
        <w:rPr>
          <w:rFonts w:ascii="Arial" w:cs="Arial" w:eastAsia="Arial" w:hAnsi="Arial"/>
          <w:sz w:val="18"/>
          <w:szCs w:val="18"/>
          <w:color w:val="auto"/>
        </w:rPr>
        <w:t>design and tested the operating effectiveness of certain internal controls related to the evaluation of property and equipment for impairment. This included controls related to the Company’s process to identify and evaluate</w:t>
      </w:r>
    </w:p>
    <w:p>
      <w:pPr>
        <w:spacing w:after="0" w:line="2" w:lineRule="exact"/>
        <w:rPr>
          <w:sz w:val="20"/>
          <w:szCs w:val="20"/>
          <w:color w:val="auto"/>
        </w:rPr>
      </w:pPr>
    </w:p>
    <w:p>
      <w:pPr>
        <w:ind w:left="640" w:right="120"/>
        <w:spacing w:after="0" w:line="226" w:lineRule="auto"/>
        <w:rPr>
          <w:sz w:val="20"/>
          <w:szCs w:val="20"/>
          <w:color w:val="auto"/>
        </w:rPr>
      </w:pPr>
      <w:r>
        <w:rPr>
          <w:rFonts w:ascii="Arial" w:cs="Arial" w:eastAsia="Arial" w:hAnsi="Arial"/>
          <w:sz w:val="18"/>
          <w:szCs w:val="18"/>
          <w:color w:val="auto"/>
        </w:rPr>
        <w:t>triggering events that indicate that the carrying value of an asset or asset group may not be recoverable, including the consideration of forecasted to actual results and market conditions in determination of a triggering</w:t>
      </w:r>
    </w:p>
    <w:p>
      <w:pPr>
        <w:ind w:left="640"/>
        <w:spacing w:after="0" w:line="236" w:lineRule="auto"/>
        <w:rPr>
          <w:sz w:val="20"/>
          <w:szCs w:val="20"/>
          <w:color w:val="auto"/>
        </w:rPr>
      </w:pPr>
      <w:r>
        <w:rPr>
          <w:rFonts w:ascii="Arial" w:cs="Arial" w:eastAsia="Arial" w:hAnsi="Arial"/>
          <w:sz w:val="18"/>
          <w:szCs w:val="18"/>
          <w:color w:val="auto"/>
        </w:rPr>
        <w:t>event. We evaluated the Company’s identification of triggering events, including consideration of future expected</w:t>
      </w:r>
    </w:p>
    <w:p>
      <w:pPr>
        <w:spacing w:after="0" w:line="1" w:lineRule="exact"/>
        <w:rPr>
          <w:sz w:val="20"/>
          <w:szCs w:val="20"/>
          <w:color w:val="auto"/>
        </w:rPr>
      </w:pPr>
    </w:p>
    <w:p>
      <w:pPr>
        <w:ind w:left="640" w:right="540"/>
        <w:spacing w:after="0" w:line="226" w:lineRule="auto"/>
        <w:rPr>
          <w:sz w:val="20"/>
          <w:szCs w:val="20"/>
          <w:color w:val="auto"/>
        </w:rPr>
      </w:pPr>
      <w:r>
        <w:rPr>
          <w:rFonts w:ascii="Arial" w:cs="Arial" w:eastAsia="Arial" w:hAnsi="Arial"/>
          <w:sz w:val="18"/>
          <w:szCs w:val="18"/>
          <w:color w:val="auto"/>
        </w:rPr>
        <w:t>revenues from executed contracts. We compared data used by the Company against analyst and industry reports. We compared the Company’s historical forecasts to actual results by asset group to assess the</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Company’s ability to accurately forecast.</w:t>
      </w:r>
    </w:p>
    <w:p>
      <w:pPr>
        <w:spacing w:after="0" w:line="16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rPr>
          <w:sz w:val="20"/>
          <w:szCs w:val="20"/>
          <w:color w:val="auto"/>
        </w:rPr>
      </w:pPr>
      <w:r>
        <w:rPr>
          <w:rFonts w:ascii="Arial" w:cs="Arial" w:eastAsia="Arial" w:hAnsi="Arial"/>
          <w:sz w:val="18"/>
          <w:szCs w:val="18"/>
          <w:color w:val="auto"/>
        </w:rPr>
        <w:t>Helix Energy Solutions Group,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69"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 xml:space="preserve">We have audited Helix Energy Solutions Group, Inc. and subsidiaries’ (the Company)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p>
    <w:p>
      <w:pPr>
        <w:ind w:right="100"/>
        <w:spacing w:after="0"/>
        <w:rPr>
          <w:sz w:val="20"/>
          <w:szCs w:val="20"/>
          <w:color w:val="auto"/>
        </w:rPr>
      </w:pPr>
      <w:r>
        <w:rPr>
          <w:rFonts w:ascii="Arial" w:cs="Arial" w:eastAsia="Arial" w:hAnsi="Arial"/>
          <w:sz w:val="17"/>
          <w:szCs w:val="17"/>
          <w:color w:val="auto"/>
        </w:rPr>
        <w:t>issued by the Committee of Sponsoring Organizations of the Treadway Commission. In our opinion, the Company maintained, in all material respects, effective internal control over financial reporting as of December 31, 2025, based on</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8"/>
          <w:szCs w:val="18"/>
          <w:color w:val="auto"/>
        </w:rPr>
        <w:t xml:space="preserve">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2025 and 2024, the related</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consolidated statements of operations, comprehensive income (loss), shareholders’ equity, and cash flows for each of the years in the three-year period ended December 31, 2025, and the related notes (collectively, the consolidated</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financial statements), and our report dated February 26, 2026 expressed an unqualified opinion on those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Report on Internal Control over Financial Reporting. Our responsibility is to express an opinion on the Company’s internal</w:t>
      </w:r>
    </w:p>
    <w:p>
      <w:pPr>
        <w:spacing w:after="0" w:line="7"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control over financial reporting based on our audit. We are a public accounting firm registered with the PCAOB and are required to be independent with respect to the Company in accordance with the U.S. federal securities laws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rules and regulations of the Securities and Exchange Commission and the PCAOB.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perform the audit to obtain reasonable assurance about whether effective internal control over financial reporting was maintained in all material respects. Our audit of internal control over financial reporting included obtaining an</w:t>
      </w:r>
    </w:p>
    <w:p>
      <w:pPr>
        <w:spacing w:after="0" w:line="236" w:lineRule="auto"/>
        <w:rPr>
          <w:sz w:val="20"/>
          <w:szCs w:val="20"/>
          <w:color w:val="auto"/>
        </w:rPr>
      </w:pPr>
      <w:r>
        <w:rPr>
          <w:rFonts w:ascii="Arial" w:cs="Arial" w:eastAsia="Arial" w:hAnsi="Arial"/>
          <w:sz w:val="18"/>
          <w:szCs w:val="18"/>
          <w:color w:val="auto"/>
        </w:rPr>
        <w:t>understanding of internal control over financial reporting, assessing the risk that a material weakness exists, and testing</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and evaluating the design and operating effectiveness of internal control based on the assessed risk. Our audit also included performing such other procedures as we considered necessary in the circumstances. We believe that our audit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reliability of financial reporting and the preparation of financial statements for external purposes in accordance with generally accepted accounting principles. A company’s internal control over financial reporting includes those policies</w:t>
      </w:r>
    </w:p>
    <w:p>
      <w:pPr>
        <w:spacing w:after="0" w:line="235" w:lineRule="auto"/>
        <w:rPr>
          <w:sz w:val="20"/>
          <w:szCs w:val="20"/>
          <w:color w:val="auto"/>
        </w:rPr>
      </w:pPr>
      <w:r>
        <w:rPr>
          <w:rFonts w:ascii="Arial" w:cs="Arial" w:eastAsia="Arial" w:hAnsi="Arial"/>
          <w:sz w:val="18"/>
          <w:szCs w:val="18"/>
          <w:color w:val="auto"/>
        </w:rPr>
        <w:t>and procedures that (1) pertain to the maintenance of records that, in reasonable detail, accurately and fairly reflect the</w:t>
      </w:r>
    </w:p>
    <w:p>
      <w:pPr>
        <w:ind w:right="240"/>
        <w:spacing w:after="0" w:line="226" w:lineRule="auto"/>
        <w:rPr>
          <w:sz w:val="20"/>
          <w:szCs w:val="20"/>
          <w:color w:val="auto"/>
        </w:rPr>
      </w:pPr>
      <w:r>
        <w:rPr>
          <w:rFonts w:ascii="Arial" w:cs="Arial" w:eastAsia="Arial" w:hAnsi="Arial"/>
          <w:sz w:val="18"/>
          <w:szCs w:val="18"/>
          <w:color w:val="auto"/>
        </w:rPr>
        <w:t>transactions and dispositions of the assets of the company; (2) provide reasonable assurance that transactions are recorded as necessary to permit preparation of financial statements in accordance with generally accepted accounting</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principles, and that receipts and expenditures of the company are being made only in accordance with authorizations of management and directors of the company; and (3) provide reasonable assurance regarding prevention or timely</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detection of unauthorized acquisition, use, or disposition of the company’s assets that could have a material effect on the financial statements.</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inadequate because of changes in conditions, or that the degree of compliance with the policies or procedures may deteriorate.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80" w:type="dxa"/>
            <w:vAlign w:val="bottom"/>
            <w:tcBorders>
              <w:top w:val="single" w:sz="8" w:color="0000EE"/>
            </w:tcBorders>
          </w:tcPr>
          <w:p>
            <w:pPr>
              <w:spacing w:after="0"/>
              <w:rPr>
                <w:sz w:val="24"/>
                <w:szCs w:val="24"/>
                <w:color w:val="auto"/>
              </w:rPr>
            </w:pPr>
          </w:p>
        </w:tc>
        <w:tc>
          <w:tcPr>
            <w:tcW w:w="67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5200" w:type="dxa"/>
            <w:vAlign w:val="bottom"/>
          </w:tcPr>
          <w:p>
            <w:pPr>
              <w:jc w:val="center"/>
              <w:ind w:left="179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520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2740" w:type="dxa"/>
            <w:vAlign w:val="bottom"/>
            <w:gridSpan w:val="5"/>
          </w:tcPr>
          <w:p>
            <w:pPr>
              <w:ind w:lef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500" w:type="dxa"/>
            <w:vAlign w:val="bottom"/>
            <w:tcBorders>
              <w:top w:val="single" w:sz="8" w:color="auto"/>
            </w:tcBorders>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5200" w:type="dxa"/>
            <w:vAlign w:val="bottom"/>
            <w:tcBorders>
              <w:top w:val="single" w:sz="8" w:color="CCEEFF"/>
            </w:tcBorders>
            <w:shd w:val="clear" w:color="auto" w:fill="CCEEFF"/>
          </w:tcPr>
          <w:p>
            <w:pPr>
              <w:jc w:val="center"/>
              <w:ind w:right="1230"/>
              <w:spacing w:after="0" w:line="177"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445,196</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368,030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8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Accounts receivable, net of allowance for credit losses of $3,529 and $3,682,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80" w:type="dxa"/>
            <w:vAlign w:val="bottom"/>
            <w:gridSpan w:val="2"/>
          </w:tcPr>
          <w:p>
            <w:pPr>
              <w:ind w:left="1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303,939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75,857</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824,992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3,156,606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(1,794,112)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(1,630,902)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1,362,494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1,437,853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302,649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329,649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certification and dry dock costs, net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74,351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51,418</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2,615,904</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spacing w:after="0"/>
              <w:rPr>
                <w:sz w:val="17"/>
                <w:szCs w:val="17"/>
                <w:color w:val="auto"/>
              </w:rPr>
            </w:pPr>
          </w:p>
        </w:tc>
        <w:tc>
          <w:tcPr>
            <w:tcW w:w="5200" w:type="dxa"/>
            <w:vAlign w:val="bottom"/>
            <w:shd w:val="clear" w:color="auto" w:fill="CCEEFF"/>
          </w:tcPr>
          <w:p>
            <w:pPr>
              <w:jc w:val="center"/>
              <w:ind w:right="1210"/>
              <w:spacing w:after="0" w:line="183" w:lineRule="exact"/>
              <w:rPr>
                <w:sz w:val="20"/>
                <w:szCs w:val="20"/>
                <w:color w:val="auto"/>
              </w:rPr>
            </w:pPr>
            <w:r>
              <w:rPr>
                <w:rFonts w:ascii="Arial" w:cs="Arial" w:eastAsia="Arial" w:hAnsi="Arial"/>
                <w:sz w:val="18"/>
                <w:szCs w:val="18"/>
                <w:b w:val="1"/>
                <w:bCs w:val="1"/>
                <w:color w:val="auto"/>
                <w:w w:val="99"/>
              </w:rPr>
              <w:t>LIABILITIES AND SHAREHOLDERS' EQUITY</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134,287</w:t>
            </w:r>
          </w:p>
        </w:tc>
        <w:tc>
          <w:tcPr>
            <w:tcW w:w="5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94,951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90,455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60,796</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299,678</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304,416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298,351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260,959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285,984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105,571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113,973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71,433</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66,971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1,035,992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1,077,315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8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Common stock, no par, 240,000 shares authorized, 147,186 and 150,243</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issued, respectively</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398,914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368,087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(37,496)</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(100,575)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1,579,912</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2,615,904</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2,597,080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700"/>
          </w:cols>
          <w:pgMar w:left="1120" w:top="500" w:right="10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4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60" w:type="dxa"/>
            <w:vAlign w:val="bottom"/>
            <w:gridSpan w:val="5"/>
          </w:tcPr>
          <w:p>
            <w:pPr>
              <w:jc w:val="center"/>
              <w:ind w:left="1330"/>
              <w:spacing w:after="0" w:line="202" w:lineRule="exact"/>
              <w:rPr>
                <w:sz w:val="20"/>
                <w:szCs w:val="20"/>
                <w:color w:val="auto"/>
              </w:rPr>
            </w:pPr>
            <w:r>
              <w:rPr>
                <w:rFonts w:ascii="Arial" w:cs="Arial" w:eastAsia="Arial" w:hAnsi="Arial"/>
                <w:sz w:val="18"/>
                <w:szCs w:val="18"/>
                <w:b w:val="1"/>
                <w:bCs w:val="1"/>
                <w:color w:val="auto"/>
                <w:w w:val="98"/>
              </w:rPr>
              <w:t>CONSOLIDATED STATEMENTS OF OPERATIONS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60" w:type="dxa"/>
            <w:vAlign w:val="bottom"/>
            <w:gridSpan w:val="5"/>
          </w:tcPr>
          <w:p>
            <w:pPr>
              <w:jc w:val="center"/>
              <w:ind w:left="133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9"/>
              </w:rPr>
              <w:t>Year Ended December 31,</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2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2024</w:t>
            </w:r>
          </w:p>
        </w:tc>
        <w:tc>
          <w:tcPr>
            <w:tcW w:w="520" w:type="dxa"/>
            <w:vAlign w:val="bottom"/>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1,291,474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1,289,728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1,132,336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1,138,996</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1,089,372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159,138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219,564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Gain (loss) on disposition of assets,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Long-lived asset impairment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Acquisition and integration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gridSpan w:val="2"/>
          </w:tcPr>
          <w:p>
            <w:pPr>
              <w:ind w:left="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(75,939)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(91,650)</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65,135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127,435</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Royalty income and other</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2,102</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42,480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82,064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7,514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26,427</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60" w:type="dxa"/>
            <w:vAlign w:val="bottom"/>
            <w:gridSpan w:val="3"/>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55,637</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c>
          <w:tcPr>
            <w:tcW w:w="52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bottom w:val="single" w:sz="8" w:color="CCEEFF"/>
            </w:tcBorders>
            <w:gridSpan w:val="2"/>
            <w:vMerge w:val="restart"/>
          </w:tcPr>
          <w:p>
            <w:pPr>
              <w:ind w:left="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148,349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151,989</w:t>
            </w:r>
          </w:p>
        </w:tc>
        <w:tc>
          <w:tcPr>
            <w:tcW w:w="2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150,917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2"/>
            <w:vMerge w:val="restart"/>
          </w:tcPr>
          <w:p>
            <w:pPr>
              <w:ind w:left="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148,454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154,699</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150,917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40" w:type="dxa"/>
            <w:vAlign w:val="bottom"/>
            <w:gridSpan w:val="8"/>
          </w:tcPr>
          <w:p>
            <w:pPr>
              <w:jc w:val="center"/>
              <w:ind w:left="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940" w:type="dxa"/>
            <w:vAlign w:val="bottom"/>
            <w:gridSpan w:val="8"/>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CONSOLIDATED STATEMENTS OF COMPREHENSIVE INCOME (LOSS)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8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9"/>
              </w:rPr>
              <w:t>Year Ended December 31,</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32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right="110"/>
              <w:spacing w:after="0" w:line="196" w:lineRule="exact"/>
              <w:rPr>
                <w:sz w:val="20"/>
                <w:szCs w:val="20"/>
                <w:color w:val="auto"/>
              </w:rPr>
            </w:pPr>
            <w:r>
              <w:rPr>
                <w:rFonts w:ascii="Arial" w:cs="Arial" w:eastAsia="Arial" w:hAnsi="Arial"/>
                <w:sz w:val="18"/>
                <w:szCs w:val="18"/>
                <w:b w:val="1"/>
                <w:bCs w:val="1"/>
                <w:color w:val="auto"/>
                <w:w w:val="99"/>
              </w:rPr>
              <w:t>2024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55,637</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gridSpan w:val="2"/>
          </w:tcPr>
          <w:p>
            <w:pPr>
              <w:spacing w:after="0" w:line="183" w:lineRule="exact"/>
              <w:rPr>
                <w:sz w:val="20"/>
                <w:szCs w:val="20"/>
                <w:color w:val="auto"/>
              </w:rPr>
            </w:pPr>
            <w:r>
              <w:rPr>
                <w:rFonts w:ascii="Arial" w:cs="Arial" w:eastAsia="Arial" w:hAnsi="Arial"/>
                <w:sz w:val="18"/>
                <w:szCs w:val="18"/>
                <w:color w:val="auto"/>
              </w:rPr>
              <w:t>Other comprehensive income (loss) - foreign currency translation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60" w:type="dxa"/>
            <w:vAlign w:val="bottom"/>
            <w:gridSpan w:val="3"/>
          </w:tcPr>
          <w:p>
            <w:pPr>
              <w:spacing w:after="0"/>
              <w:rPr>
                <w:sz w:val="20"/>
                <w:szCs w:val="20"/>
                <w:color w:val="auto"/>
              </w:rPr>
            </w:pPr>
            <w:r>
              <w:rPr>
                <w:rFonts w:ascii="Arial" w:cs="Arial" w:eastAsia="Arial" w:hAnsi="Arial"/>
                <w:sz w:val="18"/>
                <w:szCs w:val="18"/>
                <w:color w:val="auto"/>
              </w:rPr>
              <w:t>gain (loss), net of tax</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38,077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700"/>
          </w:cols>
          <w:pgMar w:left="1120" w:top="500" w:right="10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CONSOLIDATED STATEMENTS OF SHAREHOLDERS’ EQUITY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Accumulated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3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03"/>
        </w:trPr>
        <w:tc>
          <w:tcPr>
            <w:tcW w:w="3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w w:val="99"/>
              </w:rPr>
              <w:t>Shareholders’</w:t>
            </w:r>
          </w:p>
        </w:tc>
      </w:tr>
      <w:tr>
        <w:trPr>
          <w:trHeight w:val="183"/>
        </w:trPr>
        <w:tc>
          <w:tcPr>
            <w:tcW w:w="3680" w:type="dxa"/>
            <w:vAlign w:val="bottom"/>
          </w:tcPr>
          <w:p>
            <w:pPr>
              <w:spacing w:after="0"/>
              <w:rPr>
                <w:sz w:val="15"/>
                <w:szCs w:val="15"/>
                <w:color w:val="auto"/>
              </w:rPr>
            </w:pP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 Shares</w:t>
            </w:r>
          </w:p>
        </w:tc>
        <w:tc>
          <w:tcPr>
            <w:tcW w:w="1100" w:type="dxa"/>
            <w:vAlign w:val="bottom"/>
            <w:gridSpan w:val="2"/>
          </w:tcPr>
          <w:p>
            <w:pPr>
              <w:jc w:val="right"/>
              <w:ind w:right="79"/>
              <w:spacing w:after="0" w:line="183" w:lineRule="exact"/>
              <w:rPr>
                <w:sz w:val="20"/>
                <w:szCs w:val="20"/>
                <w:color w:val="auto"/>
              </w:rPr>
            </w:pPr>
            <w:r>
              <w:rPr>
                <w:rFonts w:ascii="Arial" w:cs="Arial" w:eastAsia="Arial" w:hAnsi="Arial"/>
                <w:sz w:val="16"/>
                <w:szCs w:val="16"/>
                <w:b w:val="1"/>
                <w:bCs w:val="1"/>
                <w:color w:val="auto"/>
              </w:rPr>
              <w:t>​​​  Amount</w:t>
            </w:r>
          </w:p>
        </w:tc>
        <w:tc>
          <w:tcPr>
            <w:tcW w:w="9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Earnings</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center"/>
              <w:ind w:right="19"/>
              <w:spacing w:after="0" w:line="183" w:lineRule="exact"/>
              <w:rPr>
                <w:sz w:val="20"/>
                <w:szCs w:val="20"/>
                <w:color w:val="auto"/>
              </w:rPr>
            </w:pPr>
            <w:r>
              <w:rPr>
                <w:rFonts w:ascii="Arial" w:cs="Arial" w:eastAsia="Arial" w:hAnsi="Arial"/>
                <w:sz w:val="16"/>
                <w:szCs w:val="16"/>
                <w:b w:val="1"/>
                <w:bCs w:val="1"/>
                <w:color w:val="auto"/>
              </w:rPr>
              <w:t>Loss</w:t>
            </w:r>
          </w:p>
        </w:tc>
        <w:tc>
          <w:tcPr>
            <w:tcW w:w="400" w:type="dxa"/>
            <w:vAlign w:val="bottom"/>
            <w:gridSpan w:val="3"/>
          </w:tcPr>
          <w:p>
            <w:pPr>
              <w:ind w:left="10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line="183" w:lineRule="exact"/>
              <w:rPr>
                <w:sz w:val="20"/>
                <w:szCs w:val="20"/>
                <w:color w:val="auto"/>
              </w:rPr>
            </w:pPr>
            <w:r>
              <w:rPr>
                <w:rFonts w:ascii="Arial" w:cs="Arial" w:eastAsia="Arial" w:hAnsi="Arial"/>
                <w:sz w:val="16"/>
                <w:szCs w:val="16"/>
                <w:b w:val="1"/>
                <w:bCs w:val="1"/>
                <w:color w:val="auto"/>
              </w:rPr>
              <w:t>Equity</w:t>
            </w:r>
          </w:p>
        </w:tc>
      </w:tr>
      <w:tr>
        <w:trPr>
          <w:trHeight w:val="183"/>
        </w:trPr>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2022</w:t>
            </w:r>
          </w:p>
        </w:tc>
        <w:tc>
          <w:tcPr>
            <w:tcW w:w="3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151,935</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$ 1,298,740</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$ 323,288</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(105,319)</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1,516,709</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Net loss</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(10,838)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(10,838)</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22,304</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22,304</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Repurchase of convertible senior notes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(35,469)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(35,469)</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Termination of capped calls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14,225</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(1,584)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(11,988)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(11,988)</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Activity in company stock plans, net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6,149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6,149</w:t>
            </w:r>
          </w:p>
        </w:tc>
      </w:tr>
      <w:tr>
        <w:trPr>
          <w:trHeight w:val="183"/>
        </w:trPr>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2023</w:t>
            </w:r>
          </w:p>
        </w:tc>
        <w:tc>
          <w:tcPr>
            <w:tcW w:w="3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152,291</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$ 1,271,565</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$ 312,450</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(83,015)</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1,501,000</w:t>
            </w: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55,637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55,637</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(17,560)</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Settlement of convertible debt conversion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Termination of capped calls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4,381</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(2,867)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(29,821)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(29,821)</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Activity in company stock plans, net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6,680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6,680</w:t>
            </w:r>
          </w:p>
        </w:tc>
      </w:tr>
      <w:tr>
        <w:trPr>
          <w:trHeight w:val="183"/>
        </w:trPr>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December 31, 2024</w:t>
            </w:r>
          </w:p>
        </w:tc>
        <w:tc>
          <w:tcPr>
            <w:tcW w:w="3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150,243</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$ 1,252,253</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$ 368,087</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(100,575)</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1,519,765</w:t>
            </w: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30,827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30,827</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63,079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63,079</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(4,643)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(30,164)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(30,164)</w:t>
            </w: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Activity in company stock plans, net and 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6,086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6,086</w:t>
            </w:r>
          </w:p>
        </w:tc>
      </w:tr>
      <w:tr>
        <w:trPr>
          <w:trHeight w:val="175"/>
        </w:trPr>
        <w:tc>
          <w:tcPr>
            <w:tcW w:w="3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Reclassification of fair value of modified liability</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3"/>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awards</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r>
      <w:tr>
        <w:trPr>
          <w:trHeight w:val="183"/>
        </w:trPr>
        <w:tc>
          <w:tcPr>
            <w:tcW w:w="3680" w:type="dxa"/>
            <w:vAlign w:val="bottom"/>
          </w:tcPr>
          <w:p>
            <w:pPr>
              <w:spacing w:after="0" w:line="183" w:lineRule="exact"/>
              <w:rPr>
                <w:sz w:val="20"/>
                <w:szCs w:val="20"/>
                <w:color w:val="auto"/>
              </w:rPr>
            </w:pPr>
            <w:r>
              <w:rPr>
                <w:rFonts w:ascii="Arial" w:cs="Arial" w:eastAsia="Arial" w:hAnsi="Arial"/>
                <w:sz w:val="16"/>
                <w:szCs w:val="16"/>
                <w:color w:val="auto"/>
              </w:rPr>
              <w:t>Balance, December 31, 2025</w:t>
            </w:r>
          </w:p>
        </w:tc>
        <w:tc>
          <w:tcPr>
            <w:tcW w:w="380" w:type="dxa"/>
            <w:vAlign w:val="bottom"/>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147,186</w:t>
            </w:r>
          </w:p>
        </w:tc>
        <w:tc>
          <w:tcPr>
            <w:tcW w:w="180" w:type="dxa"/>
            <w:vAlign w:val="bottom"/>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$ 1,218,494</w:t>
            </w:r>
          </w:p>
        </w:tc>
        <w:tc>
          <w:tcPr>
            <w:tcW w:w="200" w:type="dxa"/>
            <w:vAlign w:val="bottom"/>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$ 398,914</w:t>
            </w:r>
          </w:p>
        </w:tc>
        <w:tc>
          <w:tcPr>
            <w:tcW w:w="18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(37,496)</w:t>
            </w:r>
          </w:p>
        </w:tc>
        <w:tc>
          <w:tcPr>
            <w:tcW w:w="220" w:type="dxa"/>
            <w:vAlign w:val="bottom"/>
            <w:gridSpan w:val="2"/>
          </w:tcPr>
          <w:p>
            <w:pPr>
              <w:spacing w:after="0"/>
              <w:rPr>
                <w:sz w:val="15"/>
                <w:szCs w:val="15"/>
                <w:color w:val="auto"/>
              </w:rPr>
            </w:pPr>
          </w:p>
        </w:tc>
        <w:tc>
          <w:tcPr>
            <w:tcW w:w="18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1,579,912</w:t>
            </w:r>
          </w:p>
        </w:tc>
      </w:tr>
      <w:tr>
        <w:trPr>
          <w:trHeight w:val="20"/>
        </w:trPr>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760"/>
              <w:spacing w:after="0"/>
              <w:rPr>
                <w:sz w:val="20"/>
                <w:szCs w:val="20"/>
                <w:color w:val="auto"/>
              </w:rPr>
            </w:pPr>
            <w:r>
              <w:rPr>
                <w:rFonts w:ascii="Arial" w:cs="Arial" w:eastAsia="Arial" w:hAnsi="Arial"/>
                <w:sz w:val="17"/>
                <w:szCs w:val="17"/>
                <w:b w:val="1"/>
                <w:bCs w:val="1"/>
                <w:color w:val="auto"/>
                <w:w w:val="98"/>
              </w:rPr>
              <w:t>Year Ended December 31,</w:t>
            </w: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60" w:type="dxa"/>
            <w:vAlign w:val="bottom"/>
            <w:gridSpan w:val="2"/>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15"/>
              <w:spacing w:after="0" w:line="183" w:lineRule="exact"/>
              <w:rPr>
                <w:sz w:val="20"/>
                <w:szCs w:val="20"/>
                <w:color w:val="auto"/>
              </w:rPr>
            </w:pPr>
            <w:r>
              <w:rPr>
                <w:rFonts w:ascii="Arial" w:cs="Arial" w:eastAsia="Arial" w:hAnsi="Arial"/>
                <w:sz w:val="17"/>
                <w:szCs w:val="17"/>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15"/>
              <w:spacing w:after="0" w:line="183" w:lineRule="exact"/>
              <w:rPr>
                <w:sz w:val="20"/>
                <w:szCs w:val="20"/>
                <w:color w:val="auto"/>
              </w:rPr>
            </w:pPr>
            <w:r>
              <w:rPr>
                <w:rFonts w:ascii="Arial" w:cs="Arial" w:eastAsia="Arial" w:hAnsi="Arial"/>
                <w:sz w:val="17"/>
                <w:szCs w:val="17"/>
                <w:b w:val="1"/>
                <w:bCs w:val="1"/>
                <w:color w:val="auto"/>
              </w:rPr>
              <w:t>2024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35"/>
              <w:spacing w:after="0" w:line="183" w:lineRule="exact"/>
              <w:rPr>
                <w:sz w:val="20"/>
                <w:szCs w:val="20"/>
                <w:color w:val="auto"/>
              </w:rPr>
            </w:pPr>
            <w:r>
              <w:rPr>
                <w:rFonts w:ascii="Arial" w:cs="Arial" w:eastAsia="Arial" w:hAnsi="Arial"/>
                <w:sz w:val="17"/>
                <w:szCs w:val="17"/>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15"/>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15"/>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5"/>
              <w:spacing w:after="0" w:line="183"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Net income (loss)</w:t>
            </w:r>
          </w:p>
        </w:tc>
        <w:tc>
          <w:tcPr>
            <w:tcW w:w="4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30,827</w:t>
            </w:r>
          </w:p>
        </w:tc>
        <w:tc>
          <w:tcPr>
            <w:tcW w:w="380" w:type="dxa"/>
            <w:vAlign w:val="bottom"/>
            <w:gridSpan w:val="2"/>
          </w:tcPr>
          <w:p>
            <w:pPr>
              <w:jc w:val="right"/>
              <w:ind w:right="5"/>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55,637</w:t>
            </w:r>
          </w:p>
        </w:tc>
        <w:tc>
          <w:tcPr>
            <w:tcW w:w="4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(10,838)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Adjustments to reconcile net income (loss) to net cash provided by</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6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ind w:left="200"/>
              <w:spacing w:after="0" w:line="167" w:lineRule="exact"/>
              <w:rPr>
                <w:sz w:val="20"/>
                <w:szCs w:val="20"/>
                <w:color w:val="auto"/>
              </w:rPr>
            </w:pPr>
            <w:r>
              <w:rPr>
                <w:rFonts w:ascii="Arial" w:cs="Arial" w:eastAsia="Arial" w:hAnsi="Arial"/>
                <w:sz w:val="17"/>
                <w:szCs w:val="17"/>
                <w:color w:val="auto"/>
              </w:rPr>
              <w:t>Depreciation and amortization, excluding amortization of deferred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7"/>
                <w:szCs w:val="17"/>
                <w:color w:val="auto"/>
              </w:rPr>
              <w:t>certification and dry dock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134,538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137,202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138,423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deferred certification and dry dock costs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52,844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36,090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25,693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Long-lived asset impairment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18,064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certification and dry dock costs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(51,996)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(35,387)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Payment of earnout consideration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(58,300)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42,246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240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218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2,063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2,132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6,568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7,266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6,510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(8,067)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10,606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(Gain) loss on disposition of assets, net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479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20,922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37,277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losses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8,310</w:t>
            </w: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300"/>
              <w:spacing w:after="0" w:line="189" w:lineRule="exact"/>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(37,514)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13,736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(64,520)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Other current assets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16,600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(22,597)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30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(9,512)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1,919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Accounts payable and accrued liabilities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(18,433)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(9,159)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31,996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bottom w:val="single" w:sz="8" w:color="CCEEFF"/>
            </w:tcBorders>
          </w:tcPr>
          <w:p>
            <w:pPr>
              <w:ind w:left="300"/>
              <w:spacing w:after="0" w:line="189" w:lineRule="exact"/>
              <w:rPr>
                <w:sz w:val="20"/>
                <w:szCs w:val="20"/>
                <w:color w:val="auto"/>
              </w:rPr>
            </w:pPr>
            <w:r>
              <w:rPr>
                <w:rFonts w:ascii="Arial" w:cs="Arial" w:eastAsia="Arial" w:hAnsi="Arial"/>
                <w:sz w:val="17"/>
                <w:szCs w:val="17"/>
                <w:color w:val="auto"/>
              </w:rPr>
              <w:t>Other, net</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153</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905</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9,230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136,749</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186,028</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152,457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Capital expenditures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(16,342)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(23,303)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(19,588)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sale of assets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Proceeds from insurance recoveries</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363</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(16,342)</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(22,840)</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Proceeds from senior notes, net of discount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298,578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(60,720)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(261,147)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Repayment of MARAD Debt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(9,186)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(8,749)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(8,333)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settlement of capped calls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Debt issuance costs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(1,530)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(6,817)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Repurchases of common stock</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(30,214)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(29,620)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Pr>
          <w:p>
            <w:pPr>
              <w:ind w:left="8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(7,404)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(4,231)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Proceeds from issuance of ESPP shares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1,745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Payment of earnout consideration</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(26,700)</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(used in) financing activities</w:t>
            </w:r>
          </w:p>
        </w:tc>
        <w:tc>
          <w:tcPr>
            <w:tcW w:w="3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(45,059)</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(125,310)</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25,109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3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1,818</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(2,039)</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(15,827)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increase in cash and cash equivalents</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77,166</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35,839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143,080</w:t>
            </w: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Balance, beginning of year</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368,030</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332,191</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189,111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Borders>
              <w:bottom w:val="single" w:sz="8" w:color="CCEEFF"/>
            </w:tcBorders>
            <w:shd w:val="clear" w:color="auto" w:fill="CCEEFF"/>
          </w:tcPr>
          <w:p>
            <w:pPr>
              <w:ind w:left="80"/>
              <w:spacing w:after="0" w:line="183" w:lineRule="exact"/>
              <w:rPr>
                <w:sz w:val="20"/>
                <w:szCs w:val="20"/>
                <w:color w:val="auto"/>
              </w:rPr>
            </w:pPr>
            <w:r>
              <w:rPr>
                <w:rFonts w:ascii="Arial" w:cs="Arial" w:eastAsia="Arial" w:hAnsi="Arial"/>
                <w:sz w:val="17"/>
                <w:szCs w:val="17"/>
                <w:color w:val="auto"/>
              </w:rPr>
              <w:t>Balance, end of year</w:t>
            </w: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445,196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368,030</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332,191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80"/>
          </w:cols>
          <w:pgMar w:left="1120" w:top="513" w:right="10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Unless the context indicates otherwise, the terms “we,” “us” and “our” in this Annual Report refer collectively to Helix Energy Solutions Group, Inc. and its subsidiaries (“Helix” or the “Company”). 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We provide a range of services to the oil and gas and renewable energy markets primarily in the Gulf of America (deepwater and shelf), Brazil, North Sea, West Africa and Asia Pacific regions. Our North Sea operations and our Gulf of America shelf operations are usually subject to seasonal changes in activity levels, which generally peaks in the summer months and declines in the winter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210"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services are segregated into four reportable business segments: Well Intervention, Robotics, Shallow Water Abandonment and Production Facilities.</w:t>
      </w:r>
    </w:p>
    <w:p>
      <w:pPr>
        <w:spacing w:after="0" w:line="15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and two chartered vessels, the</w:t>
      </w:r>
      <w:r>
        <w:rPr>
          <w:rFonts w:ascii="Arial" w:cs="Arial" w:eastAsia="Arial" w:hAnsi="Arial"/>
          <w:sz w:val="18"/>
          <w:szCs w:val="18"/>
          <w:i w:val="1"/>
          <w:iCs w:val="1"/>
          <w:color w:val="auto"/>
        </w:rPr>
        <w:t xml:space="preserve"> Sea Helix 1 </w:t>
      </w:r>
      <w:r>
        <w:rPr>
          <w:rFonts w:ascii="Arial" w:cs="Arial" w:eastAsia="Arial" w:hAnsi="Arial"/>
          <w:sz w:val="18"/>
          <w:szCs w:val="18"/>
          <w:color w:val="auto"/>
        </w:rPr>
        <w:t>(formerly</w:t>
      </w:r>
      <w:r>
        <w:rPr>
          <w:rFonts w:ascii="Arial" w:cs="Arial" w:eastAsia="Arial" w:hAnsi="Arial"/>
          <w:sz w:val="18"/>
          <w:szCs w:val="18"/>
          <w:i w:val="1"/>
          <w:iCs w:val="1"/>
          <w:color w:val="auto"/>
        </w:rPr>
        <w:t xml:space="preserve"> Siem Helix 1</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Siem Helix 2</w:t>
      </w:r>
      <w:r>
        <w:rPr>
          <w:rFonts w:ascii="Arial" w:cs="Arial" w:eastAsia="Arial" w:hAnsi="Arial"/>
          <w:sz w:val="18"/>
          <w:szCs w:val="18"/>
          <w:color w:val="auto"/>
        </w:rPr>
        <w:t>. Our well</w:t>
      </w:r>
      <w:r>
        <w:rPr>
          <w:rFonts w:ascii="Arial" w:cs="Arial" w:eastAsia="Arial" w:hAnsi="Arial"/>
          <w:sz w:val="18"/>
          <w:szCs w:val="18"/>
          <w:i w:val="1"/>
          <w:iCs w:val="1"/>
          <w:color w:val="auto"/>
        </w:rPr>
        <w:t xml:space="preserve"> </w:t>
      </w:r>
      <w:r>
        <w:rPr>
          <w:rFonts w:ascii="Arial" w:cs="Arial" w:eastAsia="Arial" w:hAnsi="Arial"/>
          <w:sz w:val="18"/>
          <w:szCs w:val="18"/>
          <w:color w:val="auto"/>
        </w:rPr>
        <w:t>intervention equipment includes intervention systems such as intervention riser systems (“IRSs”), subsea intervention lubricators (“SILs”) and the Riserless Open-water Abandonment Module, some of which we provide on a stand-alone basis.</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to additional energy sources.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Shallow Water Abandonment segment provides services in support of the upstream and midstream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industries‎ predominantly in the Gulf of America shelf, including offshore oilfield decommissioning and reclamation,‎ well</w:t>
      </w:r>
    </w:p>
    <w:p>
      <w:pPr>
        <w:spacing w:after="0" w:line="234" w:lineRule="auto"/>
        <w:rPr>
          <w:sz w:val="20"/>
          <w:szCs w:val="20"/>
          <w:color w:val="auto"/>
        </w:rPr>
      </w:pPr>
      <w:r>
        <w:rPr>
          <w:rFonts w:ascii="Arial" w:cs="Arial" w:eastAsia="Arial" w:hAnsi="Arial"/>
          <w:sz w:val="18"/>
          <w:szCs w:val="18"/>
          <w:color w:val="auto"/>
        </w:rPr>
        <w:t>intervention, IRM, heavy lift and commercial diving services. Our Shallow Water Abandonment segment includes Helix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Alliance that was acquired in July 2022 (Note 3), a vertically integrated company which offers a diversified fleet of marine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assets including liftboats, offshore supply vessels (“OSVs”), dive support vessels (“DSVs”), a heavy lift derrick barge, a</w:t>
      </w:r>
    </w:p>
    <w:p>
      <w:pPr>
        <w:spacing w:after="0"/>
        <w:rPr>
          <w:sz w:val="20"/>
          <w:szCs w:val="20"/>
          <w:color w:val="auto"/>
        </w:rPr>
      </w:pPr>
      <w:r>
        <w:rPr>
          <w:rFonts w:ascii="Arial" w:cs="Arial" w:eastAsia="Arial" w:hAnsi="Arial"/>
          <w:sz w:val="18"/>
          <w:szCs w:val="18"/>
          <w:color w:val="auto"/>
        </w:rPr>
        <w:t>crew boat, plug and abandonment (‘P&amp;A”) systems and coiled tubing (“CT”) systems.</w:t>
      </w:r>
    </w:p>
    <w:p>
      <w:pPr>
        <w:spacing w:after="0" w:line="194" w:lineRule="exact"/>
        <w:rPr>
          <w:sz w:val="20"/>
          <w:szCs w:val="20"/>
          <w:color w:val="auto"/>
        </w:rPr>
      </w:pPr>
    </w:p>
    <w:p>
      <w:pPr>
        <w:ind w:right="260" w:firstLine="648"/>
        <w:spacing w:after="0" w:line="266"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a ship-shaped dynamically positioned floating production vessel, the Helix Fast Response System (the “HFRS”), which combines our capabilities with certain well control equipment that can be deployed to respond to a well control incident, and our ownership of mature oil and gas properties. All of our current Production Facilities activities are located in the Gulf of America.</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0"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color w:val="auto"/>
        </w:rPr>
        <w:t>Our consolidated financial statements include the accounts of our majority-owned subsidiaries. All material intercompany accounts and transactions have been eliminated.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Our consolidated financial statements have been prepared in U.S. dollars in conformity with accounting principles generally accepted in the U.S. (“GAAP”). Certain reclassifications were made to previously reported amounts in the consolidated financial statements and notes thereto to make them consistent with the current presentation format. We have made all adjustments that we believe are necessary for a fair presentation of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0" w:lineRule="exact"/>
        <w:rPr>
          <w:sz w:val="20"/>
          <w:szCs w:val="20"/>
          <w:color w:val="auto"/>
        </w:rPr>
      </w:pPr>
    </w:p>
    <w:p>
      <w:pPr>
        <w:jc w:val="both"/>
        <w:ind w:right="160" w:firstLine="648"/>
        <w:spacing w:after="0" w:line="24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may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and cash equivalents are highly liquid financial instruments with original maturities of three months or less. They are carried at cost plus accrued interest, which approximates fair value. Cash includes amounts pledged toward our asset-based credit agreement (Note 7) unless our ability to withdraw those amounts is restricted.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10"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Accounts receivable are recognized when our right to consideration becomes unconditional. Accounts receivable are stated at the historical carrying amount, net of write-offs and allowance for credit losses. We perform ongoing credit evaluations of our customers and provide allowances for expected credit losses. 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Uncollectible receivables are written off when a settlement is reached for an amount that is less than the outstanding historical balance or when we have determined that the balance will not be collected (Note 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Business combinations are accounted for using the acquisition method of accounting in accordance with Accounting Standards Codification (“ASC”) Topic 805, Business Combinations. The purchase price consideration is allocated to the assets acquired and liabilities assumed based upon estimates of their fair values as of the acquisition date. Fair values of the assets acquired and liabilities assumed are measured in accordance with ASC Topic 820, Fair Value Measurement, using income approach, cost approach and other applicable valuation techniques. The fair value of property, plant and equipment acquired from the acquisition was estimated primarily by applying the cost approach. The key assumptions of the cost approach include replacement cost new, physical deterioration, functional and economic obsolescence and economic useful life. The fair value of intangible assets acquired from the acquisition was estimated primarily by applying the income approach. The key assumptions of the income approach include revenue projections, royalty rates and economic useful life. For certain other assets and liabilities, those fair values are consistent with historical carrying values.</w:t>
      </w:r>
    </w:p>
    <w:p>
      <w:pPr>
        <w:spacing w:after="0" w:line="186"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The purchase price allocation is subject to revision to reflect new information obtained about facts and circumstances that existed at the acquisition date. The purchase price consideration, as well as the estimated fair values of the assets acquired and liabilities assumed, is finalized as soon as practicable, but no later than one year from the closing of the acquisition.</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Contingent consideration payable in cash is initially measured at fair value and included as part of the purchase price and subsequently measured at fair value at the end of each reporting period with changes in value reported in “Change in fair value of contingent consideration” in the consolidated statements of operations until the liability is no longer contingent. Cash paid for the contingent consideration in an amount equaling to its initial fair value at the acquisition date is reported in financing cash flows and any amounts paid in excess of the initial fair value are reported in operating cash flows.</w:t>
      </w:r>
    </w:p>
    <w:p>
      <w:pPr>
        <w:spacing w:after="0" w:line="179"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Acquisition and integration costs consist of legal and professional fees as well as costs incurred to integrate the acquiree’s operations and systems and to align its financial processes and procedures with those of Helix. Those costs are expensed as incurred and are presented separately from “Selling, general and administrative expenses”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0"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18"/>
          <w:szCs w:val="18"/>
          <w:color w:val="auto"/>
        </w:rPr>
        <w:t>Property and equipment (including oil and gas properties) acquired separately from a business combination is recorded initially at cost and subsequently depreciated on a straight-line basis over its estimated useful life. The cost of improvements is capitalized whereas the cost of repairs and maintenance is expensed as incurred.</w:t>
      </w:r>
    </w:p>
    <w:p>
      <w:pPr>
        <w:spacing w:after="0" w:line="169"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7"/>
          <w:szCs w:val="17"/>
          <w:color w:val="auto"/>
        </w:rPr>
        <w:t>Assets used in operations are assessed for impairment whenever events or changes in circumstances indicate that the carrying amount of an asset or asset group may not be recoverable because such carrying amount may exceed the asset’s or asset group’s expected undiscounted cash flows. If the carrying amount of the asset or asset group is not recoverable and is greater than its fair value, an impairment charge is recorded. The amount of the impairment recorded is calculated as the difference between the carrying amount of the asset or asset group and its estimated fair value.</w:t>
      </w:r>
    </w:p>
    <w:p>
      <w:pPr>
        <w:ind w:right="80"/>
        <w:spacing w:after="0" w:line="250" w:lineRule="auto"/>
        <w:rPr>
          <w:sz w:val="20"/>
          <w:szCs w:val="20"/>
          <w:color w:val="auto"/>
        </w:rPr>
      </w:pPr>
      <w:r>
        <w:rPr>
          <w:rFonts w:ascii="Arial" w:cs="Arial" w:eastAsia="Arial" w:hAnsi="Arial"/>
          <w:sz w:val="18"/>
          <w:szCs w:val="18"/>
          <w:color w:val="auto"/>
        </w:rPr>
        <w:t>Individual assets are evaluated for impairment at the lowest level where there are identifiable cash flows that are largely independent of the cash flows of other groups of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Leases with a term greater than one year are recognized in the consolidated balance sheet as lease liabilities and right-of-use (“ROU”) assets. We have not recognized in the consolidated balance sheet leases with an initial term of one year or less. Lease liabilities and their corresponding ROU assets are recorded at the commencement date based on the present value of lease payments over the expected lease term. The lease term may include the option to extend or terminate the lease when it is reasonably certain that we will exercise the option. We use our incremental borrowing rate, which would be the rate incurred to borrow on a collateralized basis over a similar term in a similar economic environment, to calculate the present value of lease payments. ROU assets are adjusted for any initial direct costs paid or incentives received.</w:t>
      </w:r>
    </w:p>
    <w:p>
      <w:pPr>
        <w:spacing w:after="0" w:line="18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We separate our long-term vessel charters between their lease components and non-lease services. We estimate the lease component using the residual approach by estimating the non-lease services, which primarily include crew, repair and maintenance, and regulatory certification costs. For all other leases, we have not separated the lease components and non-lease services.</w:t>
      </w:r>
    </w:p>
    <w:p>
      <w:pPr>
        <w:spacing w:after="0" w:line="174" w:lineRule="exact"/>
        <w:rPr>
          <w:sz w:val="20"/>
          <w:szCs w:val="20"/>
          <w:color w:val="auto"/>
        </w:rPr>
      </w:pPr>
    </w:p>
    <w:p>
      <w:pPr>
        <w:ind w:right="400" w:firstLine="648"/>
        <w:spacing w:after="0" w:line="247" w:lineRule="auto"/>
        <w:rPr>
          <w:sz w:val="20"/>
          <w:szCs w:val="20"/>
          <w:color w:val="auto"/>
        </w:rPr>
      </w:pPr>
      <w:r>
        <w:rPr>
          <w:rFonts w:ascii="Arial" w:cs="Arial" w:eastAsia="Arial" w:hAnsi="Arial"/>
          <w:sz w:val="18"/>
          <w:szCs w:val="18"/>
          <w:color w:val="auto"/>
        </w:rPr>
        <w:t>We recognize operating lease cost on a straight-line basis over the lease term for both (i) leases that are recognized in the consolidated balance sheet and (ii) short-term leases. We recognize lease cost related to variable lease payments that are not recognized in the consolidated balance sheet in the period in which the obligation is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Certification and Dry Dock Costs</w:t>
      </w:r>
    </w:p>
    <w:p>
      <w:pPr>
        <w:spacing w:after="0" w:line="21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Our vessels and systems are required by regulation to be periodically recertified. Certification costs for a vessel are typically incurred while the vessel is in regulatory docking. We defer and amortize certification costs, including vessel dry dock costs, over the period that the certification applies, which generally ranges from 24 to 60 months. Major replacements and improvements that extend the economic useful life or functional operating capability of a vessel or system are capitalized and depreciated over the asset’s remaining economic useful life. Routine repairs and maintenance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580"/>
          </w:cols>
          <w:pgMar w:left="1120" w:top="513" w:right="1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generate revenue in our Well Intervention segment by supplying vessels, personnel and equipment to provide well intervention services, which involve providing marine access, serving as a deployment mechanism to the subsea well, connecting to and maintaining a secure connection to the subsea well and maintaining well control through the duration of the intervention services. We may also perform down-hole intervention work and provide certain engineering services. We generate revenue in our Robotics segment by operating ROVs and trenchers to provide subsea trenching and burial of pipelines and cables as well as seabed clearance for the oil and gas and the renewable energy markets and to provide offshore construction, well intervention support and IRM services to oil and gas companies. We also provide integrated robotic services by supplying vessels that deploy ROVs and trenchers. We generate revenue in our Production Facilities segment by supplying vessels, personnel and equipment for oil and natural gas processing, well control response services, and oil and gas production from owned properties. We generate revenue in our Shallow Water Abandonment segment by providing decommissioning and intervention services with P&amp;A and CT systems and personnel; by providing marine access to offshore facilities with liftboats, OSVs and the crew boat in order to perform decommissioning, intervention, diving and other work scopes; and by providing diving and platform decommissioning services with the heavy lift barge, DSVs and personnel.</w:t>
      </w:r>
    </w:p>
    <w:p>
      <w:pPr>
        <w:spacing w:after="0" w:line="189" w:lineRule="exact"/>
        <w:rPr>
          <w:sz w:val="20"/>
          <w:szCs w:val="20"/>
          <w:color w:val="auto"/>
        </w:rPr>
      </w:pPr>
    </w:p>
    <w:p>
      <w:pPr>
        <w:jc w:val="both"/>
        <w:ind w:right="340" w:firstLine="648"/>
        <w:spacing w:after="0" w:line="247"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74"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We generally account for our services under contracts with customers as a single performance obligation satisfied over time. The single performance obligation in our dayrate contracts is comprised of a series of distinct time increments during which we provide our services. We do not account for activities that are immaterial or not distinct within the context of our contracts as separate performance obligations. Consideration received under a contract is allocated to the single performance obligation on a systematic basis that depicts the pattern of the provision of our services to the customer. We generally consider integrated offerings to be a single performance obligation due to the interdependencies of the offerings.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The total transaction price for a contract is determined by estimating both fixed and unconstrained variable consideration expected to be earned over the term of the contract and excludes certain amounts that have been disputed by our customers. We generally do not provide significant financing or extended payment terms to our customers and do not adjust contract consideration for the time value of money. Estimated variable consideration, if any, is considered to be constrained and therefore is not included in the transaction price until it is probable that a significant reversal in the amount of cumulative revenue recognized will not occur. At the end of each reporting period, we reassess and update our estimates of variable consideration and amounts of that variable consideration that should be constrained.</w:t>
      </w:r>
    </w:p>
    <w:p>
      <w:pPr>
        <w:spacing w:after="0" w:line="168"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i w:val="1"/>
          <w:iCs w:val="1"/>
          <w:color w:val="auto"/>
        </w:rPr>
        <w:t>Dayrate Contracts</w:t>
      </w:r>
      <w:r>
        <w:rPr>
          <w:rFonts w:ascii="Arial" w:cs="Arial" w:eastAsia="Arial" w:hAnsi="Arial"/>
          <w:sz w:val="18"/>
          <w:szCs w:val="18"/>
          <w:color w:val="auto"/>
        </w:rPr>
        <w:t>. Revenues generated from dayrate contracts generally provide for payment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rates per day as stipulated in the contract (e.g., operating rate, standby rate, and repair rate). Invoices billed to the customer are typically based on the varying rates applicable to operating status on an hourly basis. Dayrate consideration is allocated to the distinct hourly time increment to which it relates and is therefore recognized in line with the contractual rate billed for the services provided for any given hour. Similarly, revenues from contracts that stipulate a monthly rate are recognized ratably during the month.</w:t>
      </w:r>
    </w:p>
    <w:p>
      <w:pPr>
        <w:spacing w:after="0" w:line="17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Dayrate contracts also may contain fees charged to the customer for mobilizing and/or demobilizing equipment and personnel. Mobilization and demobilization are considered contract fulfillment activities, and related fees (subject to any constraint on estimates of variable consideration) are allocated to the single performance obligation and recognized ratably over the term of the contract. Mobilization fees are generally billable to the customer in the initial phase of a contract and generate contract liabilities until they are recognized as revenue. Demobilization fees are generally received at the end of the contract and generate contract assets when they are recognized as revenue prior to becoming receivables from the customer.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20"/>
          </w:cols>
          <w:pgMar w:left="1120" w:top="513" w:right="11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receive reimbursements from our customers for the purchase of supplies, equipment, personnel services and other services provided at their request. Reimbursable revenues are variable as the amounts received are generally subject to uncertainty. Accordingly, these revenues are constrained and not recognized until the related costs are incurred on behalf of the customer. We are generally considered a principal in these transactions and record the associated revenues at the gross amounts billed to the customer.</w:t>
      </w:r>
    </w:p>
    <w:p>
      <w:pPr>
        <w:spacing w:after="0" w:line="176"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A dayrate contract modification involving an extension of the contract by adding days of services is generally accounted for prospectively as a separate contract, but may be accounted for as a termination of the existing contract and creation of a new contract if the consideration for the extended services does not represent their stand-alone selling prices.</w:t>
      </w:r>
    </w:p>
    <w:p>
      <w:pPr>
        <w:spacing w:after="0" w:line="174"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i w:val="1"/>
          <w:iCs w:val="1"/>
          <w:color w:val="auto"/>
        </w:rPr>
        <w:t>Lump Sum Contracts</w:t>
      </w:r>
      <w:r>
        <w:rPr>
          <w:rFonts w:ascii="Arial" w:cs="Arial" w:eastAsia="Arial" w:hAnsi="Arial"/>
          <w:sz w:val="18"/>
          <w:szCs w:val="18"/>
          <w:color w:val="auto"/>
        </w:rPr>
        <w:t>. Revenues generated from lump sum contracts are recognized over time.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based on the extent of progress towards completion of the performance obligation. We generally use the cost-to-cost measure of progress for our lump sum contracts because it best depicts the progress toward satisfaction of our performance obligation, which occurs as we incur costs under those contracts. Under the cost-to-cost measure of progress, the extent of progress towards completion is measured based on the ratio of cumulative costs incurred to date to the total estimated costs at completion of the performance obligation. Consideration, including lump sum mobilization and demobilization fees billed to the customer, is recorded proportionally as revenue in accordance with the cost-to-cost measure of progress. Consideration for lump sum contracts is generally due from the customer based on the achievement of milestones. As such, contract assets are generated to the extent we recognize revenues in advance of our rights to collect contract consideration and contract liabilities are generated when contract consideration due or received is greater than revenues recognized to date.</w:t>
      </w:r>
    </w:p>
    <w:p>
      <w:pPr>
        <w:spacing w:after="0" w:line="18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We review and update our contract-related estimates regularly and recognize adjustments in estimated profit on contracts under the cumulative catch-up method. Under this method, the impact of the adjustment on profit recorded to date on a contract is recognized in the period in which the adjustment is identified. Revenue and profit in future periods of contract performance are recognized using the adjusted estimate. If a current estimate of total contract costs to be incurred exceeds the estimate of total revenues to be earned, we recognize the projected loss in full when it is identified. A modification to a lump sum contract is generally accounted for as part of the existing contract and recognized as an adjustment to revenue on a cumulative catch-up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Oil and Gas Production</w:t>
      </w:r>
    </w:p>
    <w:p>
      <w:pPr>
        <w:spacing w:after="0" w:line="21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Income from oil and gas production is recognized according to monthly oil and gas production volumes from the oil and gas properties that we own, and is included in revenues from our Production Facilities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Royalty Interests</w:t>
      </w:r>
    </w:p>
    <w:p>
      <w:pPr>
        <w:spacing w:after="0" w:line="210"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Income from royalty interests is recognized according to our share of monthly oil and gas production volumes and is included in “Royalty income and other” in the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0" w:lineRule="exact"/>
        <w:rPr>
          <w:sz w:val="20"/>
          <w:szCs w:val="20"/>
          <w:color w:val="auto"/>
        </w:rPr>
      </w:pPr>
    </w:p>
    <w:p>
      <w:pPr>
        <w:ind w:right="60" w:firstLine="648"/>
        <w:spacing w:after="0" w:line="251" w:lineRule="auto"/>
        <w:rPr>
          <w:sz w:val="20"/>
          <w:szCs w:val="20"/>
          <w:color w:val="auto"/>
        </w:rPr>
      </w:pPr>
      <w:r>
        <w:rPr>
          <w:rFonts w:ascii="Arial" w:cs="Arial" w:eastAsia="Arial" w:hAnsi="Arial"/>
          <w:sz w:val="17"/>
          <w:szCs w:val="17"/>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liabilities are obligations to provide future services to a customer for which we have already received, or have the unconditional right to receive, the consideration for those services from the customer. Contract liabilities may consist of (i) amounts billed to or advance payments received from customers, including upfront mobilization fees allocated to a single performance obligation and recognized ratably over the contract term and/or</w:t>
      </w:r>
    </w:p>
    <w:p>
      <w:pPr>
        <w:spacing w:after="0" w:line="3" w:lineRule="exact"/>
        <w:rPr>
          <w:sz w:val="20"/>
          <w:szCs w:val="20"/>
          <w:color w:val="auto"/>
        </w:rPr>
      </w:pPr>
    </w:p>
    <w:p>
      <w:pPr>
        <w:ind w:right="20" w:firstLine="1"/>
        <w:spacing w:after="0" w:line="242" w:lineRule="auto"/>
        <w:tabs>
          <w:tab w:leader="none" w:pos="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billed to the customer in excess of revenue recognized for lump sum contracts when the cost-to-cost method of revenue recognition is utilized. We report the net contract asset or contract liability position on a contract-by-contract basis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210"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Deferred income taxes are based on the differences between financial reporting and tax bases of assets and liabilities. We utilize the liability method of computing deferred income taxes. The liability method is based on the amount of current and future taxes payable using tax rates and laws in effect at the balance sheet date. Income taxes have been provided based upon the tax laws and rates in the countries in which operations are conducted and income is earned. A valuation allowance for deferred tax assets is recorded when it is more likely than not that some or all of the benefit from the deferred tax asset will not be realized.</w:t>
      </w:r>
    </w:p>
    <w:p>
      <w:pPr>
        <w:spacing w:after="0" w:line="179"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operate in multiple tax jurisdictions and our tax returns are subject to review and examination by local taxing authorities. We provide for uncertain tax positions and related interest and penalties based upon management’s assessment of whether a tax benefit is more likely than not to be sustained upon examination by local taxing authorities. Interest and penalties are not reported as a component of 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0"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Share-based payment awards are classified as either equity or liability awards based on various factors such as award conditions, settlement features, substantive terms and past practices. Shared-based compensation is initially measured at the grant date based on the estimated fair value of an award and subsequently measured depending on their award conditions and classification. Forfeitures are recognized as they occur.</w:t>
      </w:r>
    </w:p>
    <w:p>
      <w:pPr>
        <w:spacing w:after="0" w:line="17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w:t>
      </w:r>
    </w:p>
    <w:p>
      <w:pPr>
        <w:spacing w:after="0" w:line="169"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For the portions of our performance share unit (“PSU”) awards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the portions of our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equity PSU awards that are subsequently modified, if, at the modification date, it is probable that the original award would have vested, the cumulative compensation cost to be recognized would equal the grant date fair value of the original equity awards plus any incremental fair value of the modified liability awards.</w:t>
      </w:r>
    </w:p>
    <w:p>
      <w:pPr>
        <w:spacing w:after="0" w:line="18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7"/>
          <w:szCs w:val="17"/>
          <w:color w:val="auto"/>
        </w:rPr>
        <w:t>Our restricted stock unit (“RSU”) awards accounted for as liability awards are measured at their estimated fair value based on the closing share price of our common stock as of each balance sheet date, and subsequent changes in the fair value of the awards are recognized in earnings for the portion of the award for which the requisite service period</w:t>
      </w:r>
    </w:p>
    <w:p>
      <w:pPr>
        <w:spacing w:after="0"/>
        <w:rPr>
          <w:sz w:val="20"/>
          <w:szCs w:val="20"/>
          <w:color w:val="auto"/>
        </w:rPr>
      </w:pPr>
      <w:r>
        <w:rPr>
          <w:rFonts w:ascii="Arial" w:cs="Arial" w:eastAsia="Arial" w:hAnsi="Arial"/>
          <w:sz w:val="18"/>
          <w:szCs w:val="18"/>
          <w:color w:val="auto"/>
        </w:rPr>
        <w:t>has elapsed. Cumulative compensation cost for vested liability RSUs equals the actual payout value upon vesting</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10" w:lineRule="exact"/>
        <w:rPr>
          <w:sz w:val="20"/>
          <w:szCs w:val="20"/>
          <w:color w:val="auto"/>
        </w:rPr>
      </w:pPr>
    </w:p>
    <w:p>
      <w:pPr>
        <w:ind w:right="20" w:firstLine="648"/>
        <w:spacing w:after="0" w:line="261" w:lineRule="auto"/>
        <w:rPr>
          <w:sz w:val="20"/>
          <w:szCs w:val="20"/>
          <w:color w:val="auto"/>
        </w:rPr>
      </w:pPr>
      <w:r>
        <w:rPr>
          <w:rFonts w:ascii="Arial" w:cs="Arial" w:eastAsia="Arial" w:hAnsi="Arial"/>
          <w:sz w:val="17"/>
          <w:szCs w:val="17"/>
          <w:color w:val="auto"/>
        </w:rPr>
        <w:t>Asset retirement obligations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10"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Because we operate in various regions around the world, we conduct a portion of our business in currencies other than the U.S. dollar. Results of operations for our non-U.S. dollar subsidiaries are translated into U.S. dollars using average exchange rates during the period. Assets and liabilities of these non-U.S. dollar subsidiaries are translated into U.S. dollars using the exchange rate in effect at the end of the reporting period, and the resulting translation adjustments are included in other comprehensive income (loss) (“OCI”).</w:t>
      </w:r>
    </w:p>
    <w:p>
      <w:pPr>
        <w:spacing w:after="0" w:line="176"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For transactions denominated in a currency other than a subsidiary’s functional currency, the effects of changes in exchange rates are reported in “Other income (expense), net” in the consolidated statements of operations.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years ended December 31, 2025, 2024 and 2023, our foreign currency transaction losses totaled $1.7 million, $1.5 million and $4.4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 and Concentration of Risk</w:t>
      </w:r>
    </w:p>
    <w:p>
      <w:pPr>
        <w:spacing w:after="0" w:line="210"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color w:val="auto"/>
        </w:rPr>
        <w:t>We offer our products and services primarily in the offshore oil and gas and renewable energy markets. Oil and gas companies spend capital on exploration, drilling and production operations, the amount of which is generally dependent on the prevailing view of future oil and natural gas prices and volatility, which are subject to many external factors. Our customers consist primarily of major and independent oil and gas producers and suppliers, pipeline transmission companies, renewable energy companies and offshore engineering and construction firms. The percentages of consolidated revenue from major customers (those representing 10% or more of our consolidated revenues) were as follows: 2025 — Shell (18%) and Petrobras (10%); 2024 — Shell (12%) and Talos (12%); and</w:t>
      </w:r>
    </w:p>
    <w:p>
      <w:pPr>
        <w:spacing w:after="0" w:line="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2023 — Apache (11%) and Shell (10%). The revenue concentrations are reported in our Well Intervention, Production Facilities and Shallow Water Abandonment segments.</w:t>
      </w:r>
    </w:p>
    <w:p>
      <w:pPr>
        <w:spacing w:after="0" w:line="17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As of December 31, 2025, 20% of our labor force was covered by collective bargaining agreements or similar arrangements and 18% of our labor force was covered by those agreements that will expire within one year.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accounting rules establish a three-tier fair value hierarchy, which prioritizes the inputs used in measuring fair value as follows:</w:t>
      </w:r>
    </w:p>
    <w:p>
      <w:pPr>
        <w:spacing w:after="0" w:line="169" w:lineRule="exact"/>
        <w:rPr>
          <w:sz w:val="20"/>
          <w:szCs w:val="20"/>
          <w:color w:val="auto"/>
        </w:rPr>
      </w:pPr>
    </w:p>
    <w:p>
      <w:pPr>
        <w:ind w:left="680" w:hanging="328"/>
        <w:spacing w:after="0"/>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1. Observable inputs such as quoted prices in active markets;</w:t>
      </w:r>
    </w:p>
    <w:p>
      <w:pPr>
        <w:spacing w:after="0" w:line="26" w:lineRule="exact"/>
        <w:rPr>
          <w:rFonts w:ascii="Times New Roman" w:cs="Times New Roman" w:eastAsia="Times New Roman" w:hAnsi="Times New Roman"/>
          <w:sz w:val="18"/>
          <w:szCs w:val="18"/>
          <w:color w:val="auto"/>
        </w:rPr>
      </w:pPr>
    </w:p>
    <w:p>
      <w:pPr>
        <w:ind w:left="680" w:right="280" w:hanging="328"/>
        <w:spacing w:after="0" w:line="234" w:lineRule="auto"/>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ind w:left="680" w:right="500" w:hanging="328"/>
        <w:spacing w:after="0" w:line="249" w:lineRule="auto"/>
        <w:tabs>
          <w:tab w:leader="none" w:pos="6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Assets and liabilities measured at fair value are based on one or more of three valuation approaches as follows:</w:t>
      </w:r>
    </w:p>
    <w:p>
      <w:pPr>
        <w:spacing w:after="0" w:line="212" w:lineRule="exact"/>
        <w:rPr>
          <w:sz w:val="20"/>
          <w:szCs w:val="20"/>
          <w:color w:val="auto"/>
        </w:rPr>
      </w:pPr>
    </w:p>
    <w:p>
      <w:pPr>
        <w:ind w:left="640" w:right="180" w:hanging="315"/>
        <w:spacing w:after="0" w:line="24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Approach. Prices and other relevant information generated by market transactions involving identical or comparable assets or liabilities.</w:t>
      </w:r>
    </w:p>
    <w:p>
      <w:pPr>
        <w:ind w:left="640" w:hanging="315"/>
        <w:spacing w:after="0" w:line="23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Approach. Amount that would be required to replace the service capacity of an asset (replacement cost).</w:t>
      </w:r>
    </w:p>
    <w:p>
      <w:pPr>
        <w:ind w:left="640" w:right="600" w:hanging="315"/>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Approach. Techniques to convert expected future cash flows to a single present amount based on market expectations (including present value techniques, option-pricing and excess earnings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December 2023, the Financial Accounting Standards Board (the “FASB”) issued Accounting Standards Update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We adopted ASU No. 2023-09 prospectively starting with this Annual Report for the year ended December 31, 2025. The adoption of this ASU had no impact on our earnings or financial condition and did not have a material impact on our consolidated financial statements other than increased income tax disclosures which are reflected in Note 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issued but not yet effective</w:t>
      </w:r>
    </w:p>
    <w:p>
      <w:pPr>
        <w:spacing w:after="0" w:line="210"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In November 2024, the FASB issued ASU No. 2024-03, “Disaggregation of Income Statement Expenses,” which requires entities to disclose, on an annual and interim basis, specified information about certain costs and expenses: a) the amounts of (i) purchases of inventory, (ii) employee compensation, (iii) depreciation, (iv) intangible asset amortization, and (v) depreciation, depletion, and amortization recognized as part of oil and gas-producing activities (or other amounts of depletion expense) included in each relevant expense caption; b) certain amounts that are already required to be disclosed under current GAAP in the same disclosure as the other disaggregation requirements; c) a qualitative description of the amounts remaining in relevant expense captions that are not separately disaggregated quantitatively; and d) the total amount of selling expenses and, in annual periods, an entity’s definition of selling expenses. ASU No. 2024-03 will be effective for us for annual periods beginning January 1, 2027 and for interim periods beginning January 1, 2028. This ASU is not expected to have a material impact on our consolidated financial statements other than increased disclosure requirements.</w:t>
      </w:r>
    </w:p>
    <w:p>
      <w:pPr>
        <w:spacing w:after="0" w:line="18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Acquisition</w:t>
      </w:r>
    </w:p>
    <w:p>
      <w:pPr>
        <w:spacing w:after="0" w:line="210"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We expanded our service capabilities to the Gulf of America shelf market with the acquisition of the Alliance group of companies (collectively “Alliance”) on July 1, 2022, which we re-branded as Helix Alliance. During the fourth quarter 2023, we finalized the calculation and agreed with the seller in the Alliance transaction on an $85.0 million earnout, which was paid in cash on April 3, 2024. For the year ended December 31, 2023, we recorded $42.2 million for the change in fair value of the earnout consideration, which is reported in the accompanying consolidated statement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gridSpan w:val="3"/>
          </w:tcPr>
          <w:p>
            <w:pPr>
              <w:jc w:val="right"/>
              <w:ind w:right="36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29,345</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26,780</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7,383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11)</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10,871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11)</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18,678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31,874</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9,580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9,512</w:t>
            </w:r>
          </w:p>
        </w:tc>
        <w:tc>
          <w:tcPr>
            <w:tcW w:w="0" w:type="dxa"/>
            <w:vAlign w:val="bottom"/>
          </w:tcPr>
          <w:p>
            <w:pPr>
              <w:spacing w:after="0"/>
              <w:rPr>
                <w:sz w:val="1"/>
                <w:szCs w:val="1"/>
                <w:color w:val="auto"/>
              </w:rPr>
            </w:pPr>
          </w:p>
        </w:tc>
      </w:tr>
      <w:tr>
        <w:trPr>
          <w:trHeight w:val="196"/>
        </w:trPr>
        <w:tc>
          <w:tcPr>
            <w:tcW w:w="59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75,857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83,022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4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9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gridSpan w:val="3"/>
          </w:tcPr>
          <w:p>
            <w:pPr>
              <w:jc w:val="right"/>
              <w:ind w:right="36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Deferred costs (Note 11)</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27,291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3,262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96"/>
        </w:trPr>
        <w:tc>
          <w:tcPr>
            <w:tcW w:w="59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51,418</w:t>
            </w:r>
          </w:p>
        </w:tc>
        <w:tc>
          <w:tcPr>
            <w:tcW w:w="280" w:type="dxa"/>
            <w:vAlign w:val="bottom"/>
            <w:gridSpan w:val="2"/>
          </w:tcPr>
          <w:p>
            <w:pPr>
              <w:spacing w:after="0"/>
              <w:rPr>
                <w:sz w:val="17"/>
                <w:szCs w:val="17"/>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440" w:hanging="639"/>
        <w:spacing w:after="0" w:line="28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which may be used to offset certain payment obligations associated with the vessels at the end of their respective charter term.</w:t>
      </w:r>
    </w:p>
    <w:p>
      <w:pPr>
        <w:spacing w:after="0" w:line="31" w:lineRule="exact"/>
        <w:rPr>
          <w:rFonts w:ascii="Arial" w:cs="Arial" w:eastAsia="Arial" w:hAnsi="Arial"/>
          <w:sz w:val="18"/>
          <w:szCs w:val="18"/>
          <w:color w:val="auto"/>
        </w:rPr>
      </w:pPr>
    </w:p>
    <w:p>
      <w:pPr>
        <w:ind w:left="640" w:right="320" w:hanging="639"/>
        <w:spacing w:after="0" w:line="27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present value of receivables for P&amp;A work to be performed by us on Droshky field oil and gas properties we acquired from Marathon Oil Corporation in 2019.</w:t>
      </w:r>
    </w:p>
    <w:p>
      <w:pPr>
        <w:spacing w:after="0" w:line="14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4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gridSpan w:val="3"/>
          </w:tcPr>
          <w:p>
            <w:pPr>
              <w:jc w:val="right"/>
              <w:ind w:right="36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45,463</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10,102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(Note 11)</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22,271</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accrued liabilities</w:t>
            </w: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94,951</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64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200" w:type="dxa"/>
            <w:vAlign w:val="bottom"/>
          </w:tcPr>
          <w:p>
            <w:pPr>
              <w:spacing w:after="0"/>
              <w:rPr>
                <w:sz w:val="24"/>
                <w:szCs w:val="24"/>
                <w:color w:val="auto"/>
              </w:rPr>
            </w:pPr>
          </w:p>
        </w:tc>
        <w:tc>
          <w:tcPr>
            <w:tcW w:w="4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gridSpan w:val="3"/>
          </w:tcPr>
          <w:p>
            <w:pPr>
              <w:jc w:val="right"/>
              <w:ind w:right="36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 (Note 11)</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2"/>
        </w:trPr>
        <w:tc>
          <w:tcPr>
            <w:tcW w:w="6200" w:type="dxa"/>
            <w:vAlign w:val="bottom"/>
          </w:tcPr>
          <w:p>
            <w:pPr>
              <w:spacing w:after="0" w:line="202" w:lineRule="exact"/>
              <w:rPr>
                <w:sz w:val="20"/>
                <w:szCs w:val="20"/>
                <w:color w:val="auto"/>
              </w:rPr>
            </w:pPr>
            <w:r>
              <w:rPr>
                <w:rFonts w:ascii="Arial" w:cs="Arial" w:eastAsia="Arial" w:hAnsi="Arial"/>
                <w:sz w:val="18"/>
                <w:szCs w:val="18"/>
                <w:color w:val="auto"/>
              </w:rPr>
              <w:t>Asset retirement obligations (Note 15)</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68,770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62,947</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96"/>
        </w:trPr>
        <w:tc>
          <w:tcPr>
            <w:tcW w:w="6200" w:type="dxa"/>
            <w:vAlign w:val="bottom"/>
          </w:tcPr>
          <w:p>
            <w:pPr>
              <w:ind w:left="100"/>
              <w:spacing w:after="0" w:line="196" w:lineRule="exact"/>
              <w:rPr>
                <w:sz w:val="20"/>
                <w:szCs w:val="20"/>
                <w:color w:val="auto"/>
              </w:rPr>
            </w:pPr>
            <w:r>
              <w:rPr>
                <w:rFonts w:ascii="Arial" w:cs="Arial" w:eastAsia="Arial" w:hAnsi="Arial"/>
                <w:sz w:val="18"/>
                <w:szCs w:val="18"/>
                <w:color w:val="auto"/>
              </w:rPr>
              <w:t>Total other non-current liabilities</w:t>
            </w:r>
          </w:p>
        </w:tc>
        <w:tc>
          <w:tcPr>
            <w:tcW w:w="4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71,433</w:t>
            </w:r>
          </w:p>
        </w:tc>
        <w:tc>
          <w:tcPr>
            <w:tcW w:w="280" w:type="dxa"/>
            <w:vAlign w:val="bottom"/>
            <w:gridSpan w:val="2"/>
          </w:tcPr>
          <w:p>
            <w:pPr>
              <w:spacing w:after="0"/>
              <w:rPr>
                <w:sz w:val="17"/>
                <w:szCs w:val="17"/>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66,971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40"/>
          </w:cols>
          <w:pgMar w:left="1120" w:top="513" w:right="11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the gross components of property and equipment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19"/>
                <w:szCs w:val="19"/>
                <w:color w:val="auto"/>
              </w:rPr>
            </w:pPr>
          </w:p>
        </w:tc>
        <w:tc>
          <w:tcPr>
            <w:tcW w:w="3080" w:type="dxa"/>
            <w:vAlign w:val="bottom"/>
            <w:gridSpan w:val="2"/>
          </w:tcPr>
          <w:p>
            <w:pPr>
              <w:ind w:left="11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3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rPr>
              <w:t>Estimated Useful Life</w:t>
            </w:r>
          </w:p>
        </w:tc>
        <w:tc>
          <w:tcPr>
            <w:tcW w:w="500" w:type="dxa"/>
            <w:vAlign w:val="bottom"/>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Vessels</w:t>
            </w:r>
          </w:p>
        </w:tc>
        <w:tc>
          <w:tcPr>
            <w:tcW w:w="12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15 to 30 years</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2,469,762</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2,383,245</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Systems and equipment</w:t>
            </w:r>
          </w:p>
        </w:tc>
        <w:tc>
          <w:tcPr>
            <w:tcW w:w="120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5 to 15 years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363,271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345,093</w:t>
            </w: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ROVs and trenchers</w:t>
            </w:r>
          </w:p>
        </w:tc>
        <w:tc>
          <w:tcPr>
            <w:tcW w:w="120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 to 10 years</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265,483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261,417</w:t>
            </w:r>
          </w:p>
        </w:tc>
      </w:tr>
      <w:tr>
        <w:trPr>
          <w:trHeight w:val="203"/>
        </w:trPr>
        <w:tc>
          <w:tcPr>
            <w:tcW w:w="35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Buildings and other</w:t>
            </w:r>
          </w:p>
        </w:tc>
        <w:tc>
          <w:tcPr>
            <w:tcW w:w="12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5 to 39 years</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58,090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79,000</w:t>
            </w:r>
          </w:p>
        </w:tc>
      </w:tr>
      <w:tr>
        <w:trPr>
          <w:trHeight w:val="196"/>
        </w:trPr>
        <w:tc>
          <w:tcPr>
            <w:tcW w:w="35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property and equipment</w:t>
            </w:r>
          </w:p>
        </w:tc>
        <w:tc>
          <w:tcPr>
            <w:tcW w:w="12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3,156,606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3,068,755</w:t>
            </w:r>
          </w:p>
        </w:tc>
      </w:tr>
      <w:tr>
        <w:trPr>
          <w:trHeight w:val="20"/>
        </w:trPr>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The Thunder Hawk field under our Production Facilities segment ceased production beginning mid-year 2024 due to a blockage in a well. Multiple attempts to resolve the blockage previously failed and a well workover was completed late February 2026. Given the combination of low oil prices and the increase in estimated costs associated with a workover, we determined that the remaining net book value was not recoverable as of December 31, 2025 and performed an asset impairment assessment review by comparing the fair value of the Thunder Hawk field to its remaining net book value. We estimated the fair value using an income approach by discounting the estimated future cash flows (Level 3 input) as of the trigger date and concluded that the remaining net book value of the Thunder Hawk field was fully impaired. As such, we recorded a long-lived asset impairment charge of $18.1 million for the year ended December 31, 2025.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12"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 We also sublease some of our facilities under non-cancelable sublease agreements. As of December 31, 2025, the minimum sublease income to be received in the future was minimal.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b w:val="1"/>
                <w:bCs w:val="1"/>
                <w:color w:val="auto"/>
                <w:w w:val="99"/>
              </w:rPr>
              <w:t>Year Ended 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58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17"/>
                <w:szCs w:val="17"/>
                <w:color w:val="auto"/>
              </w:rPr>
            </w:pPr>
          </w:p>
        </w:tc>
        <w:tc>
          <w:tcPr>
            <w:tcW w:w="32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7"/>
                <w:szCs w:val="17"/>
                <w:color w:val="auto"/>
              </w:rPr>
            </w:pPr>
          </w:p>
        </w:tc>
        <w:tc>
          <w:tcPr>
            <w:tcW w:w="520" w:type="dxa"/>
            <w:vAlign w:val="bottom"/>
            <w:gridSpan w:val="2"/>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90,737</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87,569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12,543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11,113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48,318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55,879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Net lease cost</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151,481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154,462</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8620" w:type="dxa"/>
            <w:vAlign w:val="bottom"/>
            <w:gridSpan w:val="11"/>
          </w:tcPr>
          <w:p>
            <w:pPr>
              <w:jc w:val="right"/>
              <w:ind w:right="130"/>
              <w:spacing w:after="0"/>
              <w:rPr>
                <w:sz w:val="20"/>
                <w:szCs w:val="20"/>
                <w:color w:val="auto"/>
              </w:rPr>
            </w:pPr>
            <w:r>
              <w:rPr>
                <w:rFonts w:ascii="Arial" w:cs="Arial" w:eastAsia="Arial" w:hAnsi="Arial"/>
                <w:sz w:val="18"/>
                <w:szCs w:val="18"/>
                <w:color w:val="auto"/>
              </w:rPr>
              <w:t>Maturities of our operating lease liabilities as of December 31, 2025 are as follows (in thousands):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rPr>
              <w:t>​​​ Facilities and</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5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Equipment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77,129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4,267</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76,334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4,328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65,278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53,006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3,869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59,020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27,237</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11,950</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358,004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33,138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(60,774)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(8,613)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297,230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5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57,240</w:t>
            </w:r>
          </w:p>
        </w:tc>
        <w:tc>
          <w:tcPr>
            <w:tcW w:w="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3,556</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239,990</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20,969</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260,959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297,230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24,525</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8560" w:type="dxa"/>
            <w:vAlign w:val="bottom"/>
            <w:gridSpan w:val="12"/>
          </w:tcPr>
          <w:p>
            <w:pPr>
              <w:jc w:val="right"/>
              <w:ind w:right="70"/>
              <w:spacing w:after="0"/>
              <w:rPr>
                <w:sz w:val="20"/>
                <w:szCs w:val="20"/>
                <w:color w:val="auto"/>
              </w:rPr>
            </w:pPr>
            <w:r>
              <w:rPr>
                <w:rFonts w:ascii="Arial" w:cs="Arial" w:eastAsia="Arial" w:hAnsi="Arial"/>
                <w:sz w:val="18"/>
                <w:szCs w:val="18"/>
                <w:color w:val="auto"/>
              </w:rPr>
              <w:t>Maturities of our operating lease liabilities as of December 31, 2024 are as follows (in thousands):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rPr>
              <w:t>​​​ Facilities and</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Vessels</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Equipment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78,442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66,020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3,442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55,933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86,257</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15,736</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401,171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34,926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(80,564)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(9,567)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4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55,643</w:t>
            </w:r>
          </w:p>
        </w:tc>
        <w:tc>
          <w:tcPr>
            <w:tcW w:w="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4,339</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264,964</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21,020</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320,607</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25,359</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December 31,</w:t>
            </w:r>
          </w:p>
        </w:tc>
        <w:tc>
          <w:tcPr>
            <w:tcW w:w="1300" w:type="dxa"/>
            <w:vAlign w:val="bottom"/>
            <w:tcBorders>
              <w:bottom w:val="single" w:sz="8" w:color="auto"/>
            </w:tcBorders>
          </w:tcPr>
          <w:p>
            <w:pPr>
              <w:spacing w:after="0"/>
              <w:rPr>
                <w:sz w:val="19"/>
                <w:szCs w:val="19"/>
                <w:color w:val="auto"/>
              </w:rPr>
            </w:pPr>
          </w:p>
        </w:tc>
      </w:tr>
      <w:tr>
        <w:trPr>
          <w:trHeight w:val="196"/>
        </w:trPr>
        <w:tc>
          <w:tcPr>
            <w:tcW w:w="5700" w:type="dxa"/>
            <w:vAlign w:val="bottom"/>
            <w:gridSpan w:val="2"/>
          </w:tcPr>
          <w:p>
            <w:pPr>
              <w:ind w:left="5380"/>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128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130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 years</w:t>
            </w:r>
          </w:p>
        </w:tc>
        <w:tc>
          <w:tcPr>
            <w:tcW w:w="1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 years</w:t>
            </w: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 years</w:t>
            </w:r>
          </w:p>
        </w:tc>
      </w:tr>
      <w:tr>
        <w:trPr>
          <w:trHeight w:val="239"/>
        </w:trPr>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7.68 %</w:t>
            </w:r>
          </w:p>
        </w:tc>
        <w:tc>
          <w:tcPr>
            <w:tcW w:w="1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7.89 %</w:t>
            </w:r>
          </w:p>
        </w:tc>
        <w:tc>
          <w:tcPr>
            <w:tcW w:w="16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8.20 %</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5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4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gridSpan w:val="2"/>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88,248</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80,642</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68,788</w:t>
            </w:r>
          </w:p>
        </w:tc>
      </w:tr>
      <w:tr>
        <w:trPr>
          <w:trHeight w:val="359"/>
        </w:trPr>
        <w:tc>
          <w:tcPr>
            <w:tcW w:w="5340" w:type="dxa"/>
            <w:vAlign w:val="bottom"/>
          </w:tcPr>
          <w:p>
            <w:pPr>
              <w:spacing w:after="0"/>
              <w:rPr>
                <w:sz w:val="20"/>
                <w:szCs w:val="20"/>
                <w:color w:val="auto"/>
              </w:rPr>
            </w:pPr>
            <w:r>
              <w:rPr>
                <w:rFonts w:ascii="Arial" w:cs="Arial" w:eastAsia="Arial" w:hAnsi="Arial"/>
                <w:sz w:val="18"/>
                <w:szCs w:val="18"/>
                <w:color w:val="auto"/>
              </w:rPr>
              <w:t xml:space="preserve">Right-of-use assets related to new operating lease obligations </w:t>
            </w:r>
            <w:r>
              <w:rPr>
                <w:rFonts w:ascii="Arial" w:cs="Arial" w:eastAsia="Arial" w:hAnsi="Arial"/>
                <w:sz w:val="26"/>
                <w:szCs w:val="26"/>
                <w:color w:val="auto"/>
                <w:vertAlign w:val="superscript"/>
              </w:rPr>
              <w:t>(1)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37,658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220,945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2590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 w:lineRule="exact"/>
        <w:rPr>
          <w:sz w:val="20"/>
          <w:szCs w:val="20"/>
          <w:color w:val="auto"/>
        </w:rPr>
      </w:pPr>
    </w:p>
    <w:p>
      <w:pPr>
        <w:ind w:left="640" w:right="160" w:hanging="639"/>
        <w:spacing w:after="0" w:line="24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operating lease additions are primarily related to the charter for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and charter extensions for the </w:t>
      </w:r>
      <w:r>
        <w:rPr>
          <w:rFonts w:ascii="Arial" w:cs="Arial" w:eastAsia="Arial" w:hAnsi="Arial"/>
          <w:sz w:val="18"/>
          <w:szCs w:val="18"/>
          <w:i w:val="1"/>
          <w:iCs w:val="1"/>
          <w:color w:val="auto"/>
        </w:rPr>
        <w:t xml:space="preserve">North Sea Enabler </w:t>
      </w:r>
      <w:r>
        <w:rPr>
          <w:rFonts w:ascii="Arial" w:cs="Arial" w:eastAsia="Arial" w:hAnsi="Arial"/>
          <w:sz w:val="18"/>
          <w:szCs w:val="18"/>
          <w:color w:val="auto"/>
        </w:rPr>
        <w:t>during the year ended December 31, 2025, the charter extensions for the</w:t>
      </w:r>
      <w:r>
        <w:rPr>
          <w:rFonts w:ascii="Arial" w:cs="Arial" w:eastAsia="Arial" w:hAnsi="Arial"/>
          <w:sz w:val="18"/>
          <w:szCs w:val="18"/>
          <w:i w:val="1"/>
          <w:iCs w:val="1"/>
          <w:color w:val="auto"/>
        </w:rPr>
        <w:t xml:space="preserve"> Sea Helix 1</w:t>
      </w:r>
      <w:r>
        <w:rPr>
          <w:rFonts w:ascii="Arial" w:cs="Arial" w:eastAsia="Arial" w:hAnsi="Arial"/>
          <w:sz w:val="18"/>
          <w:szCs w:val="18"/>
          <w:color w:val="auto"/>
        </w:rPr>
        <w:t>, the</w:t>
      </w:r>
      <w:r>
        <w:rPr>
          <w:rFonts w:ascii="Arial" w:cs="Arial" w:eastAsia="Arial" w:hAnsi="Arial"/>
          <w:sz w:val="18"/>
          <w:szCs w:val="18"/>
          <w:i w:val="1"/>
          <w:iCs w:val="1"/>
          <w:color w:val="auto"/>
        </w:rPr>
        <w:t xml:space="preserve"> Siem Helix 2</w:t>
      </w:r>
      <w:r>
        <w:rPr>
          <w:rFonts w:ascii="Arial" w:cs="Arial" w:eastAsia="Arial" w:hAnsi="Arial"/>
          <w:sz w:val="18"/>
          <w:szCs w:val="18"/>
          <w:color w:val="auto"/>
        </w:rPr>
        <w:t>,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Shelia Bordelon </w:t>
      </w:r>
      <w:r>
        <w:rPr>
          <w:rFonts w:ascii="Arial" w:cs="Arial" w:eastAsia="Arial" w:hAnsi="Arial"/>
          <w:sz w:val="18"/>
          <w:szCs w:val="18"/>
          <w:color w:val="auto"/>
        </w:rPr>
        <w:t>during the year ended December 31, 2024,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charters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North Sea Enabler</w:t>
      </w:r>
      <w:r>
        <w:rPr>
          <w:rFonts w:ascii="Arial" w:cs="Arial" w:eastAsia="Arial" w:hAnsi="Arial"/>
          <w:sz w:val="18"/>
          <w:szCs w:val="18"/>
          <w:color w:val="auto"/>
        </w:rPr>
        <w:t xml:space="preserve"> during the year ended December 31, 2023.</w:t>
      </w:r>
    </w:p>
    <w:p>
      <w:pPr>
        <w:spacing w:after="0" w:line="160" w:lineRule="exact"/>
        <w:rPr>
          <w:sz w:val="20"/>
          <w:szCs w:val="20"/>
          <w:color w:val="auto"/>
        </w:rPr>
      </w:pPr>
    </w:p>
    <w:p>
      <w:pPr>
        <w:ind w:right="680" w:firstLine="648"/>
        <w:spacing w:after="0" w:line="271" w:lineRule="auto"/>
        <w:rPr>
          <w:sz w:val="20"/>
          <w:szCs w:val="20"/>
          <w:color w:val="auto"/>
        </w:rPr>
      </w:pPr>
      <w:r>
        <w:rPr>
          <w:rFonts w:ascii="Arial" w:cs="Arial" w:eastAsia="Arial" w:hAnsi="Arial"/>
          <w:sz w:val="18"/>
          <w:szCs w:val="18"/>
          <w:color w:val="auto"/>
        </w:rPr>
        <w:t>See Note 16 for additional information on our significant leases including those not yet commenced as of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Debt</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11"/>
        </w:trPr>
        <w:tc>
          <w:tcPr>
            <w:tcW w:w="5780" w:type="dxa"/>
            <w:vAlign w:val="bottom"/>
            <w:gridSpan w:val="2"/>
          </w:tcPr>
          <w:p>
            <w:pPr>
              <w:ind w:left="640"/>
              <w:spacing w:after="0"/>
              <w:rPr>
                <w:sz w:val="20"/>
                <w:szCs w:val="20"/>
                <w:color w:val="auto"/>
              </w:rPr>
            </w:pPr>
            <w:r>
              <w:rPr>
                <w:rFonts w:ascii="Arial" w:cs="Arial" w:eastAsia="Arial" w:hAnsi="Arial"/>
                <w:sz w:val="18"/>
                <w:szCs w:val="18"/>
                <w:color w:val="auto"/>
              </w:rPr>
              <w:t>Long-term debt consists of the following (in thousands):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0"/>
        </w:trPr>
        <w:tc>
          <w:tcPr>
            <w:tcW w:w="24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24"/>
                <w:szCs w:val="24"/>
                <w:color w:val="auto"/>
              </w:rPr>
            </w:pPr>
          </w:p>
        </w:tc>
      </w:tr>
      <w:tr>
        <w:trPr>
          <w:trHeight w:val="196"/>
        </w:trPr>
        <w:tc>
          <w:tcPr>
            <w:tcW w:w="2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tcBorders>
            <w:gridSpan w:val="3"/>
          </w:tcPr>
          <w:p>
            <w:pPr>
              <w:jc w:val="right"/>
              <w:ind w:right="387"/>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5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r>
      <w:tr>
        <w:trPr>
          <w:trHeight w:val="203"/>
        </w:trPr>
        <w:tc>
          <w:tcPr>
            <w:tcW w:w="57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7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Gross debt</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314,645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323,831</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Unamortized debt discount</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(1,186)</w:t>
            </w:r>
          </w:p>
        </w:tc>
      </w:tr>
      <w:tr>
        <w:trPr>
          <w:trHeight w:val="203"/>
        </w:trPr>
        <w:tc>
          <w:tcPr>
            <w:tcW w:w="5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issuance costs</w:t>
            </w:r>
          </w:p>
        </w:tc>
        <w:tc>
          <w:tcPr>
            <w:tcW w:w="8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(7,488)</w:t>
            </w:r>
          </w:p>
        </w:tc>
      </w:tr>
      <w:tr>
        <w:trPr>
          <w:trHeight w:val="196"/>
        </w:trPr>
        <w:tc>
          <w:tcPr>
            <w:tcW w:w="57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307,995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315,157</w:t>
            </w:r>
          </w:p>
        </w:tc>
      </w:tr>
      <w:tr>
        <w:trPr>
          <w:trHeight w:val="203"/>
        </w:trPr>
        <w:tc>
          <w:tcPr>
            <w:tcW w:w="57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Less current maturities </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196"/>
        </w:trPr>
        <w:tc>
          <w:tcPr>
            <w:tcW w:w="57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8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298,351</w:t>
            </w:r>
          </w:p>
        </w:tc>
        <w:tc>
          <w:tcPr>
            <w:tcW w:w="280" w:type="dxa"/>
            <w:vAlign w:val="bottom"/>
            <w:gridSpan w:val="2"/>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305,971</w:t>
            </w:r>
          </w:p>
        </w:tc>
      </w:tr>
      <w:tr>
        <w:trPr>
          <w:trHeight w:val="20"/>
        </w:trPr>
        <w:tc>
          <w:tcPr>
            <w:tcW w:w="2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640" w:hanging="63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maturities as of December 31, 2025 and 2024 both included the current portion of the MARAD Debt.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72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Amended ABL Facility provides a $120 million asset-based revolving credit line that matures on August 2, 2029, with a springing maturity 91 days prior to the maturity of any outstanding indebtedness with a principal amount in excess of $50 million. The Amended ABL Facility permits us to request an increase of the facility of up to $30 million, subject to certain conditions.</w:t>
      </w:r>
    </w:p>
    <w:p>
      <w:pPr>
        <w:spacing w:after="0" w:line="179"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December 31, 2025, we had no borrowings under the Amended ABL Facility, and our available borrowing capacity, based on the borrowing base, totaled $110.9 million, net of $1.5 million of letters of credit issued and includes $2.5 million of cash pledged to the facility.</w:t>
      </w:r>
    </w:p>
    <w:p>
      <w:pPr>
        <w:spacing w:after="0" w:line="179"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U.S. borrowings under the Amended ABL Facility bear interest at the Term SOFR rate (also known as CME Term SOFR as administered by CME Group, Inc.) plus a margin of 1.50% to 2.00% or at a base rate plus a margin of 0.50% to 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79"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 xml:space="preserve">In 2005, Helix’s subsidiary CDI-Title XI issued its U.S. Government Guaranteed Ship Financing Bonds, Q4000 Series, to refinance the construction financing originally granted in 2002 of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vessel (the “MARAD Debt”). The MARAD Debt is guaranteed by the U.S. government pursuant to Title XI of the Merchant Marine Act of 1936, administered by the Maritime Administration (“MARAD”). The obligation of CDI-Title XI to reimburse MARAD in the event CDI-Title XI fails to repay the MARAD Debt is collateralized by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and is guaranteed 50% by us. In addition, we have agreed to bareboat charter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from CDI-Title XI for so long as the MARAD Debt remains outstanding. The MARAD Debt is payable in equal semi-annual installments through February 2027 and bears interest at a rate of 4.93%.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redeem our former Convertible Senior Notes due 2026 (the “2026 Notes”). See details regarding the redemption of the 2026 Notes below.</w:t>
      </w:r>
    </w:p>
    <w:p>
      <w:pPr>
        <w:spacing w:after="0" w:line="174"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169"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7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52"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1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During December 2023 and the first quarter 2024, we retired the 2026 Notes through various transactions using proceeds from the 2029 Notes as well as the issuance of our common stock.</w:t>
      </w:r>
    </w:p>
    <w:p>
      <w:pPr>
        <w:spacing w:after="0" w:line="154"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In December 2023, we entered into privately negotiated agreements with certain holders of the 2026 Notes to repurchase $ 159.8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In December 2023, $0.2 million aggregate principal amount of the 2026 Notes was tendered for conversion. We settled the conversions for $ 0.3 million cash in March 2024. The conversion value paid in excess of the $0.2 million carrying amount of the 2026 Notes that were tendered for conversion is reflected in “Common stock” in the shareholders’ equity section of the accompanying consolidated balance sheets.</w:t>
      </w:r>
    </w:p>
    <w:p>
      <w:pPr>
        <w:spacing w:after="0" w:line="17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January 2024, we issued a notice for the redemption of the remaining $40.0 million aggregate principal amount of the 2026 Notes to be settled in March 2024 (the “2026 Notes Redemptions”). The redemption price consisted of the principal amount and the make-whole premium, plus accrued and unpaid interest. Our redemption notice enabled holders of $ 39.7 million aggregate principal amount of the 2026 Notes to tender their notes for conversion prior to the redemption date, with the remaining $0.3 million aggregate principal amount of the notes redeemed. We settled both the conversions and redemptions for an aggregate $60.2 million cash in March 2024 and recognized pre-tax losses of $20.9 million. These losses are reflected in “Losses related to convertible senior notes” in the accompanying consolidated statement of operations.</w:t>
      </w:r>
    </w:p>
    <w:p>
      <w:pPr>
        <w:spacing w:after="0" w:line="180"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counterparties to hedge the dilution risk of the 2026 Notes. Concurrent with the settlement of the 2026 Notes Repurchases and the 2026 Notes Redemptions, we terminated the 2026 Capped Calls and received $20.0 million in cash (Note 9).</w:t>
      </w:r>
    </w:p>
    <w:p>
      <w:pPr>
        <w:spacing w:after="0" w:line="174" w:lineRule="exact"/>
        <w:rPr>
          <w:sz w:val="20"/>
          <w:szCs w:val="20"/>
          <w:color w:val="auto"/>
        </w:rPr>
      </w:pPr>
    </w:p>
    <w:p>
      <w:pPr>
        <w:jc w:val="both"/>
        <w:ind w:right="120" w:firstLine="648"/>
        <w:spacing w:after="0" w:line="247" w:lineRule="auto"/>
        <w:rPr>
          <w:sz w:val="20"/>
          <w:szCs w:val="20"/>
          <w:color w:val="auto"/>
        </w:rPr>
      </w:pPr>
      <w:r>
        <w:rPr>
          <w:rFonts w:ascii="Arial" w:cs="Arial" w:eastAsia="Arial" w:hAnsi="Arial"/>
          <w:sz w:val="18"/>
          <w:szCs w:val="18"/>
          <w:color w:val="auto"/>
        </w:rPr>
        <w:t>The 2026 Notes had a coupon interest rate of 6.75% per annum and an effective interest rate of 7.6%. For the years ended December 31, 2024 and 2023, total interest expense related to the 2026 Notes was $0.4 million and $14.6 million, respectively, with coupon interest expense of $0.3 million and $13.3 million, respectively, and the amortization of debt issuance costs of $0.1 million and $1.3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jc w:val="both"/>
        <w:ind w:right="10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December 31, 2025, we were in compliance with these covenants.</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consolidated balance sheets. Notes representing the remaining $0.8 million aggregate principal amount of the 2023 Notes were redeemed at par, plus accrued and unpaid interest. The 2023 Notes had a coupon interest rate of 4.125% per annum and an effective interest rate of 4.8%. For the year ended December 31, 2023, total interest expense related to the 2023 Notes was $1.0 million, primarily from coupon interest expense.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Scheduled maturities of our long-term debt outstanding as of December 31, 2025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MARAD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2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Debt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Notes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9,644</w:t>
            </w:r>
          </w:p>
        </w:tc>
      </w:tr>
      <w:tr>
        <w:trPr>
          <w:trHeight w:val="202"/>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398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1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314,645</w:t>
            </w: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(946)</w:t>
            </w:r>
          </w:p>
        </w:tc>
      </w:tr>
      <w:tr>
        <w:trPr>
          <w:trHeight w:val="203"/>
        </w:trPr>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(5,094)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w:t>
            </w:r>
          </w:p>
        </w:tc>
      </w:tr>
      <w:tr>
        <w:trPr>
          <w:trHeight w:val="196"/>
        </w:trPr>
        <w:tc>
          <w:tcPr>
            <w:tcW w:w="39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debt</w:t>
            </w:r>
          </w:p>
        </w:tc>
        <w:tc>
          <w:tcPr>
            <w:tcW w:w="1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14,035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293,960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307,995</w:t>
            </w:r>
          </w:p>
        </w:tc>
      </w:tr>
      <w:tr>
        <w:trPr>
          <w:trHeight w:val="203"/>
        </w:trPr>
        <w:tc>
          <w:tcPr>
            <w:tcW w:w="39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(9,644)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r>
      <w:tr>
        <w:trPr>
          <w:trHeight w:val="196"/>
        </w:trPr>
        <w:tc>
          <w:tcPr>
            <w:tcW w:w="39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293,960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298,351</w:t>
            </w:r>
          </w:p>
        </w:tc>
      </w:tr>
      <w:tr>
        <w:trPr>
          <w:trHeight w:val="20"/>
        </w:trPr>
        <w:tc>
          <w:tcPr>
            <w:tcW w:w="2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62" w:lineRule="exact"/>
        <w:rPr>
          <w:sz w:val="20"/>
          <w:szCs w:val="20"/>
          <w:color w:val="auto"/>
        </w:rPr>
      </w:pPr>
    </w:p>
    <w:p>
      <w:pPr>
        <w:ind w:left="640" w:right="320" w:hanging="639"/>
        <w:spacing w:after="0" w:line="271"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2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gridSpan w:val="2"/>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33,901</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21,359</w:t>
            </w:r>
          </w:p>
        </w:tc>
      </w:tr>
      <w:tr>
        <w:trPr>
          <w:trHeight w:val="203"/>
        </w:trPr>
        <w:tc>
          <w:tcPr>
            <w:tcW w:w="5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(10,196)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(11,272)</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(4,021)</w:t>
            </w:r>
          </w:p>
        </w:tc>
      </w:tr>
      <w:tr>
        <w:trPr>
          <w:trHeight w:val="196"/>
        </w:trPr>
        <w:tc>
          <w:tcPr>
            <w:tcW w:w="5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22,629</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17,338</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1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consolidated financial statements.</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July 4, 2025, the One Big Beautiful Bill Act was passed into law. The legislation provides us with benefits that are temporary in nature with no material impact on our income tax expense or effective tax rate for the year ended December 31, 2025.</w:t>
      </w:r>
    </w:p>
    <w:p>
      <w:pPr>
        <w:spacing w:after="0" w:line="169" w:lineRule="exact"/>
        <w:rPr>
          <w:sz w:val="20"/>
          <w:szCs w:val="20"/>
          <w:color w:val="auto"/>
        </w:rPr>
      </w:pPr>
    </w:p>
    <w:p>
      <w:pPr>
        <w:ind w:right="660" w:firstLine="648"/>
        <w:spacing w:after="0" w:line="271" w:lineRule="auto"/>
        <w:rPr>
          <w:sz w:val="20"/>
          <w:szCs w:val="20"/>
          <w:color w:val="auto"/>
        </w:rPr>
      </w:pPr>
      <w:r>
        <w:rPr>
          <w:rFonts w:ascii="Arial" w:cs="Arial" w:eastAsia="Arial" w:hAnsi="Arial"/>
          <w:sz w:val="18"/>
          <w:szCs w:val="18"/>
          <w:color w:val="auto"/>
        </w:rPr>
        <w:t>Components of income tax provision reflected in the consolidated statements of operations consist of the following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18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2900" w:type="dxa"/>
            <w:vAlign w:val="bottom"/>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19"/>
                <w:szCs w:val="19"/>
                <w:color w:val="auto"/>
              </w:rPr>
            </w:pPr>
          </w:p>
        </w:tc>
      </w:tr>
      <w:tr>
        <w:trPr>
          <w:trHeight w:val="196"/>
        </w:trPr>
        <w:tc>
          <w:tcPr>
            <w:tcW w:w="4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 (benefit):</w:t>
            </w:r>
          </w:p>
        </w:tc>
        <w:tc>
          <w:tcPr>
            <w:tcW w:w="1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18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1,673</w:t>
            </w:r>
          </w:p>
        </w:tc>
        <w:tc>
          <w:tcPr>
            <w:tcW w:w="40" w:type="dxa"/>
            <w:vAlign w:val="bottom"/>
          </w:tcPr>
          <w:p>
            <w:pPr>
              <w:spacing w:after="0"/>
              <w:rPr>
                <w:sz w:val="17"/>
                <w:szCs w:val="17"/>
                <w:color w:val="auto"/>
              </w:rPr>
            </w:pPr>
          </w:p>
        </w:tc>
        <w:tc>
          <w:tcPr>
            <w:tcW w:w="4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5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State</w:t>
            </w: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40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Foreign</w:t>
            </w:r>
          </w:p>
        </w:tc>
        <w:tc>
          <w:tcPr>
            <w:tcW w:w="1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17,994</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15,918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5,310</w:t>
            </w:r>
          </w:p>
        </w:tc>
      </w:tr>
      <w:tr>
        <w:trPr>
          <w:trHeight w:val="196"/>
        </w:trPr>
        <w:tc>
          <w:tcPr>
            <w:tcW w:w="40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w:t>
            </w:r>
          </w:p>
        </w:tc>
        <w:tc>
          <w:tcPr>
            <w:tcW w:w="16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19,720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6,820</w:t>
            </w: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color w:val="auto"/>
              </w:rPr>
              <w:t>Deferred tax provision (benefit):</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Federal</w:t>
            </w:r>
          </w:p>
        </w:tc>
        <w:tc>
          <w:tcPr>
            <w:tcW w:w="18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(11,993)</w:t>
            </w:r>
          </w:p>
        </w:tc>
        <w:tc>
          <w:tcPr>
            <w:tcW w:w="4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11,562</w:t>
            </w: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8,990</w:t>
            </w:r>
          </w:p>
        </w:tc>
      </w:tr>
      <w:tr>
        <w:trPr>
          <w:trHeight w:val="202"/>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State</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2,843</w:t>
            </w:r>
          </w:p>
        </w:tc>
      </w:tr>
      <w:tr>
        <w:trPr>
          <w:trHeight w:val="196"/>
        </w:trPr>
        <w:tc>
          <w:tcPr>
            <w:tcW w:w="4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deferred</w:t>
            </w:r>
          </w:p>
        </w:tc>
        <w:tc>
          <w:tcPr>
            <w:tcW w:w="1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(8,067)</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10,606</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11,532</w:t>
            </w:r>
          </w:p>
        </w:tc>
      </w:tr>
      <w:tr>
        <w:trPr>
          <w:trHeight w:val="196"/>
        </w:trPr>
        <w:tc>
          <w:tcPr>
            <w:tcW w:w="40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income tax provision</w:t>
            </w: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11,653</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18,352</w:t>
            </w: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Components of income before income taxes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Pr>
          <w:p>
            <w:pPr>
              <w:spacing w:after="0"/>
              <w:rPr>
                <w:sz w:val="19"/>
                <w:szCs w:val="19"/>
                <w:color w:val="auto"/>
              </w:rPr>
            </w:pPr>
          </w:p>
        </w:tc>
        <w:tc>
          <w:tcPr>
            <w:tcW w:w="23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29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tcBorders>
              <w:top w:val="single" w:sz="8" w:color="auto"/>
            </w:tcBorders>
            <w:gridSpan w:val="2"/>
          </w:tcPr>
          <w:p>
            <w:pPr>
              <w:jc w:val="right"/>
              <w:ind w:right="12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top w:val="single" w:sz="8" w:color="auto"/>
            </w:tcBorders>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20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(48,969)</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(32,980)</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(31,646)</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Foreign</w:t>
            </w:r>
          </w:p>
        </w:tc>
        <w:tc>
          <w:tcPr>
            <w:tcW w:w="2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91,449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115,044</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39,160</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before income taxes</w:t>
            </w:r>
          </w:p>
        </w:tc>
        <w:tc>
          <w:tcPr>
            <w:tcW w:w="2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42,480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82,064</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60" w:type="dxa"/>
            <w:vAlign w:val="bottom"/>
            <w:vMerge w:val="restart"/>
          </w:tcPr>
          <w:p>
            <w:pPr>
              <w:jc w:val="right"/>
              <w:ind w:right="650"/>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6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6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513" w:right="11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Reconciling items between the U.S. statutory rate and our effective tax rate for the year ended December 31, 2025 are as follows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8"/>
              </w:rPr>
              <w:t>Year Ended</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1"/>
        </w:trPr>
        <w:tc>
          <w:tcPr>
            <w:tcW w:w="240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9"/>
              </w:rPr>
              <w:t>December 31, 2025</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r>
      <w:tr>
        <w:trPr>
          <w:trHeight w:val="196"/>
        </w:trPr>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U.S. federal statutory tax rate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920" w:type="dxa"/>
            <w:vAlign w:val="bottom"/>
            <w:gridSpan w:val="3"/>
            <w:shd w:val="clear" w:color="auto" w:fill="CCEEFF"/>
          </w:tcPr>
          <w:p>
            <w:pPr>
              <w:ind w:left="520"/>
              <w:spacing w:after="0" w:line="196" w:lineRule="exact"/>
              <w:rPr>
                <w:sz w:val="20"/>
                <w:szCs w:val="20"/>
                <w:color w:val="auto"/>
              </w:rPr>
            </w:pPr>
            <w:r>
              <w:rPr>
                <w:rFonts w:ascii="Arial" w:cs="Arial" w:eastAsia="Arial" w:hAnsi="Arial"/>
                <w:sz w:val="18"/>
                <w:szCs w:val="18"/>
                <w:color w:val="auto"/>
              </w:rPr>
              <w:t>8,921  ​​​</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Domestic federal:</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tax credits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Non-taxable or non-deductible items: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Non-deductible compensation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permanent adjustments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Effect of cross-border tax laws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1,472</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Return-to-provision</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valuation allowances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r>
      <w:tr>
        <w:trPr>
          <w:trHeight w:val="202"/>
        </w:trPr>
        <w:tc>
          <w:tcPr>
            <w:tcW w:w="660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State and local income taxes, net of federal income tax effect </w:t>
            </w:r>
            <w:r>
              <w:rPr>
                <w:rFonts w:ascii="Arial" w:cs="Arial" w:eastAsia="Arial" w:hAnsi="Arial"/>
                <w:sz w:val="23"/>
                <w:szCs w:val="23"/>
                <w:color w:val="auto"/>
                <w:vertAlign w:val="superscript"/>
              </w:rPr>
              <w:t>(2)</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tax effects: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U.K.:</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Internal restructuring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(17,310)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Changes in valuation allowances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15,685</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reconciling items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Brazil:</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Statutory tax rate difference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5,025</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reconciling items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Luxembourg: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Rate change</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2,430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Changes in valuation allowances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(4,812)</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reconciling items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638</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Taiwan: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2"/>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Non-taxable or non-deductible items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(1,906)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Return-to-provision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reconciling items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Nigeria:</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Statutory tax rate difference</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Non-refundable income taxes withheld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1,947</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Return-to-provision</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(2,094)</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r>
      <w:tr>
        <w:trPr>
          <w:trHeight w:val="203"/>
        </w:trPr>
        <w:tc>
          <w:tcPr>
            <w:tcW w:w="6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Withholding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7"/>
                <w:szCs w:val="17"/>
                <w:color w:val="auto"/>
              </w:rPr>
            </w:pPr>
          </w:p>
        </w:tc>
      </w:tr>
      <w:tr>
        <w:trPr>
          <w:trHeight w:val="216"/>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 xml:space="preserve">Malaysia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Withholding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r>
      <w:tr>
        <w:trPr>
          <w:trHeight w:val="203"/>
        </w:trPr>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foreign jurisdictions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r>
      <w:tr>
        <w:trPr>
          <w:trHeight w:val="196"/>
        </w:trPr>
        <w:tc>
          <w:tcPr>
            <w:tcW w:w="66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11,653</w:t>
            </w: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r>
    </w:tbl>
    <w:p>
      <w:pPr>
        <w:spacing w:after="0" w:line="62" w:lineRule="exact"/>
        <w:rPr>
          <w:sz w:val="20"/>
          <w:szCs w:val="20"/>
          <w:color w:val="auto"/>
        </w:rPr>
      </w:pPr>
    </w:p>
    <w:p>
      <w:pPr>
        <w:ind w:left="640" w:hanging="63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jurisdictional foreign tax credits.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year ended December 31, 2025, state taxes were primarily related to Louisiana.</w:t>
      </w:r>
    </w:p>
    <w:p>
      <w:pPr>
        <w:spacing w:after="0" w:line="198" w:lineRule="exact"/>
        <w:rPr>
          <w:sz w:val="20"/>
          <w:szCs w:val="20"/>
          <w:color w:val="auto"/>
        </w:rPr>
      </w:pPr>
    </w:p>
    <w:p>
      <w:pPr>
        <w:ind w:right="280" w:firstLine="648"/>
        <w:spacing w:after="0" w:line="271" w:lineRule="auto"/>
        <w:rPr>
          <w:sz w:val="20"/>
          <w:szCs w:val="20"/>
          <w:color w:val="auto"/>
        </w:rPr>
      </w:pPr>
      <w:r>
        <w:rPr>
          <w:rFonts w:ascii="Arial" w:cs="Arial" w:eastAsia="Arial" w:hAnsi="Arial"/>
          <w:sz w:val="18"/>
          <w:szCs w:val="18"/>
          <w:color w:val="auto"/>
        </w:rPr>
        <w:t>The primary differences between the income tax provision at the U.S. statutory rate and our actual income tax provision for the years ended December 31, 2024 and 2023 are as follows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240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Taxes at U.S. statutory rate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17,233</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1,578</w:t>
            </w: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Foreign tax provision</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7,944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1,590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(5,230)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expenses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2,926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Losses related to convertible senior notes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180" w:type="dxa"/>
            <w:vAlign w:val="bottom"/>
          </w:tcPr>
          <w:p>
            <w:pPr>
              <w:spacing w:after="0"/>
              <w:rPr>
                <w:sz w:val="17"/>
                <w:szCs w:val="17"/>
                <w:color w:val="auto"/>
              </w:rPr>
            </w:pPr>
          </w:p>
        </w:tc>
      </w:tr>
      <w:tr>
        <w:trPr>
          <w:trHeight w:val="196"/>
        </w:trPr>
        <w:tc>
          <w:tcPr>
            <w:tcW w:w="494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18,352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244.2</w:t>
            </w:r>
          </w:p>
        </w:tc>
        <w:tc>
          <w:tcPr>
            <w:tcW w:w="2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76" w:lineRule="exact"/>
        <w:rPr>
          <w:sz w:val="20"/>
          <w:szCs w:val="20"/>
          <w:color w:val="auto"/>
        </w:rPr>
      </w:pPr>
    </w:p>
    <w:p>
      <w:pPr>
        <w:ind w:left="640" w:right="40" w:hanging="639"/>
        <w:spacing w:after="0" w:line="27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Relates to the non-deductibility for U.S. federal income tax purposes of certain charges associated with the 2026 Notes Repurchases and the 2026 Notes Redemptions (Note 7).</w:t>
      </w:r>
    </w:p>
    <w:p>
      <w:pPr>
        <w:sectPr>
          <w:pgSz w:w="11900" w:h="16838" w:orient="portrait"/>
          <w:cols w:equalWidth="0" w:num="1">
            <w:col w:w="9640"/>
          </w:cols>
          <w:pgMar w:left="1120" w:top="513" w:right="11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color w:val="auto"/>
        </w:rPr>
        <w:t>Our operations are subject to current taxation in the U.S. (21% statutory rate) and the U.K. (25% statutory rate), or subject to taxation in jurisdictions with statutory rates greater than the Pillar Two threshold of 15%. After applying the existing Pillar Two laws, we have no incremental Pillar Two taxes.</w:t>
      </w:r>
    </w:p>
    <w:p>
      <w:pPr>
        <w:spacing w:after="0" w:line="16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For the year ended December 31, 2025, the valuation allowance increased by $9.6 million, which was</w:t>
      </w:r>
    </w:p>
    <w:p>
      <w:pPr>
        <w:spacing w:after="0" w:line="1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predominantly driven by current year activity, including adjustments to prior year returns, and an internal restructuring.</w:t>
      </w:r>
    </w:p>
    <w:p>
      <w:pPr>
        <w:spacing w:after="0" w:line="205" w:lineRule="exact"/>
        <w:rPr>
          <w:sz w:val="20"/>
          <w:szCs w:val="20"/>
          <w:color w:val="auto"/>
        </w:rPr>
      </w:pPr>
    </w:p>
    <w:p>
      <w:pPr>
        <w:ind w:right="220" w:firstLine="648"/>
        <w:spacing w:after="0" w:line="247" w:lineRule="auto"/>
        <w:rPr>
          <w:sz w:val="20"/>
          <w:szCs w:val="20"/>
          <w:color w:val="auto"/>
        </w:rPr>
      </w:pPr>
      <w:r>
        <w:rPr>
          <w:rFonts w:ascii="Arial" w:cs="Arial" w:eastAsia="Arial" w:hAnsi="Arial"/>
          <w:sz w:val="18"/>
          <w:szCs w:val="18"/>
          <w:color w:val="auto"/>
        </w:rPr>
        <w:t>For the year ended December 31, 2024, the valuation allowance decreased by $5.7 million, which included a $3.2 million decrease related to a valuation allowance release in Brazil, a $ 5.2 million increase in assessment on the realizability of U.S. group foreign tax credit carryforward, and a $7.7 million decrease in valuation allowance, which was predominantly driven by current year activity, including adjustments to prior year returns.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2023, the valuation allowance increased by $59.0 million, which included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$51.4 million increase for a change in assessment of our Luxembourg net operating losses, and a $7.6 million increase in</w:t>
      </w:r>
    </w:p>
    <w:p>
      <w:pPr>
        <w:spacing w:after="0"/>
        <w:rPr>
          <w:sz w:val="20"/>
          <w:szCs w:val="20"/>
          <w:color w:val="auto"/>
        </w:rPr>
      </w:pPr>
      <w:r>
        <w:rPr>
          <w:rFonts w:ascii="Arial" w:cs="Arial" w:eastAsia="Arial" w:hAnsi="Arial"/>
          <w:sz w:val="18"/>
          <w:szCs w:val="18"/>
          <w:color w:val="auto"/>
        </w:rPr>
        <w:t>valuation allowance, which was predominantly driven by current year activity, including adjustments to prior year returns.</w:t>
      </w:r>
    </w:p>
    <w:p>
      <w:pPr>
        <w:spacing w:after="0" w:line="19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Deferred income taxes result from the effect of transactions that are recognized in different periods for financial and tax reporting purposes. The nature of these differences and the income tax effect of each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40" w:type="dxa"/>
            <w:vAlign w:val="bottom"/>
          </w:tcPr>
          <w:p>
            <w:pPr>
              <w:spacing w:after="0"/>
              <w:rPr>
                <w:sz w:val="19"/>
                <w:szCs w:val="19"/>
                <w:color w:val="auto"/>
              </w:rPr>
            </w:pPr>
          </w:p>
        </w:tc>
        <w:tc>
          <w:tcPr>
            <w:tcW w:w="1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940" w:type="dxa"/>
            <w:vAlign w:val="bottom"/>
            <w:gridSpan w:val="5"/>
          </w:tcPr>
          <w:p>
            <w:pPr>
              <w:ind w:lef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38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9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line="202" w:lineRule="exact"/>
              <w:rPr>
                <w:sz w:val="20"/>
                <w:szCs w:val="20"/>
                <w:color w:val="auto"/>
              </w:rPr>
            </w:pPr>
            <w:r>
              <w:rPr>
                <w:rFonts w:ascii="Arial" w:cs="Arial" w:eastAsia="Arial" w:hAnsi="Arial"/>
                <w:sz w:val="18"/>
                <w:szCs w:val="18"/>
                <w:color w:val="auto"/>
              </w:rPr>
              <w:t>Depreciation</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102,597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126,218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71,064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and other</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13,641</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liabilities</w:t>
            </w:r>
          </w:p>
        </w:tc>
        <w:tc>
          <w:tcPr>
            <w:tcW w:w="18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187,302</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218,081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40" w:type="dxa"/>
            <w:vAlign w:val="bottom"/>
          </w:tcPr>
          <w:p>
            <w:pPr>
              <w:spacing w:after="0" w:line="196" w:lineRule="exact"/>
              <w:rPr>
                <w:sz w:val="20"/>
                <w:szCs w:val="20"/>
                <w:color w:val="auto"/>
              </w:rPr>
            </w:pPr>
            <w:r>
              <w:rPr>
                <w:rFonts w:ascii="Arial" w:cs="Arial" w:eastAsia="Arial" w:hAnsi="Arial"/>
                <w:sz w:val="18"/>
                <w:szCs w:val="18"/>
                <w:color w:val="auto"/>
              </w:rPr>
              <w:t>Deferred tax assets: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operating losses</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(62,107)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(71,064)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(77,773)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Asset retirement obligations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(14,442)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Reserves, accrued liabilities and other</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(19,069)</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(166,682)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Valuation allowance</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84,951</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Net deferred tax liabilities</w:t>
            </w: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105,571</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At December 31, 2025, our U.S. tax attributes included $8.1 million in foreign tax credit carryforwards, which expire between 2033 and 2035. Our non-U.S. net operating losses totaled $ 257.6 million, which included $210.7 million net operating losses in Luxembourg, which expire between 2035 and 2041, and $46.9 million net operating losses in the U.K., which do not expire under local tax law.</w:t>
      </w:r>
    </w:p>
    <w:p>
      <w:pPr>
        <w:spacing w:after="0" w:line="174"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We operate in multiple tax jurisdictions and our tax returns are subject to review and examination by local taxing authorities. We have filed, and will continue to file, our income tax returns based on the tax laws in effect for each year and have recorded and paid our tax liabilities appropriately. Although we cannot predict the final outcome of any review and/or examination by such taxing authorities, we do not believe their resolution would have a material impact on our consolidated financial statements. The tax periods from 2021 through 2025 are open to review and examination by the U.S. Internal Revenue Service. In non-U.S. jurisdictions, the open tax periods include 2020 through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700"/>
          </w:cols>
          <w:pgMar w:left="1120" w:top="513" w:right="10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Components of income taxes paid (net of refunds received) by jurisdiction during the year ended December 31, 2025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ind w:left="7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7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December 31, 2025</w:t>
            </w: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9,500</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U.S. state and local:</w:t>
            </w: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Louisiana</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Brazil</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9,060</w:t>
            </w:r>
          </w:p>
        </w:tc>
      </w:tr>
      <w:tr>
        <w:trPr>
          <w:trHeight w:val="203"/>
        </w:trPr>
        <w:tc>
          <w:tcPr>
            <w:tcW w:w="7320" w:type="dxa"/>
            <w:vAlign w:val="bottom"/>
          </w:tcPr>
          <w:p>
            <w:pPr>
              <w:ind w:left="100"/>
              <w:spacing w:after="0" w:line="202" w:lineRule="exact"/>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r>
      <w:tr>
        <w:trPr>
          <w:trHeight w:val="203"/>
        </w:trPr>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Nigeria</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6,868</w:t>
            </w:r>
          </w:p>
        </w:tc>
      </w:tr>
      <w:tr>
        <w:trPr>
          <w:trHeight w:val="203"/>
        </w:trPr>
        <w:tc>
          <w:tcPr>
            <w:tcW w:w="7320" w:type="dxa"/>
            <w:vAlign w:val="bottom"/>
          </w:tcPr>
          <w:p>
            <w:pPr>
              <w:ind w:left="100"/>
              <w:spacing w:after="0" w:line="202" w:lineRule="exact"/>
              <w:rPr>
                <w:sz w:val="20"/>
                <w:szCs w:val="20"/>
                <w:color w:val="auto"/>
              </w:rPr>
            </w:pPr>
            <w:r>
              <w:rPr>
                <w:rFonts w:ascii="Arial" w:cs="Arial" w:eastAsia="Arial" w:hAnsi="Arial"/>
                <w:sz w:val="18"/>
                <w:szCs w:val="18"/>
                <w:color w:val="auto"/>
              </w:rPr>
              <w:t>Norway</w:t>
            </w:r>
          </w:p>
        </w:tc>
        <w:tc>
          <w:tcPr>
            <w:tcW w:w="2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2,360</w:t>
            </w:r>
          </w:p>
        </w:tc>
      </w:tr>
      <w:tr>
        <w:trPr>
          <w:trHeight w:val="203"/>
        </w:trPr>
        <w:tc>
          <w:tcPr>
            <w:tcW w:w="7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r>
      <w:tr>
        <w:trPr>
          <w:trHeight w:val="196"/>
        </w:trPr>
        <w:tc>
          <w:tcPr>
            <w:tcW w:w="73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foreign</w:t>
            </w: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19,679</w:t>
            </w:r>
          </w:p>
        </w:tc>
      </w:tr>
      <w:tr>
        <w:trPr>
          <w:trHeight w:val="196"/>
        </w:trPr>
        <w:tc>
          <w:tcPr>
            <w:tcW w:w="73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taxes paid, net</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29,232</w:t>
            </w: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Shareholders’ Equity</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amended and restated Articles of Incorporation provide for authorized Common Stock of 240,000,000 shares with no stated par value per share and 5,000,000 shares of preferred stock, $0.01 par value per share, issuable in one or more series.</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connection with the 2026 Notes offering (Note 7), we entered into the 2026 Capped Calls with three separate option counterparties. The 2026 Capped Calls were intended to offset some or all of the potential dilution to Helix common shares or increases to the economic cost caused by any conversion of the 2026 Notes up to the cap price. Concurrent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Programs</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February 2023, our Board of Directors (our “Board”) authorized a share repurchase program (the “2023 Repurchase Program”). Under the 2023 Repurchase Program,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(the “ESPP”) (Note 13). Pursuant to the 2023 Repurchase Program, we repurchased a total of 4,643,060 shares of our common stock for approximately $30.0 million during 2025, a total of 2,867,293 shares of our common stock for approximately $29.6 million during 2024, and a total of 1,584,045 shares of our common stock for approximately $12.0 million during 2023. As of December 31, 2025, approximately $128.4 million remained authorized for the repurchase of shares under the 2023 Repurchase Program.</w:t>
      </w:r>
    </w:p>
    <w:p>
      <w:pPr>
        <w:spacing w:after="0" w:line="18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as well as a plan established under Rule 10b5-1 under the Exchange Act, and may also be made through privately negotiated transactions or future plans, instructions or contracts established under Rule 10b5-1.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 from Contracts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69" w:lineRule="exact"/>
        <w:rPr>
          <w:sz w:val="20"/>
          <w:szCs w:val="20"/>
          <w:color w:val="auto"/>
        </w:rPr>
      </w:pPr>
    </w:p>
    <w:p>
      <w:pPr>
        <w:ind w:right="500" w:firstLine="648"/>
        <w:spacing w:after="0" w:line="253" w:lineRule="auto"/>
        <w:rPr>
          <w:sz w:val="20"/>
          <w:szCs w:val="20"/>
          <w:color w:val="auto"/>
        </w:rPr>
      </w:pPr>
      <w:r>
        <w:rPr>
          <w:rFonts w:ascii="Arial" w:cs="Arial" w:eastAsia="Arial" w:hAnsi="Arial"/>
          <w:sz w:val="18"/>
          <w:szCs w:val="18"/>
          <w:color w:val="auto"/>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2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Production</w:t>
            </w:r>
          </w:p>
        </w:tc>
        <w:tc>
          <w:tcPr>
            <w:tcW w:w="1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Intercompany</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500" w:type="dxa"/>
            <w:vAlign w:val="bottom"/>
            <w:gridSpan w:val="5"/>
          </w:tcPr>
          <w:p>
            <w:pPr>
              <w:jc w:val="right"/>
              <w:spacing w:after="0"/>
              <w:rPr>
                <w:sz w:val="20"/>
                <w:szCs w:val="20"/>
                <w:color w:val="auto"/>
              </w:rPr>
            </w:pPr>
            <w:r>
              <w:rPr>
                <w:rFonts w:ascii="Arial" w:cs="Arial" w:eastAsia="Arial" w:hAnsi="Arial"/>
                <w:sz w:val="18"/>
                <w:szCs w:val="18"/>
                <w:b w:val="1"/>
                <w:bCs w:val="1"/>
                <w:color w:val="auto"/>
              </w:rPr>
              <w:t>​​​Intervention ​​​Robotics</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​​​Abandonment</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rPr>
              <w:t>​​​ Facilities</w:t>
            </w:r>
          </w:p>
        </w:tc>
        <w:tc>
          <w:tcPr>
            <w:tcW w:w="14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8"/>
              </w:rPr>
              <w:t>Revenue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20" w:type="dxa"/>
            <w:vAlign w:val="bottom"/>
          </w:tcPr>
          <w:p>
            <w:pPr>
              <w:ind w:left="80"/>
              <w:spacing w:after="0" w:line="183" w:lineRule="exact"/>
              <w:rPr>
                <w:sz w:val="20"/>
                <w:szCs w:val="20"/>
                <w:color w:val="auto"/>
              </w:rPr>
            </w:pPr>
            <w:r>
              <w:rPr>
                <w:rFonts w:ascii="Arial" w:cs="Arial" w:eastAsia="Arial" w:hAnsi="Arial"/>
                <w:sz w:val="18"/>
                <w:szCs w:val="18"/>
                <w:color w:val="auto"/>
              </w:rPr>
              <w:t>Production</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maximization</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211,589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$ 111,006</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6,459</w:t>
            </w:r>
          </w:p>
        </w:tc>
        <w:tc>
          <w:tcPr>
            <w:tcW w:w="4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72,693</w:t>
            </w:r>
          </w:p>
        </w:tc>
        <w:tc>
          <w:tcPr>
            <w:tcW w:w="60" w:type="dxa"/>
            <w:vAlign w:val="bottom"/>
          </w:tcPr>
          <w:p>
            <w:pPr>
              <w:spacing w:after="0"/>
              <w:rPr>
                <w:sz w:val="19"/>
                <w:szCs w:val="19"/>
                <w:color w:val="auto"/>
              </w:rPr>
            </w:pPr>
          </w:p>
        </w:tc>
        <w:tc>
          <w:tcPr>
            <w:tcW w:w="4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(10,460)</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507,977</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36,052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193,098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(22,042)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80"/>
              <w:spacing w:after="0" w:line="202" w:lineRule="exact"/>
              <w:rPr>
                <w:sz w:val="20"/>
                <w:szCs w:val="20"/>
                <w:color w:val="auto"/>
              </w:rPr>
            </w:pPr>
            <w:r>
              <w:rPr>
                <w:rFonts w:ascii="Arial" w:cs="Arial" w:eastAsia="Arial" w:hAnsi="Arial"/>
                <w:sz w:val="18"/>
                <w:szCs w:val="18"/>
                <w:color w:val="auto"/>
              </w:rPr>
              <w:t>Renewables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157,226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157,302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19,069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729,371</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$ 323,353</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199,633</w:t>
            </w:r>
          </w:p>
        </w:tc>
        <w:tc>
          <w:tcPr>
            <w:tcW w:w="2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72,693</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(33,576)</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1,291,474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tcPr>
          <w:p>
            <w:pPr>
              <w:spacing w:after="0" w:line="202" w:lineRule="exact"/>
              <w:rPr>
                <w:sz w:val="20"/>
                <w:szCs w:val="20"/>
                <w:color w:val="auto"/>
              </w:rPr>
            </w:pPr>
            <w:r>
              <w:rPr>
                <w:rFonts w:ascii="Arial" w:cs="Arial" w:eastAsia="Arial" w:hAnsi="Arial"/>
                <w:sz w:val="16"/>
                <w:szCs w:val="16"/>
                <w:b w:val="1"/>
                <w:bCs w:val="1"/>
                <w:color w:val="auto"/>
              </w:rPr>
              <w:t xml:space="preserve">Year ended December 31, 2024 </w:t>
            </w:r>
            <w:r>
              <w:rPr>
                <w:rFonts w:ascii="Arial" w:cs="Arial" w:eastAsia="Arial" w:hAnsi="Arial"/>
                <w:sz w:val="23"/>
                <w:szCs w:val="23"/>
                <w:b w:val="1"/>
                <w:bCs w:val="1"/>
                <w:color w:val="auto"/>
                <w:vertAlign w:val="superscript"/>
              </w:rPr>
              <w:t>(1)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Production</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maximization</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$ 117,207</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4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88,709</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(29,678)</w:t>
            </w: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416,057</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178,462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(14,272)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597,964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Renewables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152,306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8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5,014</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829,862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$ 297,678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186,979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88,709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(44,668)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60" w:type="dxa"/>
            <w:vAlign w:val="bottom"/>
            <w:gridSpan w:val="4"/>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Year ended December 31, 2023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20" w:type="dxa"/>
            <w:vAlign w:val="bottom"/>
          </w:tcPr>
          <w:p>
            <w:pPr>
              <w:ind w:left="80"/>
              <w:spacing w:after="0" w:line="183" w:lineRule="exact"/>
              <w:rPr>
                <w:sz w:val="20"/>
                <w:szCs w:val="20"/>
                <w:color w:val="auto"/>
              </w:rPr>
            </w:pPr>
            <w:r>
              <w:rPr>
                <w:rFonts w:ascii="Arial" w:cs="Arial" w:eastAsia="Arial" w:hAnsi="Arial"/>
                <w:sz w:val="18"/>
                <w:szCs w:val="18"/>
                <w:color w:val="auto"/>
              </w:rPr>
              <w:t>Production</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maximization</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228,649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$ 103,692</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13,825</w:t>
            </w:r>
          </w:p>
        </w:tc>
        <w:tc>
          <w:tcPr>
            <w:tcW w:w="4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87,885</w:t>
            </w:r>
          </w:p>
        </w:tc>
        <w:tc>
          <w:tcPr>
            <w:tcW w:w="60" w:type="dxa"/>
            <w:vAlign w:val="bottom"/>
          </w:tcPr>
          <w:p>
            <w:pPr>
              <w:spacing w:after="0"/>
              <w:rPr>
                <w:sz w:val="19"/>
                <w:szCs w:val="19"/>
                <w:color w:val="auto"/>
              </w:rPr>
            </w:pPr>
          </w:p>
        </w:tc>
        <w:tc>
          <w:tcPr>
            <w:tcW w:w="44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(17,824)</w:t>
            </w:r>
          </w:p>
        </w:tc>
        <w:tc>
          <w:tcPr>
            <w:tcW w:w="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416,227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Decommissioning</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458,437</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47,768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748,644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ind w:left="80"/>
              <w:spacing w:after="0" w:line="202" w:lineRule="exact"/>
              <w:rPr>
                <w:sz w:val="20"/>
                <w:szCs w:val="20"/>
                <w:color w:val="auto"/>
              </w:rPr>
            </w:pPr>
            <w:r>
              <w:rPr>
                <w:rFonts w:ascii="Arial" w:cs="Arial" w:eastAsia="Arial" w:hAnsi="Arial"/>
                <w:sz w:val="18"/>
                <w:szCs w:val="18"/>
                <w:color w:val="auto"/>
              </w:rPr>
              <w:t>Renewables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99,861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99,861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20,632</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6,554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2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707,718</w:t>
            </w:r>
          </w:p>
        </w:tc>
        <w:tc>
          <w:tcPr>
            <w:tcW w:w="200" w:type="dxa"/>
            <w:vAlign w:val="bottom"/>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$ 257,875</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274,954</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87,885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(38,704)</w:t>
            </w:r>
          </w:p>
        </w:tc>
        <w:tc>
          <w:tcPr>
            <w:tcW w:w="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1,289,728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right="80" w:hanging="639"/>
        <w:spacing w:after="0" w:line="253"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years ended December 31, 2024 and 2023, $27.6 million and $25.0 million, respectively, have been removed from Well Intervention segment revenues and related intersegment eliminations. See Note 14 regarding this change in prior year reported segment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69" w:lineRule="exact"/>
        <w:rPr>
          <w:sz w:val="20"/>
          <w:szCs w:val="20"/>
          <w:color w:val="auto"/>
        </w:rPr>
      </w:pPr>
    </w:p>
    <w:p>
      <w:pPr>
        <w:jc w:val="both"/>
        <w:ind w:right="220" w:firstLine="648"/>
        <w:spacing w:after="0" w:line="247" w:lineRule="auto"/>
        <w:rPr>
          <w:sz w:val="20"/>
          <w:szCs w:val="20"/>
          <w:color w:val="auto"/>
        </w:rPr>
      </w:pPr>
      <w:r>
        <w:rPr>
          <w:rFonts w:ascii="Arial" w:cs="Arial" w:eastAsia="Arial" w:hAnsi="Arial"/>
          <w:sz w:val="18"/>
          <w:szCs w:val="18"/>
          <w:color w:val="auto"/>
        </w:rPr>
        <w:t>Net contract assets as of December 31, 2025 and 2024 were $10.9 million and $ 12.2 million, respectively, and are reflected in “Other current assets” in the accompanying consolidated balance sheets (Note 4). The decrease in net contract assets was primarily attributable to less accrued revenues related to lump sum demobilization fees. We had no credit losses on our contract assets for the years ended December 31, 2025, 2024 and 2023.</w:t>
      </w:r>
    </w:p>
    <w:p>
      <w:pPr>
        <w:spacing w:after="0" w:line="174" w:lineRule="exact"/>
        <w:rPr>
          <w:sz w:val="20"/>
          <w:szCs w:val="20"/>
          <w:color w:val="auto"/>
        </w:rPr>
      </w:pPr>
    </w:p>
    <w:p>
      <w:pPr>
        <w:ind w:right="340" w:firstLine="648"/>
        <w:spacing w:after="0" w:line="242" w:lineRule="auto"/>
        <w:rPr>
          <w:sz w:val="20"/>
          <w:szCs w:val="20"/>
          <w:color w:val="auto"/>
        </w:rPr>
      </w:pPr>
      <w:r>
        <w:rPr>
          <w:rFonts w:ascii="Arial" w:cs="Arial" w:eastAsia="Arial" w:hAnsi="Arial"/>
          <w:sz w:val="18"/>
          <w:szCs w:val="18"/>
          <w:color w:val="auto"/>
        </w:rPr>
        <w:t>Net contract liabilities as of December 31, 2025 and 2024 totaled $17.1 million and $15.6 million, respectively, and are reflected as “Deferred revenue,” a component of “Accrued liabilities” and “Other non-current liabilities” in the accompanying consolidated balance sheets (Note 4). The increase was primarily attributable to a larger amount of deferred mobilization fees for work that has not yet been completed. Revenue recognized for the years ended December 31, 2025, 2024 and 2023 included $19.9 million, $36.3 million and $8.7 million, respectively, that were included in the contract liability balance at the beginning of each period.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700"/>
          </w:cols>
          <w:pgMar w:left="1120" w:top="513" w:right="10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right="280" w:firstLine="648"/>
        <w:spacing w:after="0" w:line="242" w:lineRule="auto"/>
        <w:rPr>
          <w:sz w:val="20"/>
          <w:szCs w:val="20"/>
          <w:color w:val="auto"/>
        </w:rPr>
      </w:pPr>
      <w:r>
        <w:rPr>
          <w:rFonts w:ascii="Arial" w:cs="Arial" w:eastAsia="Arial" w:hAnsi="Arial"/>
          <w:sz w:val="18"/>
          <w:szCs w:val="18"/>
          <w:color w:val="auto"/>
        </w:rPr>
        <w:t>As of December 31, 2025, $ 1.3 billion related to unsatisfied performance obligations was expected to be recognized as revenue in the future, with $693.6 million, $391.4 million and $225.7 million in 2026, 2027 and 2028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December 31, 2025.</w:t>
      </w:r>
    </w:p>
    <w:p>
      <w:pPr>
        <w:spacing w:after="0" w:line="179"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For the years ended December 31, 2025, 2024 and 2023, revenues recognized from performance obligations satisfied (or partially satisfied) in previous years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Deferred contract costs are reflected as “Deferred costs,” a component of “Other current assets” and “Other assets, net” in the accompanying consolidated balance sheets (Note 4). Our deferred contract costs as of December 31, 2025 and 2024 totaled $25.6 million and $37.2 million, respectively. For the years ended December 31, 2025, 2024 and 2023, we recorded $68.0 million, $62.9 million and $ 43.2 million, respectively, related to amortization of deferred contract costs. There were no material impairment losses on deferred contract costs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12"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The computations of the numerator (earnings or loss) and denominator (shares) to derive the basic and diluted EPS amounts presented on the face of the accompanying consolidated statements of operations are as follows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10"/>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2025</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40"/>
              <w:spacing w:after="0" w:line="196" w:lineRule="exact"/>
              <w:rPr>
                <w:sz w:val="20"/>
                <w:szCs w:val="20"/>
                <w:color w:val="auto"/>
              </w:rPr>
            </w:pPr>
            <w:r>
              <w:rPr>
                <w:rFonts w:ascii="Arial" w:cs="Arial" w:eastAsia="Arial" w:hAnsi="Arial"/>
                <w:sz w:val="18"/>
                <w:szCs w:val="18"/>
                <w:b w:val="1"/>
                <w:bCs w:val="1"/>
                <w:color w:val="auto"/>
              </w:rPr>
              <w:t>2024</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72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 Income</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 Shares</w:t>
            </w:r>
          </w:p>
        </w:tc>
        <w:tc>
          <w:tcPr>
            <w:tcW w:w="40" w:type="dxa"/>
            <w:vAlign w:val="bottom"/>
          </w:tcPr>
          <w:p>
            <w:pPr>
              <w:spacing w:after="0"/>
              <w:rPr>
                <w:sz w:val="17"/>
                <w:szCs w:val="17"/>
                <w:color w:val="auto"/>
              </w:rPr>
            </w:pPr>
          </w:p>
        </w:tc>
        <w:tc>
          <w:tcPr>
            <w:tcW w:w="9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 Income</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 Shares</w:t>
            </w:r>
          </w:p>
        </w:tc>
        <w:tc>
          <w:tcPr>
            <w:tcW w:w="40" w:type="dxa"/>
            <w:vAlign w:val="bottom"/>
          </w:tcPr>
          <w:p>
            <w:pPr>
              <w:spacing w:after="0"/>
              <w:rPr>
                <w:sz w:val="17"/>
                <w:szCs w:val="17"/>
                <w:color w:val="auto"/>
              </w:rPr>
            </w:pPr>
          </w:p>
        </w:tc>
        <w:tc>
          <w:tcPr>
            <w:tcW w:w="11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 Income</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 Shares</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Basic:</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jc w:val="right"/>
              <w:ind w:right="180"/>
              <w:spacing w:after="0" w:line="177"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30,827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55,637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(10,838)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4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Less: Undistributed earnings allocated to</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participating securities</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40" w:type="dxa"/>
            <w:vAlign w:val="bottom"/>
          </w:tcPr>
          <w:p>
            <w:pPr>
              <w:spacing w:after="0" w:line="163" w:lineRule="exact"/>
              <w:rPr>
                <w:sz w:val="20"/>
                <w:szCs w:val="20"/>
                <w:color w:val="auto"/>
              </w:rPr>
            </w:pPr>
            <w:r>
              <w:rPr>
                <w:rFonts w:ascii="Arial" w:cs="Arial" w:eastAsia="Arial" w:hAnsi="Arial"/>
                <w:sz w:val="18"/>
                <w:szCs w:val="18"/>
                <w:color w:val="auto"/>
              </w:rPr>
              <w:t>Net income (loss) available to common</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30,805</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148,349</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55,584</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151,989</w:t>
            </w:r>
          </w:p>
        </w:tc>
        <w:tc>
          <w:tcPr>
            <w:tcW w:w="38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(10,838)</w:t>
            </w:r>
          </w:p>
        </w:tc>
        <w:tc>
          <w:tcPr>
            <w:tcW w:w="8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150,917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spacing w:after="0"/>
              <w:rPr>
                <w:sz w:val="20"/>
                <w:szCs w:val="20"/>
                <w:color w:val="auto"/>
              </w:rPr>
            </w:pPr>
            <w:r>
              <w:rPr>
                <w:rFonts w:ascii="Arial" w:cs="Arial" w:eastAsia="Arial" w:hAnsi="Arial"/>
                <w:sz w:val="18"/>
                <w:szCs w:val="18"/>
                <w:color w:val="auto"/>
              </w:rPr>
              <w:t>shareholders, basic</w:t>
            </w:r>
          </w:p>
        </w:tc>
        <w:tc>
          <w:tcPr>
            <w:tcW w:w="44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380" w:type="dxa"/>
            <w:vAlign w:val="bottom"/>
            <w:gridSpan w:val="4"/>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Earnings (loss) per share, basic</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2025</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550"/>
              <w:spacing w:after="0" w:line="196" w:lineRule="exact"/>
              <w:rPr>
                <w:sz w:val="20"/>
                <w:szCs w:val="20"/>
                <w:color w:val="auto"/>
              </w:rPr>
            </w:pPr>
            <w:r>
              <w:rPr>
                <w:rFonts w:ascii="Arial" w:cs="Arial" w:eastAsia="Arial" w:hAnsi="Arial"/>
                <w:sz w:val="18"/>
                <w:szCs w:val="18"/>
                <w:b w:val="1"/>
                <w:bCs w:val="1"/>
                <w:color w:val="auto"/>
              </w:rPr>
              <w:t>2024</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63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 Income</w:t>
            </w:r>
          </w:p>
        </w:tc>
        <w:tc>
          <w:tcPr>
            <w:tcW w:w="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Shares</w:t>
            </w:r>
          </w:p>
        </w:tc>
        <w:tc>
          <w:tcPr>
            <w:tcW w:w="40" w:type="dxa"/>
            <w:vAlign w:val="bottom"/>
          </w:tcPr>
          <w:p>
            <w:pPr>
              <w:spacing w:after="0"/>
              <w:rPr>
                <w:sz w:val="17"/>
                <w:szCs w:val="17"/>
                <w:color w:val="auto"/>
              </w:rPr>
            </w:pPr>
          </w:p>
        </w:tc>
        <w:tc>
          <w:tcPr>
            <w:tcW w:w="9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 Income</w:t>
            </w:r>
          </w:p>
        </w:tc>
        <w:tc>
          <w:tcPr>
            <w:tcW w:w="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Shares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 Income</w:t>
            </w:r>
          </w:p>
        </w:tc>
        <w:tc>
          <w:tcPr>
            <w:tcW w:w="92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 Shares</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line="183" w:lineRule="exact"/>
              <w:rPr>
                <w:sz w:val="20"/>
                <w:szCs w:val="20"/>
                <w:color w:val="auto"/>
              </w:rPr>
            </w:pPr>
            <w:r>
              <w:rPr>
                <w:rFonts w:ascii="Arial" w:cs="Arial" w:eastAsia="Arial" w:hAnsi="Arial"/>
                <w:sz w:val="18"/>
                <w:szCs w:val="18"/>
                <w:color w:val="auto"/>
              </w:rPr>
              <w:t>Net income (loss) available to common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shareholders, basic</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30,805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148,349</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55,584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151,989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(10,838)</w:t>
            </w: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150,917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10"/>
              <w:spacing w:after="0" w:line="202"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ind w:left="80"/>
              <w:spacing w:after="0" w:line="183" w:lineRule="exact"/>
              <w:rPr>
                <w:sz w:val="20"/>
                <w:szCs w:val="20"/>
                <w:color w:val="auto"/>
              </w:rPr>
            </w:pPr>
            <w:r>
              <w:rPr>
                <w:rFonts w:ascii="Arial" w:cs="Arial" w:eastAsia="Arial" w:hAnsi="Arial"/>
                <w:sz w:val="18"/>
                <w:szCs w:val="18"/>
                <w:color w:val="auto"/>
              </w:rPr>
              <w:t>Share-based awards other than participating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Undistributed earnings reallocated to</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participating securities</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00" w:type="dxa"/>
            <w:vAlign w:val="bottom"/>
          </w:tcPr>
          <w:p>
            <w:pPr>
              <w:spacing w:after="0" w:line="163" w:lineRule="exact"/>
              <w:rPr>
                <w:sz w:val="20"/>
                <w:szCs w:val="20"/>
                <w:color w:val="auto"/>
              </w:rPr>
            </w:pPr>
            <w:r>
              <w:rPr>
                <w:rFonts w:ascii="Arial" w:cs="Arial" w:eastAsia="Arial" w:hAnsi="Arial"/>
                <w:sz w:val="18"/>
                <w:szCs w:val="18"/>
                <w:color w:val="auto"/>
              </w:rPr>
              <w:t>Net income (loss) available to common</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30,805</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148,454</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55,585</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154,699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(10,838)</w:t>
            </w:r>
          </w:p>
        </w:tc>
        <w:tc>
          <w:tcPr>
            <w:tcW w:w="8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150,917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720" w:type="dxa"/>
            <w:vAlign w:val="bottom"/>
            <w:gridSpan w:val="2"/>
          </w:tcPr>
          <w:p>
            <w:pPr>
              <w:spacing w:after="0"/>
              <w:rPr>
                <w:sz w:val="20"/>
                <w:szCs w:val="20"/>
                <w:color w:val="auto"/>
              </w:rPr>
            </w:pPr>
            <w:r>
              <w:rPr>
                <w:rFonts w:ascii="Arial" w:cs="Arial" w:eastAsia="Arial" w:hAnsi="Arial"/>
                <w:sz w:val="18"/>
                <w:szCs w:val="18"/>
                <w:color w:val="auto"/>
              </w:rPr>
              <w:t>shareholders, diluted</w:t>
            </w:r>
          </w:p>
        </w:tc>
        <w:tc>
          <w:tcPr>
            <w:tcW w:w="28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Earnings (loss) per share, diluted</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0.21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3"/>
          </w:tcPr>
          <w:p>
            <w:pPr>
              <w:jc w:val="right"/>
              <w:ind w:right="59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20" w:top="513" w:right="10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had a net loss for the year ended December 31, 2023. Accordingly, our diluted EPS calculation for this period excluded the dilutive effect of share-based awards because they were deemed to be anti-dilutive, meaning their inclusion would have reduced the reported net loss per share in the applicable period. Shares that otherwise would have been included in the diluted per share calculations assuming we had earnings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00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w:t>
            </w:r>
          </w:p>
        </w:tc>
      </w:tr>
      <w:tr>
        <w:trPr>
          <w:trHeight w:val="221"/>
        </w:trPr>
        <w:tc>
          <w:tcPr>
            <w:tcW w:w="7640" w:type="dxa"/>
            <w:vAlign w:val="bottom"/>
            <w:tcBorders>
              <w:bottom w:val="single" w:sz="8" w:color="CCEEFF"/>
            </w:tcBorders>
          </w:tcPr>
          <w:p>
            <w:pPr>
              <w:ind w:left="750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December 31, 2023</w:t>
            </w: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2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150,917</w:t>
            </w:r>
          </w:p>
        </w:tc>
      </w:tr>
      <w:tr>
        <w:trPr>
          <w:trHeight w:val="203"/>
        </w:trPr>
        <w:tc>
          <w:tcPr>
            <w:tcW w:w="7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Share-based awards</w:t>
            </w: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3,154</w:t>
            </w:r>
          </w:p>
        </w:tc>
      </w:tr>
      <w:tr>
        <w:trPr>
          <w:trHeight w:val="196"/>
        </w:trPr>
        <w:tc>
          <w:tcPr>
            <w:tcW w:w="76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154,071</w:t>
            </w:r>
          </w:p>
        </w:tc>
      </w:tr>
      <w:tr>
        <w:trPr>
          <w:trHeight w:val="20"/>
        </w:trPr>
        <w:tc>
          <w:tcPr>
            <w:tcW w:w="76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2023 Notes and the 2026 Notes were excluded from the diluted EPS calculation as they were anti-dilutive (in thousands):</w:t>
      </w:r>
    </w:p>
    <w:p>
      <w:pPr>
        <w:spacing w:after="0" w:line="7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8890</wp:posOffset>
            </wp:positionV>
            <wp:extent cx="23831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7080" w:val="left"/>
          <w:tab w:leader="none" w:pos="7540" w:val="left"/>
          <w:tab w:leader="none" w:pos="8400" w:val="left"/>
          <w:tab w:leader="none" w:pos="886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2023</w:t>
      </w:r>
    </w:p>
    <w:tbl>
      <w:tblPr>
        <w:tblLayout w:type="fixed"/>
        <w:tblInd w:w="0" w:type="dxa"/>
        <w:tblCellMar>
          <w:top w:w="0" w:type="dxa"/>
          <w:left w:w="0" w:type="dxa"/>
          <w:bottom w:w="0" w:type="dxa"/>
          <w:right w:w="0" w:type="dxa"/>
        </w:tblCellMar>
      </w:tblPr>
      <w:tr>
        <w:trPr>
          <w:trHeight w:val="197"/>
        </w:trPr>
        <w:tc>
          <w:tcPr>
            <w:tcW w:w="59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8"/>
                <w:szCs w:val="18"/>
                <w:color w:val="auto"/>
              </w:rPr>
              <w:t>2023 Notes</w:t>
            </w:r>
          </w:p>
        </w:tc>
        <w:tc>
          <w:tcPr>
            <w:tcW w:w="1080" w:type="dxa"/>
            <w:vAlign w:val="bottom"/>
            <w:tcBorders>
              <w:top w:val="single" w:sz="8" w:color="auto"/>
            </w:tcBorders>
            <w:shd w:val="clear" w:color="auto" w:fill="CCEEFF"/>
          </w:tcPr>
          <w:p>
            <w:pPr>
              <w:ind w:left="840"/>
              <w:spacing w:after="0" w:line="197"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2,247</w:t>
            </w:r>
          </w:p>
        </w:tc>
      </w:tr>
      <w:tr>
        <w:trPr>
          <w:trHeight w:val="239"/>
        </w:trPr>
        <w:tc>
          <w:tcPr>
            <w:tcW w:w="5900" w:type="dxa"/>
            <w:vAlign w:val="bottom"/>
          </w:tcPr>
          <w:p>
            <w:pPr>
              <w:spacing w:after="0"/>
              <w:rPr>
                <w:sz w:val="20"/>
                <w:szCs w:val="20"/>
                <w:color w:val="auto"/>
              </w:rPr>
            </w:pPr>
            <w:r>
              <w:rPr>
                <w:rFonts w:ascii="Arial" w:cs="Arial" w:eastAsia="Arial" w:hAnsi="Arial"/>
                <w:sz w:val="18"/>
                <w:szCs w:val="18"/>
                <w:color w:val="auto"/>
              </w:rPr>
              <w:t>2026 Notes</w:t>
            </w: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28,139</w:t>
            </w:r>
          </w:p>
        </w:tc>
      </w:tr>
    </w:tbl>
    <w:p>
      <w:pPr>
        <w:spacing w:after="0" w:line="147"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We have outstanding RSUs (Note 13) that can be settled in either cash or shares of our common stock, or a combination thereof, which are not included in the computation of diluted EPS as cash settlement is assumed.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The 2005 Incentive Plan is administered by the Compensation Committee of our Board (the “Compensation Committee”). The Compensation Committee also determines the type of award to be made to each recipient and, as set forth in the related award agreement, the terms, conditions and limitations applicable to each award. The Compensation Committee may grant various forms of award in accordance with the 2005 Incentive Plan. Awards that have been granted to employees under the 2005 Incentive Plan have a vesting period of three years (or 33% per year) with the exception of PSUs, which vest in amounts in accordance with their terms on the third anniversary date of the grant.</w:t>
      </w:r>
    </w:p>
    <w:p>
      <w:pPr>
        <w:spacing w:after="0" w:line="18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On May 15, 2024, our shareholders approved an amendment to and restatement of the 2005 Incentive Plan, which, among other things, authorizes 7.0 million additional shares for issuance pursuant to our equity incentive compensation strategy. The 2005 Incentive Plan currently has 24.3 million shares authorized for issuance, which includes a maximum of 2.0 million shares that may be granted as incentive stock options. As of December 31, 2025, there were approximately 8.5 million shares of our common stock available for issuance under the 2005 Incentive Plan, assuming outstanding equity classified PSUs vest in shares of our common stock at 100% of the original awards and outstanding liability classified PSUs and RSUs are settled in cash. No incentive stock options are currently outstanding.</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grants of share-based awards were made in 2025 under the 2005 Incentive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Award Type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Shares/Units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Per Share/Unit</w:t>
            </w:r>
          </w:p>
        </w:tc>
        <w:tc>
          <w:tcPr>
            <w:tcW w:w="2800" w:type="dxa"/>
            <w:vAlign w:val="bottom"/>
            <w:gridSpan w:val="2"/>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Vesting Period/Vesting Date</w:t>
            </w:r>
          </w:p>
        </w:tc>
      </w:tr>
      <w:tr>
        <w:trPr>
          <w:trHeight w:val="196"/>
        </w:trPr>
        <w:tc>
          <w:tcPr>
            <w:tcW w:w="1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443,401</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(2)</w:t>
            </w:r>
          </w:p>
        </w:tc>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PSU</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397,264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2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on December 31, 2027</w:t>
            </w:r>
          </w:p>
        </w:tc>
      </w:tr>
      <w:tr>
        <w:trPr>
          <w:trHeight w:val="203"/>
        </w:trPr>
        <w:tc>
          <w:tcPr>
            <w:tcW w:w="19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2025 </w:t>
            </w:r>
            <w:r>
              <w:rPr>
                <w:rFonts w:ascii="Arial" w:cs="Arial" w:eastAsia="Arial" w:hAnsi="Arial"/>
                <w:sz w:val="23"/>
                <w:szCs w:val="23"/>
                <w:color w:val="auto"/>
                <w:vertAlign w:val="superscript"/>
              </w:rPr>
              <w:t>(3)</w:t>
            </w:r>
          </w:p>
        </w:tc>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3,018</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w:t>
            </w:r>
          </w:p>
        </w:tc>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100% on January 1, 2027</w:t>
            </w:r>
          </w:p>
        </w:tc>
      </w:tr>
      <w:tr>
        <w:trPr>
          <w:trHeight w:val="359"/>
        </w:trPr>
        <w:tc>
          <w:tcPr>
            <w:tcW w:w="1900" w:type="dxa"/>
            <w:vAlign w:val="bottom"/>
          </w:tcPr>
          <w:p>
            <w:pPr>
              <w:spacing w:after="0"/>
              <w:rPr>
                <w:sz w:val="20"/>
                <w:szCs w:val="20"/>
                <w:color w:val="auto"/>
              </w:rPr>
            </w:pPr>
            <w:r>
              <w:rPr>
                <w:rFonts w:ascii="Arial" w:cs="Arial" w:eastAsia="Arial" w:hAnsi="Arial"/>
                <w:sz w:val="18"/>
                <w:szCs w:val="18"/>
                <w:color w:val="auto"/>
              </w:rPr>
              <w:t xml:space="preserve">December 10, 2025 </w:t>
            </w:r>
            <w:r>
              <w:rPr>
                <w:rFonts w:ascii="Arial" w:cs="Arial" w:eastAsia="Arial" w:hAnsi="Arial"/>
                <w:sz w:val="26"/>
                <w:szCs w:val="26"/>
                <w:color w:val="auto"/>
                <w:vertAlign w:val="superscript"/>
              </w:rPr>
              <w:t>(3)</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Restricted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124,140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7.25</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100% on December 10,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15259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20" w:lineRule="exact"/>
        <w:rPr>
          <w:sz w:val="20"/>
          <w:szCs w:val="20"/>
          <w:color w:val="auto"/>
        </w:rPr>
      </w:pPr>
    </w:p>
    <w:p>
      <w:pPr>
        <w:ind w:left="640" w:hanging="63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grants to our executive officers and certain other officers.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40" w:hanging="63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In January 2026, we granted certain officers 719,298 RSUs and 605,661 PSUs under the 2005 Incentive Plan. The grant date fair value of the RSUs was $6.27 per unit or $4.5 million. The grant date fair value of the PSUs was $6.93 per unit or $4.2 million. PSUs and RSUs issued in 2026 are payable in either cash or stock, or a combination thereof, at the discretion of the Compensation Committee. Also in January 2026, we granted $6.8 million of fixed value cash awards to select management employees under the 2005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83" w:lineRule="exact"/>
        <w:rPr>
          <w:sz w:val="20"/>
          <w:szCs w:val="20"/>
          <w:color w:val="auto"/>
        </w:rPr>
      </w:pPr>
    </w:p>
    <w:p>
      <w:pPr>
        <w:ind w:right="600" w:firstLine="648"/>
        <w:spacing w:after="0" w:line="271" w:lineRule="auto"/>
        <w:rPr>
          <w:sz w:val="20"/>
          <w:szCs w:val="20"/>
          <w:color w:val="auto"/>
        </w:rPr>
      </w:pPr>
      <w:r>
        <w:rPr>
          <w:rFonts w:ascii="Arial" w:cs="Arial" w:eastAsia="Arial" w:hAnsi="Arial"/>
          <w:sz w:val="18"/>
          <w:szCs w:val="18"/>
          <w:color w:val="auto"/>
        </w:rPr>
        <w:t>We grant restricted stock to members of our Board and from time to time our executive officers and select management employees. The following table summarizes information about our restricted stock:</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9"/>
              </w:rPr>
              <w:t>Year Ended December 31,</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750"/>
              <w:spacing w:after="0" w:line="196" w:lineRule="exact"/>
              <w:rPr>
                <w:sz w:val="20"/>
                <w:szCs w:val="20"/>
                <w:color w:val="auto"/>
              </w:rPr>
            </w:pPr>
            <w:r>
              <w:rPr>
                <w:rFonts w:ascii="Arial" w:cs="Arial" w:eastAsia="Arial" w:hAnsi="Arial"/>
                <w:sz w:val="18"/>
                <w:szCs w:val="18"/>
                <w:b w:val="1"/>
                <w:bCs w:val="1"/>
                <w:color w:val="auto"/>
                <w:w w:val="99"/>
              </w:rPr>
              <w:t>2025</w:t>
            </w:r>
          </w:p>
        </w:tc>
        <w:tc>
          <w:tcPr>
            <w:tcW w:w="2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730"/>
              <w:spacing w:after="0" w:line="196" w:lineRule="exact"/>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2023</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0"/>
              <w:spacing w:after="0" w:line="168" w:lineRule="exact"/>
              <w:rPr>
                <w:sz w:val="20"/>
                <w:szCs w:val="20"/>
                <w:color w:val="auto"/>
              </w:rPr>
            </w:pPr>
            <w:r>
              <w:rPr>
                <w:rFonts w:ascii="Arial" w:cs="Arial" w:eastAsia="Arial" w:hAnsi="Arial"/>
                <w:sz w:val="18"/>
                <w:szCs w:val="18"/>
                <w:b w:val="1"/>
                <w:bCs w:val="1"/>
                <w:color w:val="auto"/>
                <w:w w:val="99"/>
              </w:rPr>
              <w:t>Grant Date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0"/>
              <w:spacing w:after="0" w:line="168" w:lineRule="exact"/>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Shares</w:t>
            </w:r>
          </w:p>
        </w:tc>
        <w:tc>
          <w:tcPr>
            <w:tcW w:w="132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Shares</w:t>
            </w:r>
          </w:p>
        </w:tc>
        <w:tc>
          <w:tcPr>
            <w:tcW w:w="1400" w:type="dxa"/>
            <w:vAlign w:val="bottom"/>
            <w:gridSpan w:val="4"/>
          </w:tcPr>
          <w:p>
            <w:pPr>
              <w:ind w:left="10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Shares</w:t>
            </w:r>
          </w:p>
        </w:tc>
        <w:tc>
          <w:tcPr>
            <w:tcW w:w="128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164"/>
        </w:trPr>
        <w:tc>
          <w:tcPr>
            <w:tcW w:w="24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Awards outstanding at</w:t>
            </w:r>
          </w:p>
        </w:tc>
        <w:tc>
          <w:tcPr>
            <w:tcW w:w="4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193,129</w:t>
            </w:r>
          </w:p>
        </w:tc>
        <w:tc>
          <w:tcPr>
            <w:tcW w:w="3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387,628</w:t>
            </w: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127,158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148,224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3"/>
                <w:szCs w:val="23"/>
                <w:color w:val="auto"/>
                <w:vertAlign w:val="superscript"/>
              </w:rPr>
              <w:t>(2)</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(146,947)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(342,723)</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4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(34,398)</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24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Awards outstanding at end of</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137,379</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30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193,129</w:t>
            </w:r>
          </w:p>
        </w:tc>
        <w:tc>
          <w:tcPr>
            <w:tcW w:w="64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24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60" w:hanging="639"/>
        <w:spacing w:after="0" w:line="27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45" w:lineRule="exact"/>
        <w:rPr>
          <w:rFonts w:ascii="Arial" w:cs="Arial" w:eastAsia="Arial" w:hAnsi="Arial"/>
          <w:sz w:val="18"/>
          <w:szCs w:val="18"/>
          <w:color w:val="auto"/>
        </w:rPr>
      </w:pPr>
    </w:p>
    <w:p>
      <w:pPr>
        <w:ind w:left="640" w:right="160" w:hanging="639"/>
        <w:spacing w:after="0" w:line="27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years ended December 31, 2025, 2024 and 2023, total fair value of vested restricted stock was $0.8 million, $1.5 million and $2.9 million, respectively.</w:t>
      </w:r>
    </w:p>
    <w:p>
      <w:pPr>
        <w:spacing w:after="0" w:line="14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For the years ended December 31, 2025, 2024 and 2023, $ 1.0 million, $1.0 million and $1.3 million, respectively, were recognized as share-based compensation related to restricted stock. Future compensation cost and the weighted average vesting period associated with unvested restricted stock at December 31, 2025 were approximately $0.9 million and 0.9 years,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 Awards</w:t>
      </w:r>
    </w:p>
    <w:p>
      <w:pPr>
        <w:spacing w:after="0" w:line="169"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Our outstanding PSUs can be settled in either cash or shares of our common stock, or a combination thereof, at the discretion of the Compensation Committee upon vesting and generally have been accounted for as equity awards. Those PSUs consist of two components measured across a three-year performance period: (i) 50% containing a service and market condition based on the performance of our common stock against peer group companies, and (ii) 50% containing a service and performance condition based on cumulative total Free Cash Flow. Free Cash Flow is calculated as cash flows from operating activities less capital expenditures, net of proceeds from sale of assets. Our PSUs cliff vest at the end of the three-year period with the maximum amount of the award being 200% of the original PSU awards and the minimum amount being zero.</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PSU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ind w:left="23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560" w:type="dxa"/>
            <w:vAlign w:val="bottom"/>
            <w:tcBorders>
              <w:top w:val="single" w:sz="8" w:color="auto"/>
            </w:tcBorders>
            <w:gridSpan w:val="4"/>
          </w:tcPr>
          <w:p>
            <w:pPr>
              <w:jc w:val="right"/>
              <w:ind w:right="130"/>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gridSpan w:val="6"/>
          </w:tcPr>
          <w:p>
            <w:pPr>
              <w:jc w:val="right"/>
              <w:ind w:right="8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jc w:val="right"/>
              <w:ind w:right="850"/>
              <w:spacing w:after="0" w:line="196" w:lineRule="exact"/>
              <w:rPr>
                <w:sz w:val="20"/>
                <w:szCs w:val="20"/>
                <w:color w:val="auto"/>
              </w:rPr>
            </w:pPr>
            <w:r>
              <w:rPr>
                <w:rFonts w:ascii="Arial" w:cs="Arial" w:eastAsia="Arial" w:hAnsi="Arial"/>
                <w:sz w:val="18"/>
                <w:szCs w:val="18"/>
                <w:b w:val="1"/>
                <w:bCs w:val="1"/>
                <w:color w:val="auto"/>
                <w:w w:val="94"/>
              </w:rPr>
              <w:t>2023</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8"/>
                <w:szCs w:val="18"/>
                <w:b w:val="1"/>
                <w:bCs w:val="1"/>
                <w:color w:val="auto"/>
              </w:rPr>
              <w:t>Grant Date</w:t>
            </w: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0"/>
              <w:spacing w:after="0" w:line="168"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231"/>
        </w:trPr>
        <w:tc>
          <w:tcPr>
            <w:tcW w:w="2400" w:type="dxa"/>
            <w:vAlign w:val="bottom"/>
          </w:tcPr>
          <w:p>
            <w:pPr>
              <w:ind w:left="2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w:t>
            </w:r>
          </w:p>
        </w:tc>
        <w:tc>
          <w:tcPr>
            <w:tcW w:w="126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Units</w:t>
            </w:r>
          </w:p>
        </w:tc>
        <w:tc>
          <w:tcPr>
            <w:tcW w:w="126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  Units</w:t>
            </w:r>
          </w:p>
        </w:tc>
        <w:tc>
          <w:tcPr>
            <w:tcW w:w="134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164"/>
        </w:trPr>
        <w:tc>
          <w:tcPr>
            <w:tcW w:w="240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PSU awards outstanding at</w:t>
            </w:r>
          </w:p>
        </w:tc>
        <w:tc>
          <w:tcPr>
            <w:tcW w:w="980" w:type="dxa"/>
            <w:vAlign w:val="bottom"/>
            <w:tcBorders>
              <w:top w:val="single" w:sz="8" w:color="auto"/>
              <w:lef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1,906,613</w:t>
            </w:r>
          </w:p>
        </w:tc>
        <w:tc>
          <w:tcPr>
            <w:tcW w:w="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2,007,584</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397,264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351,410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12.30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489,498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3"/>
                <w:szCs w:val="23"/>
                <w:color w:val="auto"/>
                <w:vertAlign w:val="superscript"/>
              </w:rPr>
              <w:t>(2)</w:t>
            </w:r>
          </w:p>
        </w:tc>
        <w:tc>
          <w:tcPr>
            <w:tcW w:w="980" w:type="dxa"/>
            <w:vAlign w:val="bottom"/>
            <w:tcBorders>
              <w:lef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(1,065,705)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(452,381)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(369,938)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line="183" w:lineRule="exact"/>
              <w:rPr>
                <w:sz w:val="20"/>
                <w:szCs w:val="20"/>
                <w:color w:val="auto"/>
              </w:rPr>
            </w:pPr>
            <w:r>
              <w:rPr>
                <w:rFonts w:ascii="Arial" w:cs="Arial" w:eastAsia="Arial" w:hAnsi="Arial"/>
                <w:sz w:val="18"/>
                <w:szCs w:val="18"/>
                <w:color w:val="auto"/>
              </w:rPr>
              <w:t>PSU awards outstanding at</w:t>
            </w: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00" w:type="dxa"/>
            <w:vAlign w:val="bottom"/>
            <w:vMerge w:val="continue"/>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1,238,172</w:t>
            </w:r>
          </w:p>
        </w:tc>
        <w:tc>
          <w:tcPr>
            <w:tcW w:w="40" w:type="dxa"/>
            <w:vAlign w:val="bottom"/>
          </w:tcPr>
          <w:p>
            <w:pPr>
              <w:spacing w:after="0"/>
              <w:rPr>
                <w:sz w:val="14"/>
                <w:szCs w:val="14"/>
                <w:color w:val="auto"/>
              </w:rPr>
            </w:pPr>
          </w:p>
        </w:tc>
        <w:tc>
          <w:tcPr>
            <w:tcW w:w="160" w:type="dxa"/>
            <w:vAlign w:val="bottom"/>
            <w:vMerge w:val="restart"/>
          </w:tcPr>
          <w:p>
            <w:pPr>
              <w:spacing w:after="0"/>
              <w:rPr>
                <w:sz w:val="14"/>
                <w:szCs w:val="14"/>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10.53</w:t>
            </w:r>
          </w:p>
        </w:tc>
        <w:tc>
          <w:tcPr>
            <w:tcW w:w="22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1,906,613</w:t>
            </w:r>
          </w:p>
        </w:tc>
        <w:tc>
          <w:tcPr>
            <w:tcW w:w="6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200" w:type="dxa"/>
            <w:vAlign w:val="bottom"/>
            <w:vMerge w:val="restart"/>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2,007,584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8"/>
        </w:trPr>
        <w:tc>
          <w:tcPr>
            <w:tcW w:w="2400" w:type="dxa"/>
            <w:vAlign w:val="bottom"/>
          </w:tcPr>
          <w:p>
            <w:pPr>
              <w:spacing w:after="0"/>
              <w:rPr>
                <w:sz w:val="20"/>
                <w:szCs w:val="20"/>
                <w:color w:val="auto"/>
              </w:rPr>
            </w:pPr>
            <w:r>
              <w:rPr>
                <w:rFonts w:ascii="Arial" w:cs="Arial" w:eastAsia="Arial" w:hAnsi="Arial"/>
                <w:sz w:val="18"/>
                <w:szCs w:val="18"/>
                <w:color w:val="auto"/>
              </w:rPr>
              <w:t>end of year</w:t>
            </w: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hanging="63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w:t>
      </w:r>
    </w:p>
    <w:p>
      <w:pPr>
        <w:sectPr>
          <w:pgSz w:w="11900" w:h="16838" w:orient="portrait"/>
          <w:cols w:equalWidth="0" w:num="1">
            <w:col w:w="9640"/>
          </w:cols>
          <w:pgMar w:left="1120" w:top="513" w:right="11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right="20" w:hanging="639"/>
        <w:spacing w:after="0" w:line="24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year ended December 31, 2025, our 2022 PSU awards vested at 200%, resulting in 1,958,334 shares of our common stock with a total market value of $18.3 million and $1.6 million of cash. During the years ended December 31, 2024 and 2023, our 2021 and 2020 PSU awards vested at 818,812 shares and 285,778 shares, respectively, with a total market value of $8.4 million and $3.6 million, respectively.</w:t>
      </w:r>
    </w:p>
    <w:p>
      <w:pPr>
        <w:spacing w:after="0" w:line="16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For the years ended December 31, 2025, 2024 and 2023, $ 5.1 million, $7.3 million and $4.8 million, respectively, were recognized as share-based compensation related to PSUs. In connection with the Compensation Committee’s decision in December 2025 to cash settle the 2023 PSU awards in 2026, 489,498 PSUs, which were previously accounted for as equity awards, were reclassified as liability awards with a liability balance of $4.6 million, reflecting the estimated fair value of the modified awards as of December 31, 2025. The cumulative compensation cost recognized in excess of the estimated fair value of the modified liability PSU awards is reflected in equity. For the year ended December 31, 2024, we recognized incremental compensation cost of $1.1 million related to the equity-to-liability award modification of 86,538 PSUs granted in 2022 to one of our officers. Future compensation cost and the weighted average vesting period associated with unvested PSU awards at December 31, 2025 were approximately $4.4 million and 0.9 year,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Our outstanding RSUs can be settled in either cash or shares of our common stock, or a combination thereof, at the discretion of the Compensation Committee upon vesting and generally have been accounted for as liability awards.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our RSU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gridSpan w:val="3"/>
          </w:tcPr>
          <w:p>
            <w:pPr>
              <w:ind w:left="23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6"/>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jc w:val="right"/>
              <w:ind w:right="830"/>
              <w:spacing w:after="0" w:line="196" w:lineRule="exact"/>
              <w:rPr>
                <w:sz w:val="20"/>
                <w:szCs w:val="20"/>
                <w:color w:val="auto"/>
              </w:rPr>
            </w:pPr>
            <w:r>
              <w:rPr>
                <w:rFonts w:ascii="Arial" w:cs="Arial" w:eastAsia="Arial" w:hAnsi="Arial"/>
                <w:sz w:val="18"/>
                <w:szCs w:val="18"/>
                <w:b w:val="1"/>
                <w:bCs w:val="1"/>
                <w:color w:val="auto"/>
              </w:rPr>
              <w:t>2025</w:t>
            </w:r>
          </w:p>
        </w:tc>
        <w:tc>
          <w:tcPr>
            <w:tcW w:w="2460" w:type="dxa"/>
            <w:vAlign w:val="bottom"/>
            <w:tcBorders>
              <w:top w:val="single" w:sz="8" w:color="auto"/>
            </w:tcBorders>
            <w:gridSpan w:val="5"/>
          </w:tcPr>
          <w:p>
            <w:pPr>
              <w:jc w:val="right"/>
              <w:ind w:right="85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4"/>
          </w:tcPr>
          <w:p>
            <w:pPr>
              <w:jc w:val="right"/>
              <w:ind w:right="85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0"/>
              <w:spacing w:after="0" w:line="168" w:lineRule="exact"/>
              <w:rPr>
                <w:sz w:val="20"/>
                <w:szCs w:val="20"/>
                <w:color w:val="auto"/>
              </w:rPr>
            </w:pPr>
            <w:r>
              <w:rPr>
                <w:rFonts w:ascii="Arial" w:cs="Arial" w:eastAsia="Arial" w:hAnsi="Arial"/>
                <w:sz w:val="18"/>
                <w:szCs w:val="18"/>
                <w:b w:val="1"/>
                <w:bCs w:val="1"/>
                <w:color w:val="auto"/>
                <w:w w:val="97"/>
              </w:rPr>
              <w:t>Grant Date</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
              <w:spacing w:after="0" w:line="168"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1"/>
        </w:trPr>
        <w:tc>
          <w:tcPr>
            <w:tcW w:w="2500" w:type="dxa"/>
            <w:vAlign w:val="bottom"/>
            <w:gridSpan w:val="3"/>
          </w:tcPr>
          <w:p>
            <w:pPr>
              <w:ind w:left="23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132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  Units</w:t>
            </w:r>
          </w:p>
        </w:tc>
        <w:tc>
          <w:tcPr>
            <w:tcW w:w="1580" w:type="dxa"/>
            <w:vAlign w:val="bottom"/>
            <w:gridSpan w:val="5"/>
          </w:tcPr>
          <w:p>
            <w:pPr>
              <w:ind w:left="100"/>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 xml:space="preserve">  ​​​</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Units</w:t>
            </w:r>
          </w:p>
        </w:tc>
        <w:tc>
          <w:tcPr>
            <w:tcW w:w="1340" w:type="dxa"/>
            <w:vAlign w:val="bottom"/>
            <w:gridSpan w:val="3"/>
          </w:tcPr>
          <w:p>
            <w:pPr>
              <w:jc w:val="right"/>
              <w:spacing w:after="0" w:line="231" w:lineRule="exact"/>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164"/>
        </w:trPr>
        <w:tc>
          <w:tcPr>
            <w:tcW w:w="2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RSU awards outstanding at</w:t>
            </w:r>
          </w:p>
        </w:tc>
        <w:tc>
          <w:tcPr>
            <w:tcW w:w="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1,068,592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1,367,702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1,367,294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line="202"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443,401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375,730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506,436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(649,289)</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(674,840)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(506,028)</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164"/>
        </w:trPr>
        <w:tc>
          <w:tcPr>
            <w:tcW w:w="2440" w:type="dxa"/>
            <w:vAlign w:val="bottom"/>
            <w:gridSpan w:val="2"/>
          </w:tcPr>
          <w:p>
            <w:pPr>
              <w:spacing w:after="0" w:line="163" w:lineRule="exact"/>
              <w:rPr>
                <w:sz w:val="20"/>
                <w:szCs w:val="20"/>
                <w:color w:val="auto"/>
              </w:rPr>
            </w:pPr>
            <w:r>
              <w:rPr>
                <w:rFonts w:ascii="Arial" w:cs="Arial" w:eastAsia="Arial" w:hAnsi="Arial"/>
                <w:sz w:val="18"/>
                <w:szCs w:val="18"/>
                <w:color w:val="auto"/>
              </w:rPr>
              <w:t>RSU awards outstanding at</w:t>
            </w:r>
          </w:p>
        </w:tc>
        <w:tc>
          <w:tcPr>
            <w:tcW w:w="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862,704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1,068,592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1,367,702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8"/>
        </w:trPr>
        <w:tc>
          <w:tcPr>
            <w:tcW w:w="2500" w:type="dxa"/>
            <w:vAlign w:val="bottom"/>
            <w:gridSpan w:val="3"/>
          </w:tcPr>
          <w:p>
            <w:pPr>
              <w:spacing w:after="0"/>
              <w:rPr>
                <w:sz w:val="20"/>
                <w:szCs w:val="20"/>
                <w:color w:val="auto"/>
              </w:rPr>
            </w:pPr>
            <w:r>
              <w:rPr>
                <w:rFonts w:ascii="Arial" w:cs="Arial" w:eastAsia="Arial" w:hAnsi="Arial"/>
                <w:sz w:val="18"/>
                <w:szCs w:val="18"/>
                <w:color w:val="auto"/>
              </w:rPr>
              <w:t>end of year</w:t>
            </w:r>
          </w:p>
        </w:tc>
        <w:tc>
          <w:tcPr>
            <w:tcW w:w="8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60" w:hanging="639"/>
        <w:spacing w:after="0" w:line="271"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weighted average grant date fair value, which is based on the quoted closing market price of our common stock on the trading day prior to the date of grant.</w:t>
      </w:r>
    </w:p>
    <w:p>
      <w:pPr>
        <w:spacing w:after="0" w:line="14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Compensation cost recognized for the years ended December 31, 2025, 2024 and 2023 was $2.9 million and $5.8 million and $6.8 million, respectively, which approximated the fair value of RSUs vested in January 2026, 2025 and 2024, respectively. Future compensation cost based on the fair value of unvested RSUs at December 31, 2025 totaled approximately $2.6 million. The weighted average vesting period related to unvested RSUs at December 31, 2025 was approximately 1.3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Awards</w:t>
      </w:r>
    </w:p>
    <w:p>
      <w:pPr>
        <w:spacing w:after="0" w:line="183"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In 2025, 2024 and 2023, we granted fixed value cash awards of $6.7 million, $6.1 million and $ 6.0 million, respectively, to select management employees under the 2005 Incentive Plan. The value of these cash awards is recognized on a straight-line basis over a vesting period of three years. For the years ended December 31, 2025, 2024 and 2023, we recognized compensation costs of $5.5 million and $5.4 million and $4.5 million, respectively, which reflect the cash payouts made in January 2026, 2025 and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sponsor a defined contribution 401(k) retirement plan in the U.S. We also contribute to various other defined contribution plans globally. For the years ended December 31, 2025, 2024 and 2023, we made contributions to our defined contribution plans totaling $5.5 million, $5.5 million and $4.3 million,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As of December 31, 2025, 0.7 million shares were available for issuance under the ESPP. Eligible employees who participate in the ESPP may purchase shares of our common stock through payroll deductions on an after-tax basis over a four-month period beginning on January 1, May 1, and September 1 of each year during the term of the ESPP, subject to certain restrictions and limitations established by the Compensation Committee and Section 423 of the Internal Revenue Code. The per share price of common stock purchased under the ESPP is equal to 85% of the lesser of its fair market value on (i) the first trading day of the purchase period or (ii) the last trading day of the purchase period. The ESPP currently has a purchase limit of 260 shares per employee per purchase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Business Segment Information</w:t>
      </w:r>
    </w:p>
    <w:p>
      <w:pPr>
        <w:spacing w:after="0" w:line="212"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These reportable segments are strategic business units that utilize different mix of vessels and/or equipment to perform different types of services. All material intercompany transactions between the segments have been eliminated. See Note 1 for more information on our business segments.</w:t>
      </w:r>
    </w:p>
    <w:p>
      <w:pPr>
        <w:spacing w:after="0" w:line="176" w:lineRule="exact"/>
        <w:rPr>
          <w:sz w:val="20"/>
          <w:szCs w:val="20"/>
          <w:color w:val="auto"/>
        </w:rPr>
      </w:pPr>
    </w:p>
    <w:p>
      <w:pPr>
        <w:ind w:right="200" w:firstLine="648"/>
        <w:spacing w:after="0" w:line="242" w:lineRule="auto"/>
        <w:rPr>
          <w:sz w:val="20"/>
          <w:szCs w:val="20"/>
          <w:color w:val="auto"/>
        </w:rPr>
      </w:pPr>
      <w:r>
        <w:rPr>
          <w:rFonts w:ascii="Arial" w:cs="Arial" w:eastAsia="Arial" w:hAnsi="Arial"/>
          <w:sz w:val="18"/>
          <w:szCs w:val="18"/>
          <w:color w:val="auto"/>
        </w:rPr>
        <w:t>Our chief operating decision maker (“CODM”) is the chief operating officer. The CODM uses segment operating income or loss as the measure of segment profit or loss to evaluate segment performance by comparing the results of each segment with its annual budgeted amounts and monthly forecasts as well as the results of other segments. The CODM also uses segment operating income or loss to allocate company resources (including employees, property, and financial resources) to each segment. Information about our segment revenues and our measure of segment profit or loss is shown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 Robotics</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​​​Abandonment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Facilities</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80"/>
              <w:spacing w:after="0" w:line="202" w:lineRule="exact"/>
              <w:rPr>
                <w:sz w:val="20"/>
                <w:szCs w:val="20"/>
                <w:color w:val="auto"/>
              </w:rPr>
            </w:pPr>
            <w:r>
              <w:rPr>
                <w:rFonts w:ascii="Arial" w:cs="Arial" w:eastAsia="Arial" w:hAnsi="Arial"/>
                <w:sz w:val="18"/>
                <w:szCs w:val="18"/>
                <w:color w:val="auto"/>
              </w:rPr>
              <w:t>External revenues</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729,371</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289,841</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199,569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72,693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1,291,474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33,512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729,371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323,353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199,633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72,693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1,325,050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tcBorders>
              <w:bottom w:val="single" w:sz="8" w:color="CCEEFF"/>
            </w:tcBorders>
          </w:tcPr>
          <w:p>
            <w:pPr>
              <w:ind w:left="300"/>
              <w:spacing w:after="0" w:line="196" w:lineRule="exact"/>
              <w:rPr>
                <w:sz w:val="20"/>
                <w:szCs w:val="20"/>
                <w:color w:val="auto"/>
              </w:rPr>
            </w:pPr>
            <w:r>
              <w:rPr>
                <w:rFonts w:ascii="Arial" w:cs="Arial" w:eastAsia="Arial" w:hAnsi="Arial"/>
                <w:sz w:val="18"/>
                <w:szCs w:val="18"/>
                <w:color w:val="auto"/>
              </w:rPr>
              <w:t>Total consolidated net revenues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1,291,474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(673,111)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(235,975)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(50,997)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(15,666)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(5,597)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shd w:val="clear" w:color="auto" w:fill="CCEEFF"/>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tcPr>
          <w:p>
            <w:pPr>
              <w:ind w:left="300"/>
              <w:spacing w:after="0" w:line="196" w:lineRule="exact"/>
              <w:rPr>
                <w:sz w:val="20"/>
                <w:szCs w:val="20"/>
                <w:color w:val="auto"/>
              </w:rPr>
            </w:pPr>
            <w:r>
              <w:rPr>
                <w:rFonts w:ascii="Arial" w:cs="Arial" w:eastAsia="Arial" w:hAnsi="Arial"/>
                <w:sz w:val="18"/>
                <w:szCs w:val="18"/>
                <w:color w:val="auto"/>
              </w:rPr>
              <w:t>Segment operating income</w:t>
            </w:r>
          </w:p>
        </w:tc>
        <w:tc>
          <w:tcPr>
            <w:tcW w:w="120" w:type="dxa"/>
            <w:vAlign w:val="bottom"/>
          </w:tcPr>
          <w:p>
            <w:pPr>
              <w:spacing w:after="0"/>
              <w:rPr>
                <w:sz w:val="20"/>
                <w:szCs w:val="20"/>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24,367</w:t>
            </w:r>
          </w:p>
        </w:tc>
        <w:tc>
          <w:tcPr>
            <w:tcW w:w="200" w:type="dxa"/>
            <w:vAlign w:val="bottom"/>
          </w:tcPr>
          <w:p>
            <w:pPr>
              <w:spacing w:after="0"/>
              <w:rPr>
                <w:sz w:val="20"/>
                <w:szCs w:val="20"/>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71,325</w:t>
            </w:r>
          </w:p>
        </w:tc>
        <w:tc>
          <w:tcPr>
            <w:tcW w:w="200" w:type="dxa"/>
            <w:vAlign w:val="bottom"/>
          </w:tcPr>
          <w:p>
            <w:pPr>
              <w:spacing w:after="0"/>
              <w:rPr>
                <w:sz w:val="20"/>
                <w:szCs w:val="20"/>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10,503</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20,298</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126,493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ended December 31, 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32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36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External revenues</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823,472</w:t>
            </w:r>
          </w:p>
        </w:tc>
        <w:tc>
          <w:tcPr>
            <w:tcW w:w="4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259,639</w:t>
            </w: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186,740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88,709</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6,390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38,039</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Segment revenues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829,862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297,678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186,979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88,709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1,403,228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Elimination of intersegment revenues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consolidated net revenues</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Direct cost of revenues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(704,120)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8"/>
              </w:rPr>
              <w:t>(203,849)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(175,111)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(64,429)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Operations support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Pr>
          <w:p>
            <w:pPr>
              <w:ind w:left="200"/>
              <w:spacing w:after="0" w:line="183"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ind w:left="300"/>
              <w:spacing w:after="0" w:line="196" w:lineRule="exact"/>
              <w:rPr>
                <w:sz w:val="20"/>
                <w:szCs w:val="20"/>
                <w:color w:val="auto"/>
              </w:rPr>
            </w:pPr>
            <w:r>
              <w:rPr>
                <w:rFonts w:ascii="Arial" w:cs="Arial" w:eastAsia="Arial" w:hAnsi="Arial"/>
                <w:sz w:val="18"/>
                <w:szCs w:val="18"/>
                <w:color w:val="auto"/>
              </w:rPr>
              <w:t>Segment operating income (loss)</w:t>
            </w:r>
          </w:p>
        </w:tc>
        <w:tc>
          <w:tcPr>
            <w:tcW w:w="12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93,205</w:t>
            </w:r>
          </w:p>
        </w:tc>
        <w:tc>
          <w:tcPr>
            <w:tcW w:w="2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77,343</w:t>
            </w:r>
          </w:p>
        </w:tc>
        <w:tc>
          <w:tcPr>
            <w:tcW w:w="20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(9,323)</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21,340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182,565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00"/>
          </w:cols>
          <w:pgMar w:left="1120" w:top="513" w:right="107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28"/>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Production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 Robotics</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​​​Abandonment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Facilities</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196"/>
        </w:trPr>
        <w:tc>
          <w:tcPr>
            <w:tcW w:w="33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2023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r>
      <w:tr>
        <w:trPr>
          <w:trHeight w:val="203"/>
        </w:trPr>
        <w:tc>
          <w:tcPr>
            <w:tcW w:w="33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External revenues</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704,365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222,612</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274,866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87,885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1,289,728</w:t>
            </w:r>
          </w:p>
        </w:tc>
        <w:tc>
          <w:tcPr>
            <w:tcW w:w="60" w:type="dxa"/>
            <w:vAlign w:val="bottom"/>
          </w:tcPr>
          <w:p>
            <w:pPr>
              <w:spacing w:after="0"/>
              <w:rPr>
                <w:sz w:val="17"/>
                <w:szCs w:val="17"/>
                <w:color w:val="auto"/>
              </w:rPr>
            </w:pPr>
          </w:p>
        </w:tc>
      </w:tr>
      <w:tr>
        <w:trPr>
          <w:trHeight w:val="203"/>
        </w:trPr>
        <w:tc>
          <w:tcPr>
            <w:tcW w:w="33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Intersegment revenues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35,263</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38,704</w:t>
            </w:r>
          </w:p>
        </w:tc>
        <w:tc>
          <w:tcPr>
            <w:tcW w:w="60" w:type="dxa"/>
            <w:vAlign w:val="bottom"/>
          </w:tcPr>
          <w:p>
            <w:pPr>
              <w:spacing w:after="0"/>
              <w:rPr>
                <w:sz w:val="17"/>
                <w:szCs w:val="17"/>
                <w:color w:val="auto"/>
              </w:rPr>
            </w:pPr>
          </w:p>
        </w:tc>
      </w:tr>
      <w:tr>
        <w:trPr>
          <w:trHeight w:val="196"/>
        </w:trPr>
        <w:tc>
          <w:tcPr>
            <w:tcW w:w="332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Segment revenues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707,718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257,875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274,954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87,885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1,328,432</w:t>
            </w:r>
          </w:p>
        </w:tc>
        <w:tc>
          <w:tcPr>
            <w:tcW w:w="60" w:type="dxa"/>
            <w:vAlign w:val="bottom"/>
          </w:tcPr>
          <w:p>
            <w:pPr>
              <w:spacing w:after="0"/>
              <w:rPr>
                <w:sz w:val="17"/>
                <w:szCs w:val="17"/>
                <w:color w:val="auto"/>
              </w:rPr>
            </w:pPr>
          </w:p>
        </w:tc>
      </w:tr>
      <w:tr>
        <w:trPr>
          <w:trHeight w:val="203"/>
        </w:trPr>
        <w:tc>
          <w:tcPr>
            <w:tcW w:w="332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Elimination of intersegment revenues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(38,704)</w:t>
            </w:r>
          </w:p>
        </w:tc>
        <w:tc>
          <w:tcPr>
            <w:tcW w:w="60" w:type="dxa"/>
            <w:vAlign w:val="bottom"/>
          </w:tcPr>
          <w:p>
            <w:pPr>
              <w:spacing w:after="0"/>
              <w:rPr>
                <w:sz w:val="17"/>
                <w:szCs w:val="17"/>
                <w:color w:val="auto"/>
              </w:rPr>
            </w:pPr>
          </w:p>
        </w:tc>
      </w:tr>
      <w:tr>
        <w:trPr>
          <w:trHeight w:val="236"/>
        </w:trPr>
        <w:tc>
          <w:tcPr>
            <w:tcW w:w="3320" w:type="dxa"/>
            <w:vAlign w:val="bottom"/>
            <w:tcBorders>
              <w:bottom w:val="single" w:sz="8" w:color="CCEEFF"/>
            </w:tcBorders>
            <w:gridSpan w:val="3"/>
          </w:tcPr>
          <w:p>
            <w:pPr>
              <w:ind w:left="320"/>
              <w:spacing w:after="0" w:line="196" w:lineRule="exact"/>
              <w:rPr>
                <w:sz w:val="20"/>
                <w:szCs w:val="20"/>
                <w:color w:val="auto"/>
              </w:rPr>
            </w:pPr>
            <w:r>
              <w:rPr>
                <w:rFonts w:ascii="Arial" w:cs="Arial" w:eastAsia="Arial" w:hAnsi="Arial"/>
                <w:sz w:val="18"/>
                <w:szCs w:val="18"/>
                <w:color w:val="auto"/>
              </w:rPr>
              <w:t>Total consolidated net revenues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1,289,728</w:t>
            </w:r>
          </w:p>
        </w:tc>
        <w:tc>
          <w:tcPr>
            <w:tcW w:w="60" w:type="dxa"/>
            <w:vAlign w:val="bottom"/>
          </w:tcPr>
          <w:p>
            <w:pPr>
              <w:spacing w:after="0"/>
              <w:rPr>
                <w:sz w:val="20"/>
                <w:szCs w:val="20"/>
                <w:color w:val="auto"/>
              </w:rPr>
            </w:pPr>
          </w:p>
        </w:tc>
      </w:tr>
      <w:tr>
        <w:trPr>
          <w:trHeight w:val="183"/>
        </w:trPr>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320" w:type="dxa"/>
            <w:vAlign w:val="bottom"/>
            <w:gridSpan w:val="3"/>
          </w:tcPr>
          <w:p>
            <w:pPr>
              <w:ind w:left="100"/>
              <w:spacing w:after="0" w:line="202" w:lineRule="exact"/>
              <w:rPr>
                <w:sz w:val="20"/>
                <w:szCs w:val="20"/>
                <w:color w:val="auto"/>
              </w:rPr>
            </w:pPr>
            <w:r>
              <w:rPr>
                <w:rFonts w:ascii="Arial" w:cs="Arial" w:eastAsia="Arial" w:hAnsi="Arial"/>
                <w:sz w:val="16"/>
                <w:szCs w:val="16"/>
                <w:color w:val="auto"/>
              </w:rPr>
              <w:t xml:space="preserve">Less </w:t>
            </w:r>
            <w:r>
              <w:rPr>
                <w:rFonts w:ascii="Arial" w:cs="Arial" w:eastAsia="Arial" w:hAnsi="Arial"/>
                <w:sz w:val="23"/>
                <w:szCs w:val="23"/>
                <w:color w:val="auto"/>
                <w:vertAlign w:val="superscript"/>
              </w:rPr>
              <w:t>(2)</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2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 cost of revenues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(646,127)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(192,419)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(186,873)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(63,785)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Operations support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(14,427)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(4,838)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(16,820)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3320" w:type="dxa"/>
            <w:vAlign w:val="bottom"/>
            <w:gridSpan w:val="3"/>
            <w:shd w:val="clear" w:color="auto" w:fill="CCEEFF"/>
          </w:tcPr>
          <w:p>
            <w:pPr>
              <w:ind w:left="220"/>
              <w:spacing w:after="0" w:line="183"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3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3320" w:type="dxa"/>
            <w:vAlign w:val="bottom"/>
            <w:tcBorders>
              <w:bottom w:val="single" w:sz="8" w:color="CCEEFF"/>
            </w:tcBorders>
            <w:gridSpan w:val="3"/>
          </w:tcPr>
          <w:p>
            <w:pPr>
              <w:ind w:left="220"/>
              <w:spacing w:after="0" w:line="202"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3"/>
                <w:szCs w:val="23"/>
                <w:color w:val="auto"/>
                <w:vertAlign w:val="superscript"/>
              </w:rPr>
              <w:t>(3)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3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Segment operating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32,398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52,450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20,832</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171,920</w:t>
            </w:r>
          </w:p>
        </w:tc>
        <w:tc>
          <w:tcPr>
            <w:tcW w:w="60" w:type="dxa"/>
            <w:vAlign w:val="bottom"/>
          </w:tcPr>
          <w:p>
            <w:pPr>
              <w:spacing w:after="0"/>
              <w:rPr>
                <w:sz w:val="17"/>
                <w:szCs w:val="17"/>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2" w:lineRule="exact"/>
        <w:rPr>
          <w:sz w:val="20"/>
          <w:szCs w:val="20"/>
          <w:color w:val="auto"/>
        </w:rPr>
      </w:pPr>
    </w:p>
    <w:p>
      <w:pPr>
        <w:ind w:left="640" w:right="120" w:hanging="639"/>
        <w:spacing w:after="0" w:line="242"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Intersegment amounts are derived primarily from equipment and services provided to other business segments. Beginning in 2024, certain intersegment revenues of Well Intervention are no longer evaluated by the CODM in his assessment of the segment’s results as those revenues are pass-through amounts related to non-core services. For the years ended December 31, 2024 and 2023, $27.6 million and $25.0 million, respectively, have been removed from Well Intervention segment revenues and related intersegment eliminations. This change has no impact on our segment profit or our consolidated revenues and operating income (loss).</w:t>
      </w:r>
    </w:p>
    <w:p>
      <w:pPr>
        <w:spacing w:after="0" w:line="70" w:lineRule="exact"/>
        <w:rPr>
          <w:rFonts w:ascii="Arial" w:cs="Arial" w:eastAsia="Arial" w:hAnsi="Arial"/>
          <w:sz w:val="18"/>
          <w:szCs w:val="18"/>
          <w:color w:val="auto"/>
        </w:rPr>
      </w:pPr>
    </w:p>
    <w:p>
      <w:pPr>
        <w:ind w:left="640" w:right="700" w:hanging="639"/>
        <w:spacing w:after="0" w:line="27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shown.</w:t>
      </w:r>
    </w:p>
    <w:p>
      <w:pPr>
        <w:spacing w:after="0" w:line="45" w:lineRule="exact"/>
        <w:rPr>
          <w:rFonts w:ascii="Arial" w:cs="Arial" w:eastAsia="Arial" w:hAnsi="Arial"/>
          <w:sz w:val="18"/>
          <w:szCs w:val="18"/>
          <w:color w:val="auto"/>
        </w:rPr>
      </w:pPr>
    </w:p>
    <w:p>
      <w:pPr>
        <w:ind w:left="640" w:hanging="63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segment items in 2024 and 2023 relate to gain (loss) on disposition of assets, net.</w:t>
      </w:r>
    </w:p>
    <w:p>
      <w:pPr>
        <w:spacing w:after="0" w:line="1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table below provides a reconciliation of segment profit to income before income taxes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Reconciliation of segment profit —</w:t>
            </w: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Segment operating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126,493</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182,565</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171,920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Long-lived asset impairment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Change in fair value of contingent consideration </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Corporate, eliminations and other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(43,294)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(55,130)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(22,777)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(22,629)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Losses related to convertible senior notes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(1,820)</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42,480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82,064</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63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impairment charge on the remaining net book value of the Thunder Hawk field (Note 5)</w:t>
      </w:r>
    </w:p>
    <w:p>
      <w:pPr>
        <w:spacing w:after="0" w:line="103" w:lineRule="exact"/>
        <w:rPr>
          <w:rFonts w:ascii="Arial" w:cs="Arial" w:eastAsia="Arial" w:hAnsi="Arial"/>
          <w:sz w:val="18"/>
          <w:szCs w:val="18"/>
          <w:color w:val="auto"/>
        </w:rPr>
      </w:pPr>
    </w:p>
    <w:p>
      <w:pPr>
        <w:ind w:left="640" w:right="780" w:hanging="639"/>
        <w:spacing w:after="0" w:line="27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consideration associated with the Alliance acquisition (Note 3).</w:t>
      </w:r>
    </w:p>
    <w:p>
      <w:pPr>
        <w:spacing w:after="0" w:line="45" w:lineRule="exact"/>
        <w:rPr>
          <w:rFonts w:ascii="Arial" w:cs="Arial" w:eastAsia="Arial" w:hAnsi="Arial"/>
          <w:sz w:val="18"/>
          <w:szCs w:val="18"/>
          <w:color w:val="auto"/>
        </w:rPr>
      </w:pPr>
    </w:p>
    <w:p>
      <w:pPr>
        <w:ind w:left="640" w:right="220" w:hanging="639"/>
        <w:spacing w:after="0" w:line="27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 the losses from the repurchases and redemptions of the 2026 Notes during December 2023 and the first quarter 2024 (Note 7).</w:t>
      </w:r>
    </w:p>
    <w:p>
      <w:pPr>
        <w:spacing w:after="0" w:line="200" w:lineRule="exact"/>
        <w:rPr>
          <w:sz w:val="20"/>
          <w:szCs w:val="20"/>
          <w:color w:val="auto"/>
        </w:rPr>
      </w:pP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700"/>
          </w:cols>
          <w:pgMar w:left="1120" w:top="500" w:right="10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96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6820" w:type="dxa"/>
            <w:vAlign w:val="bottom"/>
            <w:gridSpan w:val="6"/>
          </w:tcPr>
          <w:p>
            <w:pPr>
              <w:jc w:val="right"/>
              <w:ind w:right="50"/>
              <w:spacing w:after="0"/>
              <w:rPr>
                <w:sz w:val="20"/>
                <w:szCs w:val="20"/>
                <w:color w:val="auto"/>
              </w:rPr>
            </w:pPr>
            <w:r>
              <w:rPr>
                <w:rFonts w:ascii="Arial" w:cs="Arial" w:eastAsia="Arial" w:hAnsi="Arial"/>
                <w:sz w:val="18"/>
                <w:szCs w:val="18"/>
                <w:color w:val="auto"/>
              </w:rPr>
              <w:t>The following items are also regularly provided to the CODM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27"/>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w:t>
            </w:r>
          </w:p>
        </w:tc>
        <w:tc>
          <w:tcPr>
            <w:tcW w:w="1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6,062</w:t>
            </w:r>
          </w:p>
        </w:tc>
        <w:tc>
          <w:tcPr>
            <w:tcW w:w="4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10,955</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10,402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EEFF"/>
            </w:tcBorders>
            <w:gridSpan w:val="3"/>
          </w:tcPr>
          <w:p>
            <w:pPr>
              <w:ind w:left="80"/>
              <w:spacing w:after="0" w:line="202" w:lineRule="exact"/>
              <w:rPr>
                <w:sz w:val="20"/>
                <w:szCs w:val="20"/>
                <w:color w:val="auto"/>
              </w:rPr>
            </w:pPr>
            <w:r>
              <w:rPr>
                <w:rFonts w:ascii="Arial" w:cs="Arial" w:eastAsia="Arial" w:hAnsi="Arial"/>
                <w:sz w:val="18"/>
                <w:szCs w:val="18"/>
                <w:color w:val="auto"/>
              </w:rPr>
              <w:t>Corporate, eliminations and other</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543</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16,342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23,303</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Well Intervention</w:t>
            </w:r>
          </w:p>
        </w:tc>
        <w:tc>
          <w:tcPr>
            <w:tcW w:w="16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140,211</w:t>
            </w:r>
          </w:p>
        </w:tc>
        <w:tc>
          <w:tcPr>
            <w:tcW w:w="4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123,517</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Robotics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7,601</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Shallow Water Abandonment</w:t>
            </w: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23,045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20,463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Production Facilities</w:t>
            </w: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21,279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bottom w:val="single" w:sz="8" w:color="CCEEFF"/>
            </w:tcBorders>
            <w:gridSpan w:val="3"/>
          </w:tcPr>
          <w:p>
            <w:pPr>
              <w:ind w:left="80"/>
              <w:spacing w:after="0" w:line="202" w:lineRule="exact"/>
              <w:rPr>
                <w:sz w:val="20"/>
                <w:szCs w:val="20"/>
                <w:color w:val="auto"/>
              </w:rPr>
            </w:pPr>
            <w:r>
              <w:rPr>
                <w:rFonts w:ascii="Arial" w:cs="Arial" w:eastAsia="Arial" w:hAnsi="Arial"/>
                <w:sz w:val="18"/>
                <w:szCs w:val="18"/>
                <w:color w:val="auto"/>
              </w:rPr>
              <w:t>Corporate and eliminations</w:t>
            </w:r>
          </w:p>
        </w:tc>
        <w:tc>
          <w:tcPr>
            <w:tcW w:w="1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187,382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173,292</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right="440" w:hanging="639"/>
        <w:spacing w:after="0" w:line="27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 cash paid principally for the acquisition, construction, upgrade, modification and refurbishment of long-lived property and equipment.</w:t>
      </w:r>
    </w:p>
    <w:p>
      <w:pPr>
        <w:spacing w:after="0" w:line="45" w:lineRule="exact"/>
        <w:rPr>
          <w:rFonts w:ascii="Arial" w:cs="Arial" w:eastAsia="Arial" w:hAnsi="Arial"/>
          <w:sz w:val="18"/>
          <w:szCs w:val="18"/>
          <w:color w:val="auto"/>
        </w:rPr>
      </w:pPr>
    </w:p>
    <w:p>
      <w:pPr>
        <w:ind w:left="640" w:right="200" w:hanging="639"/>
        <w:spacing w:after="0" w:line="24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an aggregate of depreciation and amortization expense related to property and equipment and deferred certification and dry dock costs, which is included within the segment expense captions “Direct cost of revenues” and “Selling, general and administrative expenses” as well as the line item caption “Corporate, eliminations and other” presented above.</w:t>
      </w:r>
    </w:p>
    <w:p>
      <w:pPr>
        <w:spacing w:after="0" w:line="16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Revenues by individually significant geographic location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34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29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96"/>
        </w:trPr>
        <w:tc>
          <w:tcPr>
            <w:tcW w:w="2400" w:type="dxa"/>
            <w:vAlign w:val="bottom"/>
          </w:tcPr>
          <w:p>
            <w:pPr>
              <w:spacing w:after="0"/>
              <w:rPr>
                <w:sz w:val="17"/>
                <w:szCs w:val="17"/>
                <w:color w:val="auto"/>
              </w:rPr>
            </w:pPr>
          </w:p>
        </w:tc>
        <w:tc>
          <w:tcPr>
            <w:tcW w:w="346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2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3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494,544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542,860</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644,755</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6"/>
                <w:szCs w:val="16"/>
                <w:color w:val="auto"/>
              </w:rPr>
              <w:t xml:space="preserve">North Sea </w:t>
            </w:r>
            <w:r>
              <w:rPr>
                <w:rFonts w:ascii="Arial" w:cs="Arial" w:eastAsia="Arial" w:hAnsi="Arial"/>
                <w:sz w:val="23"/>
                <w:szCs w:val="23"/>
                <w:color w:val="auto"/>
                <w:vertAlign w:val="superscript"/>
              </w:rPr>
              <w:t>(1)</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272,254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249,968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274,745</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354,509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185,538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177,070</w:t>
            </w: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68,415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222,119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163,957</w:t>
            </w:r>
          </w:p>
        </w:tc>
      </w:tr>
      <w:tr>
        <w:trPr>
          <w:trHeight w:val="203"/>
        </w:trPr>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West Africa</w:t>
            </w:r>
          </w:p>
        </w:tc>
        <w:tc>
          <w:tcPr>
            <w:tcW w:w="3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95,519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71,960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8,423</w:t>
            </w:r>
          </w:p>
        </w:tc>
      </w:tr>
      <w:tr>
        <w:trPr>
          <w:trHeight w:val="203"/>
        </w:trPr>
        <w:tc>
          <w:tcPr>
            <w:tcW w:w="2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3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86,115</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20,778</w:t>
            </w:r>
          </w:p>
        </w:tc>
      </w:tr>
      <w:tr>
        <w:trPr>
          <w:trHeight w:val="196"/>
        </w:trPr>
        <w:tc>
          <w:tcPr>
            <w:tcW w:w="24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1,291,474</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1,358,560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1,289,728</w:t>
            </w:r>
          </w:p>
        </w:tc>
      </w:tr>
      <w:tr>
        <w:trPr>
          <w:trHeight w:val="20"/>
        </w:trPr>
        <w:tc>
          <w:tcPr>
            <w:tcW w:w="2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76" w:lineRule="exact"/>
        <w:rPr>
          <w:sz w:val="20"/>
          <w:szCs w:val="20"/>
          <w:color w:val="auto"/>
        </w:rPr>
      </w:pPr>
    </w:p>
    <w:p>
      <w:pPr>
        <w:ind w:left="640" w:right="400" w:hanging="639"/>
        <w:spacing w:after="0" w:line="271"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revenues generated from the U.K. of $194.3 million, $181.8 million and $236.2 million, respectively, during the years ended December 31, 2025, 2024 and 2023.</w:t>
      </w:r>
    </w:p>
    <w:p>
      <w:pPr>
        <w:spacing w:after="0" w:line="140" w:lineRule="exact"/>
        <w:rPr>
          <w:sz w:val="20"/>
          <w:szCs w:val="20"/>
          <w:color w:val="auto"/>
        </w:rPr>
      </w:pPr>
    </w:p>
    <w:p>
      <w:pPr>
        <w:ind w:right="280" w:firstLine="648"/>
        <w:spacing w:after="0" w:line="242" w:lineRule="auto"/>
        <w:rPr>
          <w:sz w:val="20"/>
          <w:szCs w:val="20"/>
          <w:color w:val="auto"/>
        </w:rPr>
      </w:pPr>
      <w:r>
        <w:rPr>
          <w:rFonts w:ascii="Arial" w:cs="Arial" w:eastAsia="Arial" w:hAnsi="Arial"/>
          <w:sz w:val="18"/>
          <w:szCs w:val="18"/>
          <w:color w:val="auto"/>
        </w:rPr>
        <w:t xml:space="preserve">Vessels, systems and other property and equipment work in various offshore basins around the world such as the Gulf of America, Brazil, North Sea, West Africa and Asia Pacific regions. Vessels and equipment may temporarily work in a region other than the country in which those assets are based. For instance,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related IRS system, which are based in the U.S., are temporarily operating offshore West Africa. The following table provides our property and equipment, net of accumulated depreciation, by individually significant country where those assets are based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3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9"/>
                <w:szCs w:val="19"/>
                <w:color w:val="auto"/>
              </w:rPr>
            </w:pPr>
          </w:p>
        </w:tc>
      </w:tr>
      <w:tr>
        <w:trPr>
          <w:trHeight w:val="196"/>
        </w:trPr>
        <w:tc>
          <w:tcPr>
            <w:tcW w:w="3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tcBorders>
            <w:gridSpan w:val="3"/>
          </w:tcPr>
          <w:p>
            <w:pPr>
              <w:jc w:val="right"/>
              <w:ind w:right="387"/>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w w:val="99"/>
              </w:rPr>
              <w:t>2024</w:t>
            </w: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3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581,297</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659,721</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U.K.</w:t>
            </w: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583,464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578,505</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w:t>
            </w:r>
          </w:p>
        </w:tc>
        <w:tc>
          <w:tcPr>
            <w:tcW w:w="3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197,733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199,627</w:t>
            </w:r>
          </w:p>
        </w:tc>
      </w:tr>
      <w:tr>
        <w:trPr>
          <w:trHeight w:val="196"/>
        </w:trPr>
        <w:tc>
          <w:tcPr>
            <w:tcW w:w="350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3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1,362,494</w:t>
            </w:r>
          </w:p>
        </w:tc>
        <w:tc>
          <w:tcPr>
            <w:tcW w:w="280" w:type="dxa"/>
            <w:vAlign w:val="bottom"/>
            <w:gridSpan w:val="2"/>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1,437,853</w:t>
            </w:r>
          </w:p>
        </w:tc>
      </w:tr>
      <w:tr>
        <w:trPr>
          <w:trHeight w:val="20"/>
        </w:trPr>
        <w:tc>
          <w:tcPr>
            <w:tcW w:w="3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940" w:firstLine="648"/>
        <w:spacing w:after="0" w:line="301" w:lineRule="auto"/>
        <w:rPr>
          <w:sz w:val="20"/>
          <w:szCs w:val="20"/>
          <w:color w:val="auto"/>
        </w:rPr>
      </w:pPr>
      <w:r>
        <w:rPr>
          <w:rFonts w:ascii="Arial" w:cs="Arial" w:eastAsia="Arial" w:hAnsi="Arial"/>
          <w:sz w:val="17"/>
          <w:szCs w:val="17"/>
          <w:color w:val="auto"/>
        </w:rPr>
        <w:t>We have not included a disclosure of total assets by segment as management’s focus is on operating performance and cash flow generation and the CODM does not regularly review segment asset information.</w:t>
      </w:r>
    </w:p>
    <w:p>
      <w:pPr>
        <w:sectPr>
          <w:pgSz w:w="11900" w:h="16838" w:orient="portrait"/>
          <w:cols w:equalWidth="0" w:num="1">
            <w:col w:w="9640"/>
          </w:cols>
          <w:pgMar w:left="1120" w:top="500" w:right="11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Asset Retirement Obligations</w:t>
      </w:r>
    </w:p>
    <w:p>
      <w:pPr>
        <w:spacing w:after="0" w:line="21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AROs relate to mature offshore oil and gas properties (Droshky field and Thunder Hawk field) that we acquired with the intention to perform decommissioning work at the end of their life cycles. The following table describes the changes in our AROs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2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4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1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62,947</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Revisions in estimates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(4,010)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3,257</w:t>
            </w:r>
          </w:p>
        </w:tc>
      </w:tr>
      <w:tr>
        <w:trPr>
          <w:trHeight w:val="203"/>
        </w:trPr>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Accretion expense</w:t>
            </w:r>
          </w:p>
        </w:tc>
        <w:tc>
          <w:tcPr>
            <w:tcW w:w="19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5,823</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6,143</w:t>
            </w:r>
          </w:p>
        </w:tc>
      </w:tr>
      <w:tr>
        <w:trPr>
          <w:trHeight w:val="196"/>
        </w:trPr>
        <w:tc>
          <w:tcPr>
            <w:tcW w:w="3740" w:type="dxa"/>
            <w:vAlign w:val="bottom"/>
          </w:tcPr>
          <w:p>
            <w:pPr>
              <w:spacing w:after="0" w:line="196" w:lineRule="exact"/>
              <w:rPr>
                <w:sz w:val="20"/>
                <w:szCs w:val="20"/>
                <w:color w:val="auto"/>
              </w:rPr>
            </w:pPr>
            <w:r>
              <w:rPr>
                <w:rFonts w:ascii="Arial" w:cs="Arial" w:eastAsia="Arial" w:hAnsi="Arial"/>
                <w:sz w:val="18"/>
                <w:szCs w:val="18"/>
                <w:color w:val="auto"/>
              </w:rPr>
              <w:t>AROs at December 31,</w:t>
            </w:r>
          </w:p>
        </w:tc>
        <w:tc>
          <w:tcPr>
            <w:tcW w:w="19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68,770</w:t>
            </w:r>
          </w:p>
        </w:tc>
        <w:tc>
          <w:tcPr>
            <w:tcW w:w="2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62,947</w:t>
            </w:r>
          </w:p>
        </w:tc>
        <w:tc>
          <w:tcPr>
            <w:tcW w:w="240" w:type="dxa"/>
            <w:vAlign w:val="bottom"/>
            <w:gridSpan w:val="2"/>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61,356</w:t>
            </w:r>
          </w:p>
        </w:tc>
      </w:tr>
      <w:tr>
        <w:trPr>
          <w:trHeight w:val="20"/>
        </w:trPr>
        <w:tc>
          <w:tcPr>
            <w:tcW w:w="3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 xml:space="preserve">Our Well Intervention segment has long-term charter agreements with Sea1 Offshore (formerly Siem Offshore) for the </w:t>
      </w:r>
      <w:r>
        <w:rPr>
          <w:rFonts w:ascii="Arial" w:cs="Arial" w:eastAsia="Arial" w:hAnsi="Arial"/>
          <w:sz w:val="18"/>
          <w:szCs w:val="18"/>
          <w:i w:val="1"/>
          <w:iCs w:val="1"/>
          <w:color w:val="auto"/>
        </w:rPr>
        <w:t>Sea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vessels, whose charter terms expire in December 2030 and December 2031, respectively. Our Robotics segment has long-term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Shelia Bordelon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North Sea Enabler</w:t>
      </w:r>
      <w:r>
        <w:rPr>
          <w:rFonts w:ascii="Arial" w:cs="Arial" w:eastAsia="Arial" w:hAnsi="Arial"/>
          <w:sz w:val="18"/>
          <w:szCs w:val="18"/>
          <w:color w:val="auto"/>
        </w:rPr>
        <w:t>, whose charter terms expire in December 2030, May 2028, June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March 2026, respectively. In February 2025, our Robotics segment took delivery of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with a three-year charter that expires in February 2028. On April 1, 2025, we extended the </w:t>
      </w:r>
      <w:r>
        <w:rPr>
          <w:rFonts w:ascii="Arial" w:cs="Arial" w:eastAsia="Arial" w:hAnsi="Arial"/>
          <w:sz w:val="18"/>
          <w:szCs w:val="18"/>
          <w:i w:val="1"/>
          <w:iCs w:val="1"/>
          <w:color w:val="auto"/>
        </w:rPr>
        <w:t>Trym</w:t>
      </w:r>
      <w:r>
        <w:rPr>
          <w:rFonts w:ascii="Arial" w:cs="Arial" w:eastAsia="Arial" w:hAnsi="Arial"/>
          <w:sz w:val="18"/>
          <w:szCs w:val="18"/>
          <w:color w:val="auto"/>
        </w:rPr>
        <w:t xml:space="preserve"> charter by one year. In December 2025, we executed a new two-year charter agreement for the </w:t>
      </w:r>
      <w:r>
        <w:rPr>
          <w:rFonts w:ascii="Arial" w:cs="Arial" w:eastAsia="Arial" w:hAnsi="Arial"/>
          <w:sz w:val="18"/>
          <w:szCs w:val="18"/>
          <w:i w:val="1"/>
          <w:iCs w:val="1"/>
          <w:color w:val="auto"/>
        </w:rPr>
        <w:t>North Sea Enabler</w:t>
      </w:r>
      <w:r>
        <w:rPr>
          <w:rFonts w:ascii="Arial" w:cs="Arial" w:eastAsia="Arial" w:hAnsi="Arial"/>
          <w:sz w:val="18"/>
          <w:szCs w:val="18"/>
          <w:color w:val="auto"/>
        </w:rPr>
        <w:t xml:space="preserve"> starting in July 2026. In January 2026, our Robotics segment took delivery of the </w:t>
      </w:r>
      <w:r>
        <w:rPr>
          <w:rFonts w:ascii="Arial" w:cs="Arial" w:eastAsia="Arial" w:hAnsi="Arial"/>
          <w:sz w:val="18"/>
          <w:szCs w:val="18"/>
          <w:i w:val="1"/>
          <w:iCs w:val="1"/>
          <w:color w:val="auto"/>
        </w:rPr>
        <w:t>Patriot</w:t>
      </w:r>
      <w:r>
        <w:rPr>
          <w:rFonts w:ascii="Arial" w:cs="Arial" w:eastAsia="Arial" w:hAnsi="Arial"/>
          <w:sz w:val="18"/>
          <w:szCs w:val="18"/>
          <w:color w:val="auto"/>
        </w:rPr>
        <w:t xml:space="preserve"> with a four-year charter that expires in January 2030.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are involved in various legal proceedings and other matters in the normal course of business, including claims under the General Maritime Laws of the United States and the Merchant Marine Act of 1920 (commonly referred to as the Jones Act), contract-related disputes and employee-related disputes. We recognize losses for contingencies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accrued for or covered by insurance, will have a material adverse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Statement of Cash Flow Information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supplemental cash flow information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r>
      <w:tr>
        <w:trPr>
          <w:trHeight w:val="196"/>
        </w:trPr>
        <w:tc>
          <w:tcPr>
            <w:tcW w:w="3620" w:type="dxa"/>
            <w:vAlign w:val="bottom"/>
          </w:tcPr>
          <w:p>
            <w:pPr>
              <w:spacing w:after="0"/>
              <w:rPr>
                <w:sz w:val="17"/>
                <w:szCs w:val="17"/>
                <w:color w:val="auto"/>
              </w:rPr>
            </w:pPr>
          </w:p>
        </w:tc>
        <w:tc>
          <w:tcPr>
            <w:tcW w:w="22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2025</w:t>
            </w: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2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30,844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25,447</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20,984</w:t>
            </w:r>
          </w:p>
        </w:tc>
      </w:tr>
      <w:tr>
        <w:trPr>
          <w:trHeight w:val="398"/>
        </w:trPr>
        <w:tc>
          <w:tcPr>
            <w:tcW w:w="362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9"/>
                <w:szCs w:val="29"/>
                <w:color w:val="auto"/>
                <w:vertAlign w:val="superscript"/>
              </w:rPr>
              <w:t>(1)</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30,753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1525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640" w:hanging="63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these non-cash capital additions totaled $1.0 million and $0.1 million, respectively.</w:t>
      </w:r>
    </w:p>
    <w:p>
      <w:pPr>
        <w:spacing w:after="0" w:line="194"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Non-cash financing activities during the year ended December 31, 2024 included the non-cash settlement of the entire $14.0 million financing liabilities with certain customer receivables. We incurred these financing liabilities as a result of the purchase of certain P&amp;A equipment in 2023. Non-cash investing and financing activities for the year ended December 31, 2023 included financing liabilities with an estimated fair value of $11.6 million at the time of the P&amp;A equipment purchase in 2023. Non-cash financing activities for the year ended December 31, 2023 included the issuance of 1.5 million shares of our common stock for the repurchase of a portion of our 2026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Allowance Accounts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activity in our valuation accounts for each of the three years in the period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Deferred Tax Asset</w:t>
            </w:r>
          </w:p>
        </w:tc>
      </w:tr>
      <w:tr>
        <w:trPr>
          <w:trHeight w:val="221"/>
        </w:trPr>
        <w:tc>
          <w:tcPr>
            <w:tcW w:w="2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Credit Losses</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Allowance</w:t>
            </w: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2022</w:t>
            </w: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22,157</w:t>
            </w:r>
          </w:p>
        </w:tc>
      </w:tr>
      <w:tr>
        <w:trPr>
          <w:trHeight w:val="203"/>
        </w:trPr>
        <w:tc>
          <w:tcPr>
            <w:tcW w:w="42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 (2)</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51,354</w:t>
            </w:r>
          </w:p>
        </w:tc>
      </w:tr>
      <w:tr>
        <w:trPr>
          <w:trHeight w:val="203"/>
        </w:trPr>
        <w:tc>
          <w:tcPr>
            <w:tcW w:w="4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Write-offs</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(3)</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7,604</w:t>
            </w: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81,115</w:t>
            </w:r>
          </w:p>
        </w:tc>
      </w:tr>
      <w:tr>
        <w:trPr>
          <w:trHeight w:val="203"/>
        </w:trPr>
        <w:tc>
          <w:tcPr>
            <w:tcW w:w="42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(4)</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(5,734)</w:t>
            </w:r>
          </w:p>
        </w:tc>
      </w:tr>
      <w:tr>
        <w:trPr>
          <w:trHeight w:val="196"/>
        </w:trPr>
        <w:tc>
          <w:tcPr>
            <w:tcW w:w="420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2024</w:t>
            </w:r>
          </w:p>
        </w:tc>
        <w:tc>
          <w:tcPr>
            <w:tcW w:w="1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3,682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75,381</w:t>
            </w:r>
          </w:p>
        </w:tc>
      </w:tr>
      <w:tr>
        <w:trPr>
          <w:trHeight w:val="202"/>
        </w:trPr>
        <w:tc>
          <w:tcPr>
            <w:tcW w:w="4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Reductions </w:t>
            </w:r>
            <w:r>
              <w:rPr>
                <w:rFonts w:ascii="Arial" w:cs="Arial" w:eastAsia="Arial" w:hAnsi="Arial"/>
                <w:sz w:val="23"/>
                <w:szCs w:val="23"/>
                <w:color w:val="auto"/>
                <w:vertAlign w:val="superscript"/>
              </w:rPr>
              <w:t>(1)</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3"/>
                <w:szCs w:val="23"/>
                <w:color w:val="auto"/>
                <w:vertAlign w:val="superscript"/>
              </w:rPr>
              <w:t>(3)</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9,570</w:t>
            </w:r>
          </w:p>
        </w:tc>
      </w:tr>
      <w:tr>
        <w:trPr>
          <w:trHeight w:val="196"/>
        </w:trPr>
        <w:tc>
          <w:tcPr>
            <w:tcW w:w="42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2025</w:t>
            </w:r>
          </w:p>
        </w:tc>
        <w:tc>
          <w:tcPr>
            <w:tcW w:w="18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84,951</w:t>
            </w:r>
          </w:p>
        </w:tc>
      </w:tr>
      <w:tr>
        <w:trPr>
          <w:trHeight w:val="20"/>
        </w:trPr>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62" w:lineRule="exact"/>
        <w:rPr>
          <w:sz w:val="20"/>
          <w:szCs w:val="20"/>
          <w:color w:val="auto"/>
        </w:rPr>
      </w:pPr>
    </w:p>
    <w:p>
      <w:pPr>
        <w:ind w:left="640" w:right="30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additions/reductions in allowance for credit losses relate to reserves (releases) for expected credit losses during the respective years.</w:t>
      </w:r>
    </w:p>
    <w:p>
      <w:pPr>
        <w:spacing w:after="0" w:line="45" w:lineRule="exact"/>
        <w:rPr>
          <w:rFonts w:ascii="Arial" w:cs="Arial" w:eastAsia="Arial" w:hAnsi="Arial"/>
          <w:sz w:val="18"/>
          <w:szCs w:val="18"/>
          <w:color w:val="auto"/>
        </w:rPr>
      </w:pPr>
    </w:p>
    <w:p>
      <w:pPr>
        <w:ind w:left="640" w:right="22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addition in valuation allowance relates to the adjustment for a change in assessment on the realizability of our Luxembourg net operating losses from remote to less likely than not.</w:t>
      </w:r>
    </w:p>
    <w:p>
      <w:pPr>
        <w:spacing w:after="0" w:line="45" w:lineRule="exact"/>
        <w:rPr>
          <w:rFonts w:ascii="Arial" w:cs="Arial" w:eastAsia="Arial" w:hAnsi="Arial"/>
          <w:sz w:val="18"/>
          <w:szCs w:val="18"/>
          <w:color w:val="auto"/>
        </w:rPr>
      </w:pPr>
    </w:p>
    <w:p>
      <w:pPr>
        <w:ind w:left="640" w:right="260" w:hanging="639"/>
        <w:spacing w:after="0" w:line="27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valuation allowance relates to current year activity, including adjustments to prior year returns, and an internal restructuring.</w:t>
      </w:r>
    </w:p>
    <w:p>
      <w:pPr>
        <w:spacing w:after="0" w:line="45" w:lineRule="exact"/>
        <w:rPr>
          <w:rFonts w:ascii="Arial" w:cs="Arial" w:eastAsia="Arial" w:hAnsi="Arial"/>
          <w:sz w:val="18"/>
          <w:szCs w:val="18"/>
          <w:color w:val="auto"/>
        </w:rPr>
      </w:pPr>
    </w:p>
    <w:p>
      <w:pPr>
        <w:ind w:left="640" w:right="380" w:hanging="639"/>
        <w:spacing w:after="0" w:line="24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net decrease in valuation allowance included a $3.2 million decrease related to a valuation allowance release in Brazil, a $5.2 million increase in assessment on the realizability of U.S. group foreign tax credit carryforward, and a $7.7 million decrease in valuation allowance, which was predominantly driven by current year activity, including adjustments to prior year returns.</w:t>
      </w:r>
    </w:p>
    <w:p>
      <w:pPr>
        <w:spacing w:after="0" w:line="160"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See Note 2 for a detailed discussion regarding our accounting policy on accounts receivable and allowance for credit losses. See Note 8 for a detailed discussion of the valuation allowance related to our deferred tax assets.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Fair Value Measurements</w:t>
      </w:r>
    </w:p>
    <w:p>
      <w:pPr>
        <w:spacing w:after="0" w:line="21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right="820" w:firstLine="648"/>
        <w:spacing w:after="0" w:line="271" w:lineRule="auto"/>
        <w:rPr>
          <w:sz w:val="20"/>
          <w:szCs w:val="20"/>
          <w:color w:val="auto"/>
        </w:rPr>
      </w:pPr>
      <w:r>
        <w:rPr>
          <w:rFonts w:ascii="Arial" w:cs="Arial" w:eastAsia="Arial" w:hAnsi="Arial"/>
          <w:sz w:val="18"/>
          <w:szCs w:val="18"/>
          <w:color w:val="auto"/>
        </w:rPr>
        <w:t>We used Level 3 input to estimate the fair value of the Thunder Hawk field during our asset impairment assessment in 2025. See Note 5 for additional disclosures.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3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51"/>
        </w:trPr>
        <w:tc>
          <w:tcPr>
            <w:tcW w:w="8620" w:type="dxa"/>
            <w:vAlign w:val="bottom"/>
            <w:gridSpan w:val="14"/>
          </w:tcPr>
          <w:p>
            <w:pPr>
              <w:ind w:left="64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tc>
        <w:tc>
          <w:tcPr>
            <w:tcW w:w="1020" w:type="dxa"/>
            <w:vAlign w:val="bottom"/>
          </w:tcPr>
          <w:p>
            <w:pPr>
              <w:spacing w:after="0"/>
              <w:rPr>
                <w:sz w:val="24"/>
                <w:szCs w:val="24"/>
                <w:color w:val="auto"/>
              </w:rPr>
            </w:pPr>
          </w:p>
        </w:tc>
      </w:tr>
      <w:tr>
        <w:trPr>
          <w:trHeight w:val="320"/>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2025</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December 31, 2024</w:t>
            </w:r>
          </w:p>
        </w:tc>
      </w:tr>
      <w:tr>
        <w:trPr>
          <w:trHeight w:val="168"/>
        </w:trPr>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30"/>
              <w:spacing w:after="0" w:line="16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0"/>
              <w:spacing w:after="0" w:line="168" w:lineRule="exact"/>
              <w:rPr>
                <w:sz w:val="20"/>
                <w:szCs w:val="20"/>
                <w:color w:val="auto"/>
              </w:rPr>
            </w:pPr>
            <w:r>
              <w:rPr>
                <w:rFonts w:ascii="Arial" w:cs="Arial" w:eastAsia="Arial" w:hAnsi="Arial"/>
                <w:sz w:val="18"/>
                <w:szCs w:val="18"/>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5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line="231" w:lineRule="exact"/>
              <w:rPr>
                <w:sz w:val="20"/>
                <w:szCs w:val="20"/>
                <w:color w:val="auto"/>
              </w:rPr>
            </w:pPr>
            <w:r>
              <w:rPr>
                <w:rFonts w:ascii="Arial" w:cs="Arial" w:eastAsia="Arial" w:hAnsi="Arial"/>
                <w:sz w:val="18"/>
                <w:szCs w:val="18"/>
                <w:b w:val="1"/>
                <w:bCs w:val="1"/>
                <w:color w:val="auto"/>
                <w:w w:val="99"/>
              </w:rPr>
              <w:t xml:space="preserve">Value </w:t>
            </w:r>
            <w:r>
              <w:rPr>
                <w:rFonts w:ascii="Arial" w:cs="Arial" w:eastAsia="Arial" w:hAnsi="Arial"/>
                <w:sz w:val="26"/>
                <w:szCs w:val="26"/>
                <w:b w:val="1"/>
                <w:bCs w:val="1"/>
                <w:color w:val="auto"/>
                <w:w w:val="99"/>
                <w:vertAlign w:val="superscript"/>
              </w:rPr>
              <w:t>(2)</w:t>
            </w:r>
          </w:p>
        </w:tc>
      </w:tr>
      <w:tr>
        <w:trPr>
          <w:trHeight w:val="196"/>
        </w:trPr>
        <w:tc>
          <w:tcPr>
            <w:tcW w:w="36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MARAD Debt (matures February 2027)</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23,505</w:t>
            </w:r>
          </w:p>
        </w:tc>
      </w:tr>
      <w:tr>
        <w:trPr>
          <w:trHeight w:val="203"/>
        </w:trPr>
        <w:tc>
          <w:tcPr>
            <w:tcW w:w="362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317,250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319,500</w:t>
            </w:r>
          </w:p>
        </w:tc>
      </w:tr>
      <w:tr>
        <w:trPr>
          <w:trHeight w:val="196"/>
        </w:trPr>
        <w:tc>
          <w:tcPr>
            <w:tcW w:w="3620" w:type="dxa"/>
            <w:vAlign w:val="bottom"/>
            <w:tcBorders>
              <w:bottom w:val="single" w:sz="8" w:color="CCEEFF"/>
            </w:tcBorders>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debt</w:t>
            </w: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314,645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331,861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323,831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343,005</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62" w:lineRule="exact"/>
        <w:rPr>
          <w:sz w:val="20"/>
          <w:szCs w:val="20"/>
          <w:color w:val="auto"/>
        </w:rPr>
      </w:pPr>
    </w:p>
    <w:p>
      <w:pPr>
        <w:ind w:left="640" w:right="540" w:hanging="639"/>
        <w:spacing w:after="0" w:line="27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7 for additional disclosures on our long-term debt.</w:t>
      </w:r>
    </w:p>
    <w:p>
      <w:pPr>
        <w:spacing w:after="0" w:line="45" w:lineRule="exact"/>
        <w:rPr>
          <w:rFonts w:ascii="Arial" w:cs="Arial" w:eastAsia="Arial" w:hAnsi="Arial"/>
          <w:sz w:val="18"/>
          <w:szCs w:val="18"/>
          <w:color w:val="auto"/>
        </w:rPr>
      </w:pPr>
    </w:p>
    <w:p>
      <w:pPr>
        <w:ind w:left="640" w:right="180" w:hanging="639"/>
        <w:spacing w:after="0" w:line="27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12" w:lineRule="exact"/>
        <w:rPr>
          <w:sz w:val="20"/>
          <w:szCs w:val="20"/>
          <w:color w:val="auto"/>
        </w:rPr>
      </w:pPr>
    </w:p>
    <w:p>
      <w:pPr>
        <w:ind w:right="120" w:firstLine="649"/>
        <w:spacing w:after="0" w:line="238" w:lineRule="auto"/>
        <w:tabs>
          <w:tab w:leader="none" w:pos="1296"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We carried out an evaluation, under the supervision and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our management, including our principal executive officer and principal financial officer, of the effectiveness of the design and operation of our disclosure controls and procedures, as such term is defined in Rules 13a-15(e) and 15d-15(e) under the Exchange Act. Based on this evaluation, our principal executive officer and principal financial officer concluded that our disclosure controls and procedures were effective as of December 31, 2025 to provide reasonable assurance that the information required to be disclosed in our reports under the Exchange Act is</w:t>
      </w:r>
    </w:p>
    <w:p>
      <w:pPr>
        <w:spacing w:after="0" w:line="1" w:lineRule="exact"/>
        <w:rPr>
          <w:rFonts w:ascii="Arial" w:cs="Arial" w:eastAsia="Arial" w:hAnsi="Arial"/>
          <w:sz w:val="18"/>
          <w:szCs w:val="18"/>
          <w:color w:val="auto"/>
        </w:rPr>
      </w:pPr>
    </w:p>
    <w:p>
      <w:pPr>
        <w:ind w:left="220" w:hanging="219"/>
        <w:spacing w:after="0" w:line="234"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w:t>
      </w:r>
    </w:p>
    <w:p>
      <w:pPr>
        <w:ind w:right="220" w:firstLine="1"/>
        <w:spacing w:after="0" w:line="250" w:lineRule="auto"/>
        <w:tabs>
          <w:tab w:leader="none" w:pos="2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as appropriate, to allow timely decisions regarding required disclosure.</w:t>
      </w:r>
    </w:p>
    <w:p>
      <w:pPr>
        <w:spacing w:after="0" w:line="171" w:lineRule="exact"/>
        <w:rPr>
          <w:rFonts w:ascii="Arial" w:cs="Arial" w:eastAsia="Arial" w:hAnsi="Arial"/>
          <w:sz w:val="18"/>
          <w:szCs w:val="18"/>
          <w:color w:val="auto"/>
        </w:rPr>
      </w:pPr>
    </w:p>
    <w:p>
      <w:pPr>
        <w:ind w:right="140" w:firstLine="649"/>
        <w:spacing w:after="0" w:line="238" w:lineRule="auto"/>
        <w:tabs>
          <w:tab w:leader="none" w:pos="1296"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This process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right="60" w:firstLine="648"/>
        <w:spacing w:after="0" w:line="26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at December 31, 2025.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those criteria, management concluded that, as of December 31, 2025, our internal control over financial reporting was effective.</w:t>
      </w:r>
    </w:p>
    <w:p>
      <w:pPr>
        <w:spacing w:after="0" w:line="159"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color w:val="auto"/>
        </w:rPr>
        <w:t xml:space="preserve">The effectiveness of our internal control over financial reporting as of December 31, 2025 has been audited by KPMG LLP, our independent registered public accounting firm, as stated in its report which appears in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Supplemental Data </w:t>
      </w:r>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ind w:firstLine="649"/>
        <w:spacing w:after="0" w:line="253"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fourth quarter of fiscal 2025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12" w:lineRule="exact"/>
        <w:rPr>
          <w:sz w:val="20"/>
          <w:szCs w:val="20"/>
          <w:color w:val="auto"/>
        </w:rPr>
      </w:pPr>
    </w:p>
    <w:p>
      <w:pPr>
        <w:ind w:right="240" w:firstLine="649"/>
        <w:spacing w:after="0" w:line="253"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three-month period ended December 31, 2025, no director or “officer” of Helix adopted or terminated a “Rule 10b5-1 trading arrangement” or “non-Rule 10b5-1 trading arrangement,” as each term is defined in Item 408(a)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1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definitive Proxy Statement to be filed pursuant to Regulation 14A under the Exchange Act in connection with our 2026 Annual Meeting of Shareholders to be held on May 13, 2026. See also “Executive Officers of the Company” appearing in Part I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10" w:lineRule="exact"/>
        <w:rPr>
          <w:sz w:val="20"/>
          <w:szCs w:val="20"/>
          <w:color w:val="auto"/>
        </w:rPr>
      </w:pPr>
    </w:p>
    <w:p>
      <w:pPr>
        <w:ind w:right="340" w:firstLine="648"/>
        <w:spacing w:after="0" w:line="247" w:lineRule="auto"/>
        <w:rPr>
          <w:sz w:val="20"/>
          <w:szCs w:val="20"/>
          <w:color w:val="auto"/>
        </w:rPr>
      </w:pPr>
      <w:r>
        <w:rPr>
          <w:rFonts w:ascii="Arial" w:cs="Arial" w:eastAsia="Arial" w:hAnsi="Arial"/>
          <w:sz w:val="18"/>
          <w:szCs w:val="18"/>
          <w:color w:val="auto"/>
        </w:rPr>
        <w:t xml:space="preserve">We have a Code of Business Conduct and Ethics for all of our directors, officers and employees as well as a Code of Ethics for Chief Executive Officer and Senior Financial Officers specific to those officers. Copies of these documents are available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of the Investor Relations section of our website </w:t>
      </w:r>
      <w:r>
        <w:rPr>
          <w:rFonts w:ascii="Arial" w:cs="Arial" w:eastAsia="Arial" w:hAnsi="Arial"/>
          <w:sz w:val="18"/>
          <w:szCs w:val="18"/>
          <w:u w:val="single" w:color="auto"/>
          <w:color w:val="auto"/>
        </w:rPr>
        <w:t>www.helixesg.com</w:t>
      </w:r>
      <w:r>
        <w:rPr>
          <w:rFonts w:ascii="Arial" w:cs="Arial" w:eastAsia="Arial" w:hAnsi="Arial"/>
          <w:sz w:val="18"/>
          <w:szCs w:val="18"/>
          <w:color w:val="auto"/>
        </w:rPr>
        <w:t>. Interested parties may also request a free copy of these documents from: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Helix Energy Solutions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Corporate Secretary</w:t>
      </w:r>
    </w:p>
    <w:p>
      <w:pPr>
        <w:jc w:val="center"/>
        <w:ind w:right="-39"/>
        <w:spacing w:after="0" w:line="234" w:lineRule="auto"/>
        <w:rPr>
          <w:sz w:val="20"/>
          <w:szCs w:val="20"/>
          <w:color w:val="auto"/>
        </w:rPr>
      </w:pPr>
      <w:r>
        <w:rPr>
          <w:rFonts w:ascii="Arial" w:cs="Arial" w:eastAsia="Arial" w:hAnsi="Arial"/>
          <w:sz w:val="18"/>
          <w:szCs w:val="18"/>
          <w:color w:val="auto"/>
        </w:rPr>
        <w:t>3505 W. Sam Houston Parkway N., Suite 400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77043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Compliance Program</w:t>
      </w:r>
    </w:p>
    <w:p>
      <w:pPr>
        <w:spacing w:after="0" w:line="21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have adopted the Helix Energy Solutions Group, Inc. Insider Trading Compliance Program and the Insider Trading Policy (Guidelines with Respect to Certain Transactions in Company Securities), included as an exhibit to the Insider Trading Compliance Program, to govern transactions in the Company’s securities by employees, officers, directors and other related individuals of the Company and its subsidiaries. The Insider Trading Policy prohibits transactions involving a purchase or sale of Company securities while an individual is in possession of material non-public information and provides for trading windows during which the Company’s securities can be bought, sold or otherwise transferred. The Insider Trading Compliance Program and the Insider Trading Policy are reasonably designed to promote compliance with insider trading laws, rules and regulations and listing standards of the NYSE. The foregoing summary of the Insider Trading Compliance Program and the Insider Trading Policy does not purport to be complete and is qualified in its entirety by reference to the full text of the Insider Compliance Trading Program and the Insider Trading Policy attached to this Annual Report as Exhibit 19.1 and incorporated herein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1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2026 Annual Meeting of Shareholders to be held on May 13, 2026.</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00"/>
          </w:cols>
          <w:pgMar w:left="1120" w:top="513" w:right="11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2026 Annual Meeting of Shareholders to be held on May 13,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2026 Annual Meeting of Shareholders to be held on May 13,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12"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pursuant to Regulation 14A under the Exchange Act in connection with our 2026 Annual Meeting of Shareholders to be held on May 13, 2026.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214" w:lineRule="exact"/>
        <w:rPr>
          <w:sz w:val="20"/>
          <w:szCs w:val="20"/>
          <w:color w:val="auto"/>
        </w:rPr>
      </w:pPr>
    </w:p>
    <w:p>
      <w:pPr>
        <w:ind w:left="640" w:hanging="639"/>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p>
    <w:p>
      <w:pPr>
        <w:spacing w:after="0" w:line="21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The following financial statements included on pages 45 through 80 of this Annual Report are for the fiscal year ended December 31, 2025.</w:t>
      </w:r>
    </w:p>
    <w:p>
      <w:pPr>
        <w:spacing w:after="0" w:line="154" w:lineRule="exact"/>
        <w:rPr>
          <w:sz w:val="20"/>
          <w:szCs w:val="20"/>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Report of Independent Registered Public Accounting Firm</w:t>
      </w:r>
    </w:p>
    <w:p>
      <w:pPr>
        <w:spacing w:after="0" w:line="26"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Report of Independent Registered Public Accounting Firm on Internal Control Over Financial Reporting</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Balance Sheets as of December 31, 2025 and 2024</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Operations for the Years Ended December 31, 2025, 2024 and 2023</w:t>
      </w:r>
    </w:p>
    <w:p>
      <w:pPr>
        <w:spacing w:after="0" w:line="8" w:lineRule="exact"/>
        <w:rPr>
          <w:rFonts w:ascii="Times New Roman" w:cs="Times New Roman" w:eastAsia="Times New Roman" w:hAnsi="Times New Roman"/>
          <w:sz w:val="18"/>
          <w:szCs w:val="18"/>
          <w:color w:val="auto"/>
        </w:rPr>
      </w:pPr>
    </w:p>
    <w:p>
      <w:pPr>
        <w:ind w:left="680" w:right="140" w:hanging="328"/>
        <w:spacing w:after="0" w:line="234" w:lineRule="auto"/>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Comprehensive Income (Loss) for the Years Ended December 31, 2025, 2024 and 2023</w:t>
      </w: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Shareholders’ Equity for the Years Ended December 31, 2025, 2024 and 2023</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Consolidated Statements of Cash Flows for the Years Ended December 31, 2025, 2024 and 2023</w:t>
      </w:r>
    </w:p>
    <w:p>
      <w:pPr>
        <w:spacing w:after="0" w:line="8"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Notes to Consolidated Financial Statements</w:t>
      </w:r>
    </w:p>
    <w:p>
      <w:pPr>
        <w:spacing w:after="0" w:line="206"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All financial statement schedules are omitted because the information is not required or because the information required is in the financial statements or notes thereto.</w:t>
      </w:r>
    </w:p>
    <w:p>
      <w:pPr>
        <w:spacing w:after="0" w:line="156" w:lineRule="exact"/>
        <w:rPr>
          <w:sz w:val="20"/>
          <w:szCs w:val="20"/>
          <w:color w:val="auto"/>
        </w:rPr>
      </w:pPr>
    </w:p>
    <w:p>
      <w:pPr>
        <w:ind w:left="640" w:hanging="639"/>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10"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The documents set forth below are filed or furnished herewith or incorporated by reference to the location indicated. Pursuant to Item 601(b)(4)(iii), the Registrant agrees to forward to the commission, upon request, a copy of any instrument with respect to long-term debt not exceeding 10% of the total assets of the Registrant and its consolidated subsidiaries.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9"/>
              </w:rPr>
              <w:t>Filed or Furnished Herewith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Incorporated by Reference from the</w:t>
            </w: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Exhibit</w:t>
            </w:r>
          </w:p>
        </w:tc>
        <w:tc>
          <w:tcPr>
            <w:tcW w:w="1120" w:type="dxa"/>
            <w:vAlign w:val="bottom"/>
            <w:gridSpan w:val="2"/>
            <w:vMerge w:val="restart"/>
          </w:tcPr>
          <w:p>
            <w:pPr>
              <w:ind w:left="120"/>
              <w:spacing w:after="0"/>
              <w:rPr>
                <w:sz w:val="20"/>
                <w:szCs w:val="20"/>
                <w:color w:val="auto"/>
              </w:rPr>
            </w:pPr>
            <w:r>
              <w:rPr>
                <w:rFonts w:ascii="Arial" w:cs="Arial" w:eastAsia="Arial" w:hAnsi="Arial"/>
                <w:sz w:val="22"/>
                <w:szCs w:val="22"/>
                <w:color w:val="auto"/>
              </w:rPr>
              <w:t>​​</w:t>
            </w:r>
          </w:p>
        </w:tc>
        <w:tc>
          <w:tcPr>
            <w:tcW w:w="1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22"/>
                <w:szCs w:val="22"/>
                <w:color w:val="auto"/>
              </w:rPr>
              <w:t>​​</w:t>
            </w:r>
          </w:p>
        </w:tc>
        <w:tc>
          <w:tcPr>
            <w:tcW w:w="3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Following Documents (Registration or</w:t>
            </w: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120" w:type="dxa"/>
            <w:vAlign w:val="bottom"/>
            <w:gridSpan w:val="2"/>
            <w:vMerge w:val="continue"/>
          </w:tcPr>
          <w:p>
            <w:pPr>
              <w:spacing w:after="0"/>
              <w:rPr>
                <w:sz w:val="22"/>
                <w:szCs w:val="22"/>
                <w:color w:val="auto"/>
              </w:rPr>
            </w:pPr>
          </w:p>
        </w:tc>
        <w:tc>
          <w:tcPr>
            <w:tcW w:w="3620" w:type="dxa"/>
            <w:vAlign w:val="bottom"/>
            <w:gridSpan w:val="3"/>
          </w:tcPr>
          <w:p>
            <w:pPr>
              <w:ind w:left="860"/>
              <w:spacing w:after="0"/>
              <w:rPr>
                <w:sz w:val="20"/>
                <w:szCs w:val="20"/>
                <w:color w:val="auto"/>
              </w:rPr>
            </w:pPr>
            <w:r>
              <w:rPr>
                <w:rFonts w:ascii="Arial" w:cs="Arial" w:eastAsia="Arial" w:hAnsi="Arial"/>
                <w:sz w:val="18"/>
                <w:szCs w:val="18"/>
                <w:b w:val="1"/>
                <w:bCs w:val="1"/>
                <w:color w:val="auto"/>
              </w:rPr>
              <w:t>Description</w:t>
            </w:r>
          </w:p>
        </w:tc>
        <w:tc>
          <w:tcPr>
            <w:tcW w:w="260" w:type="dxa"/>
            <w:vAlign w:val="bottom"/>
            <w:gridSpan w:val="2"/>
            <w:vMerge w:val="continue"/>
          </w:tcPr>
          <w:p>
            <w:pPr>
              <w:spacing w:after="0"/>
              <w:rPr>
                <w:sz w:val="22"/>
                <w:szCs w:val="22"/>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9"/>
              </w:rPr>
              <w:t>File Number)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5"/>
                <w:szCs w:val="15"/>
                <w:color w:val="auto"/>
              </w:rPr>
            </w:pPr>
          </w:p>
        </w:tc>
        <w:tc>
          <w:tcPr>
            <w:tcW w:w="4520" w:type="dxa"/>
            <w:vAlign w:val="bottom"/>
            <w:tcBorders>
              <w:top w:val="single" w:sz="8" w:color="auto"/>
            </w:tcBorders>
            <w:gridSpan w:val="4"/>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2005 Amended and Restated Articles of Incorporation,</w:t>
              </w:r>
            </w:hyperlink>
          </w:p>
        </w:tc>
        <w:tc>
          <w:tcPr>
            <w:tcW w:w="200" w:type="dxa"/>
            <w:vAlign w:val="bottom"/>
          </w:tcPr>
          <w:p>
            <w:pPr>
              <w:spacing w:after="0"/>
              <w:rPr>
                <w:sz w:val="15"/>
                <w:szCs w:val="15"/>
                <w:color w:val="auto"/>
              </w:rPr>
            </w:pPr>
          </w:p>
        </w:tc>
        <w:tc>
          <w:tcPr>
            <w:tcW w:w="342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rPr>
              <w:t>Exhibit  3.1  to  the  Current  Report  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as amended, of registrant.</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2"/>
          </w:tcPr>
          <w:p>
            <w:pPr>
              <w:jc w:val="center"/>
              <w:spacing w:after="0" w:line="182" w:lineRule="exact"/>
              <w:rPr>
                <w:sz w:val="20"/>
                <w:szCs w:val="20"/>
                <w:color w:val="auto"/>
              </w:rPr>
            </w:pPr>
            <w:r>
              <w:rPr>
                <w:rFonts w:ascii="Arial" w:cs="Arial" w:eastAsia="Arial" w:hAnsi="Arial"/>
                <w:sz w:val="18"/>
                <w:szCs w:val="18"/>
                <w:color w:val="auto"/>
              </w:rPr>
              <w:t>Form 8-K filed on March 1, 2006 (000-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3"/>
          </w:tcPr>
          <w:p>
            <w:pPr>
              <w:jc w:val="right"/>
              <w:ind w:right="2770"/>
              <w:spacing w:after="0"/>
              <w:rPr>
                <w:sz w:val="20"/>
                <w:szCs w:val="20"/>
                <w:color w:val="auto"/>
              </w:rPr>
            </w:pPr>
            <w:r>
              <w:rPr>
                <w:rFonts w:ascii="Arial" w:cs="Arial" w:eastAsia="Arial" w:hAnsi="Arial"/>
                <w:sz w:val="18"/>
                <w:szCs w:val="18"/>
                <w:color w:val="auto"/>
              </w:rPr>
              <w:t>22739)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640"/>
          </w:cols>
          <w:pgMar w:left="1120" w:top="513" w:right="1139" w:bottom="1440" w:gutter="0" w:footer="0" w:header="0"/>
        </w:sectPr>
      </w:pPr>
    </w:p>
    <w:tbl>
      <w:tblPr>
        <w:tblLayout w:type="fixed"/>
        <w:tblInd w:w="0" w:type="dxa"/>
        <w:tblCellMar>
          <w:top w:w="0" w:type="dxa"/>
          <w:left w:w="0" w:type="dxa"/>
          <w:bottom w:w="0" w:type="dxa"/>
          <w:right w:w="0" w:type="dxa"/>
        </w:tblCellMar>
      </w:tblPr>
      <w:tr>
        <w:trPr>
          <w:trHeight w:val="185"/>
        </w:trPr>
        <w:tc>
          <w:tcPr>
            <w:tcW w:w="1500" w:type="dxa"/>
            <w:vAlign w:val="bottom"/>
          </w:tcPr>
          <w:p>
            <w:pPr>
              <w:jc w:val="right"/>
              <w:ind w:right="1150"/>
              <w:spacing w:after="0" w:line="185" w:lineRule="exact"/>
              <w:rPr>
                <w:sz w:val="20"/>
                <w:szCs w:val="20"/>
                <w:color w:val="auto"/>
              </w:rPr>
            </w:pPr>
            <w:r>
              <w:rPr>
                <w:rFonts w:ascii="Arial" w:cs="Arial" w:eastAsia="Arial" w:hAnsi="Arial"/>
                <w:sz w:val="18"/>
                <w:szCs w:val="18"/>
                <w:color w:val="auto"/>
                <w:w w:val="95"/>
              </w:rPr>
              <w:t>3.2</w:t>
            </w:r>
          </w:p>
        </w:tc>
        <w:tc>
          <w:tcPr>
            <w:tcW w:w="4520" w:type="dxa"/>
            <w:vAlign w:val="bottom"/>
            <w:gridSpan w:val="3"/>
          </w:tcPr>
          <w:p>
            <w:pPr>
              <w:spacing w:after="0" w:line="185" w:lineRule="exact"/>
              <w:rPr>
                <w:rFonts w:ascii="Arial" w:cs="Arial" w:eastAsia="Arial" w:hAnsi="Arial"/>
                <w:sz w:val="18"/>
                <w:szCs w:val="18"/>
                <w:color w:val="0000EE"/>
              </w:rPr>
            </w:pPr>
            <w:hyperlink r:id="rId101">
              <w:r>
                <w:rPr>
                  <w:rFonts w:ascii="Arial" w:cs="Arial" w:eastAsia="Arial" w:hAnsi="Arial"/>
                  <w:sz w:val="18"/>
                  <w:szCs w:val="18"/>
                  <w:color w:val="0000EE"/>
                </w:rPr>
                <w:t>Second Amended and Restated By-Laws of Helix, as</w:t>
              </w:r>
            </w:hyperlink>
          </w:p>
        </w:tc>
      </w:tr>
      <w:tr>
        <w:trPr>
          <w:trHeight w:val="183"/>
        </w:trPr>
        <w:tc>
          <w:tcPr>
            <w:tcW w:w="1500" w:type="dxa"/>
            <w:vAlign w:val="bottom"/>
          </w:tcPr>
          <w:p>
            <w:pPr>
              <w:spacing w:after="0"/>
              <w:rPr>
                <w:sz w:val="15"/>
                <w:szCs w:val="15"/>
                <w:color w:val="auto"/>
              </w:rPr>
            </w:pPr>
          </w:p>
        </w:tc>
        <w:tc>
          <w:tcPr>
            <w:tcW w:w="45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amended.</w:t>
              </w:r>
            </w:hyperlink>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Exhibit 3.1 to the Current Report on Form 8-K filed on September 28, 2006 (001-32936)</w:t>
      </w:r>
    </w:p>
    <w:p>
      <w:pPr>
        <w:spacing w:after="0" w:line="200" w:lineRule="exact"/>
        <w:rPr>
          <w:sz w:val="20"/>
          <w:szCs w:val="20"/>
          <w:color w:val="auto"/>
        </w:rPr>
      </w:pPr>
    </w:p>
    <w:p>
      <w:pPr>
        <w:sectPr>
          <w:pgSz w:w="11900" w:h="16838" w:orient="portrait"/>
          <w:cols w:equalWidth="0" w:num="2">
            <w:col w:w="6000" w:space="220"/>
            <w:col w:w="3420"/>
          </w:cols>
          <w:pgMar w:left="1120" w:top="513" w:right="113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40" w:type="dxa"/>
            <w:vAlign w:val="bottom"/>
            <w:gridSpan w:val="7"/>
            <w:vMerge w:val="restart"/>
          </w:tcPr>
          <w:p>
            <w:pPr>
              <w:ind w:left="12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40" w:type="dxa"/>
            <w:vAlign w:val="bottom"/>
            <w:gridSpan w:val="7"/>
            <w:vMerge w:val="continue"/>
          </w:tcPr>
          <w:p>
            <w:pPr>
              <w:spacing w:after="0"/>
              <w:rPr>
                <w:sz w:val="22"/>
                <w:szCs w:val="22"/>
                <w:color w:val="auto"/>
              </w:rPr>
            </w:pPr>
          </w:p>
        </w:tc>
        <w:tc>
          <w:tcPr>
            <w:tcW w:w="3260" w:type="dxa"/>
            <w:vAlign w:val="bottom"/>
            <w:gridSpan w:val="28"/>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5"/>
                <w:szCs w:val="15"/>
                <w:color w:val="auto"/>
              </w:rPr>
            </w:pPr>
          </w:p>
        </w:tc>
        <w:tc>
          <w:tcPr>
            <w:tcW w:w="4880" w:type="dxa"/>
            <w:vAlign w:val="bottom"/>
            <w:tcBorders>
              <w:top w:val="single" w:sz="8" w:color="auto"/>
            </w:tcBorders>
            <w:gridSpan w:val="34"/>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Description  of  Securities  Registered  Pursuant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Section 12 of the Exchange Act of 1934.</w:t>
              </w:r>
            </w:hyperlink>
          </w:p>
        </w:tc>
        <w:tc>
          <w:tcPr>
            <w:tcW w:w="154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780" w:type="dxa"/>
            <w:vAlign w:val="bottom"/>
            <w:tcBorders>
              <w:bottom w:val="single" w:sz="8" w:color="0000EE"/>
            </w:tcBorders>
            <w:gridSpan w:val="9"/>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Form of Common Stock certificate.</w:t>
              </w:r>
            </w:hyperlink>
          </w:p>
        </w:tc>
        <w:tc>
          <w:tcPr>
            <w:tcW w:w="210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4880" w:type="dxa"/>
            <w:vAlign w:val="bottom"/>
            <w:gridSpan w:val="34"/>
          </w:tcPr>
          <w:p>
            <w:pPr>
              <w:spacing w:after="0"/>
              <w:rPr>
                <w:rFonts w:ascii="Arial" w:cs="Arial" w:eastAsia="Arial" w:hAnsi="Arial"/>
                <w:sz w:val="18"/>
                <w:szCs w:val="18"/>
                <w:color w:val="0000EE"/>
              </w:rPr>
            </w:pPr>
            <w:hyperlink r:id="rId105">
              <w:r>
                <w:rPr>
                  <w:rFonts w:ascii="Arial" w:cs="Arial" w:eastAsia="Arial" w:hAnsi="Arial"/>
                  <w:sz w:val="18"/>
                  <w:szCs w:val="18"/>
                  <w:color w:val="0000EE"/>
                </w:rPr>
                <w:t>Credit  Agreement  among  Cal  Dive  I-Title  XI,  Inc.,</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GOVCO  Incorporated,  Citibank  N.A.  and  Citibank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International LLC dated as of August 16, 2000.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Amendment No. 1 to Credit Agreement among Cal Dive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Citibank International LLC dated as of January 25, 2002.</w:t>
              </w:r>
            </w:hyperlink>
          </w:p>
        </w:tc>
        <w:tc>
          <w:tcPr>
            <w:tcW w:w="120" w:type="dxa"/>
            <w:vAlign w:val="bottom"/>
            <w:tcBorders>
              <w:top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Amendment No. 2 to Credit Agreement among Cal Dive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Citibank International LLC dated as of November 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2002.</w:t>
              </w:r>
            </w:hyperlink>
          </w:p>
        </w:tc>
        <w:tc>
          <w:tcPr>
            <w:tcW w:w="1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08">
              <w:r>
                <w:rPr>
                  <w:rFonts w:ascii="Arial" w:cs="Arial" w:eastAsia="Arial" w:hAnsi="Arial"/>
                  <w:sz w:val="18"/>
                  <w:szCs w:val="18"/>
                  <w:color w:val="0000EE"/>
                </w:rPr>
                <w:t>Amendment No. 3 Credit Agreement among Cal Dive I-</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Title XI, Inc., GOVCO Incorporated, Citibank N.A. and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Citibank International LLC dated as of July 31, 2003.</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Amendment No. 4 to Credit Agreement among Cal Dive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I-Title XI, Inc., GOVCO Incorporated, Citibank N.A.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Citibank International LLC dated as of December 15,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09">
              <w:r>
                <w:rPr>
                  <w:rFonts w:ascii="Arial" w:cs="Arial" w:eastAsia="Arial" w:hAnsi="Arial"/>
                  <w:sz w:val="18"/>
                  <w:szCs w:val="18"/>
                  <w:color w:val="0000EE"/>
                  <w:w w:val="97"/>
                </w:rPr>
                <w:t>2004.</w:t>
              </w:r>
            </w:hyperlink>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0">
              <w:r>
                <w:rPr>
                  <w:rFonts w:ascii="Arial" w:cs="Arial" w:eastAsia="Arial" w:hAnsi="Arial"/>
                  <w:sz w:val="18"/>
                  <w:szCs w:val="18"/>
                  <w:color w:val="0000EE"/>
                </w:rPr>
                <w:t>Trust Indenture, dated as of August 16, 2000,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Cal  Dive  I-Title  XI,  Inc.  and  Wilmington  Trust,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10">
              <w:r>
                <w:rPr>
                  <w:rFonts w:ascii="Arial" w:cs="Arial" w:eastAsia="Arial" w:hAnsi="Arial"/>
                  <w:sz w:val="18"/>
                  <w:szCs w:val="18"/>
                  <w:color w:val="0000EE"/>
                </w:rPr>
                <w:t>Indenture Trustee.</w:t>
              </w:r>
            </w:hyperlink>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Supplement  No.  1  to  Trust  Indenture,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January 25, 2002, between Cal Dive I-Title XI, Inc.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gridSpan w:val="24"/>
          </w:tcPr>
          <w:p>
            <w:pPr>
              <w:spacing w:after="0" w:line="182" w:lineRule="exact"/>
              <w:rPr>
                <w:rFonts w:ascii="Arial" w:cs="Arial" w:eastAsia="Arial" w:hAnsi="Arial"/>
                <w:sz w:val="18"/>
                <w:szCs w:val="18"/>
                <w:color w:val="0000EE"/>
              </w:rPr>
            </w:pPr>
            <w:hyperlink r:id="rId111">
              <w:r>
                <w:rPr>
                  <w:rFonts w:ascii="Arial" w:cs="Arial" w:eastAsia="Arial" w:hAnsi="Arial"/>
                  <w:sz w:val="18"/>
                  <w:szCs w:val="18"/>
                  <w:color w:val="0000EE"/>
                </w:rPr>
                <w:t>Wilmington Trust, as Indenture Trustee.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Supplement  No.  2  to  Trust  Indenture,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rPr>
            </w:pPr>
            <w:hyperlink r:id="rId112">
              <w:r>
                <w:rPr>
                  <w:rFonts w:ascii="Arial" w:cs="Arial" w:eastAsia="Arial" w:hAnsi="Arial"/>
                  <w:sz w:val="18"/>
                  <w:szCs w:val="18"/>
                  <w:color w:val="0000EE"/>
                </w:rPr>
                <w:t>November 15, 2002, between Cal Dive I-Title XI, Inc.</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and Wilmington Trust, as Indenture Trustee.</w:t>
              </w:r>
            </w:hyperlink>
          </w:p>
        </w:tc>
        <w:tc>
          <w:tcPr>
            <w:tcW w:w="1220" w:type="dxa"/>
            <w:vAlign w:val="bottom"/>
            <w:gridSpan w:val="1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Supplement  No.  3  to  Trust  Indenture,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December 14, 2004, between Cal Dive I-Title XI,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and Wilmington Trust, as Indenture Trustee.</w:t>
              </w:r>
            </w:hyperlink>
          </w:p>
        </w:tc>
        <w:tc>
          <w:tcPr>
            <w:tcW w:w="1220" w:type="dxa"/>
            <w:vAlign w:val="bottom"/>
            <w:tcBorders>
              <w:top w:val="single" w:sz="8" w:color="0000EE"/>
            </w:tcBorders>
            <w:gridSpan w:val="1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Supplement   No.   4   to   Trust   Indenture,   dated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September 30, 2005, between Cal Dive I-Title XI, Inc.</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and Wilmington Trust, as Indenture Trustee.</w:t>
              </w:r>
            </w:hyperlink>
          </w:p>
        </w:tc>
        <w:tc>
          <w:tcPr>
            <w:tcW w:w="1060" w:type="dxa"/>
            <w:vAlign w:val="bottom"/>
            <w:tcBorders>
              <w:top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Form of United States Government Guaranteed Ship</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Financing Bonds, Q4000 Series 4.93% Sinking Fund</w:t>
              </w:r>
            </w:hyperlink>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17"/>
          </w:tcPr>
          <w:p>
            <w:pPr>
              <w:spacing w:after="0" w:line="182" w:lineRule="exact"/>
              <w:rPr>
                <w:rFonts w:ascii="Arial" w:cs="Arial" w:eastAsia="Arial" w:hAnsi="Arial"/>
                <w:sz w:val="18"/>
                <w:szCs w:val="18"/>
                <w:color w:val="0000EE"/>
              </w:rPr>
            </w:pPr>
            <w:hyperlink r:id="rId114">
              <w:r>
                <w:rPr>
                  <w:rFonts w:ascii="Arial" w:cs="Arial" w:eastAsia="Arial" w:hAnsi="Arial"/>
                  <w:sz w:val="18"/>
                  <w:szCs w:val="18"/>
                  <w:color w:val="0000EE"/>
                </w:rPr>
                <w:t>Bonds Due February 1, 2027.</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9"/>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Form of Third Amended and Restated Promissory Note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15">
              <w:r>
                <w:rPr>
                  <w:rFonts w:ascii="Arial" w:cs="Arial" w:eastAsia="Arial" w:hAnsi="Arial"/>
                  <w:sz w:val="18"/>
                  <w:szCs w:val="18"/>
                  <w:color w:val="0000EE"/>
                </w:rPr>
                <w:t>to United States of America.</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24"/>
                <w:szCs w:val="24"/>
                <w:color w:val="auto"/>
              </w:rPr>
            </w:pPr>
          </w:p>
        </w:tc>
        <w:tc>
          <w:tcPr>
            <w:tcW w:w="4880" w:type="dxa"/>
            <w:vAlign w:val="bottom"/>
            <w:gridSpan w:val="3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Senior Debt Indenture, dated as of November 1, 2016,</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by and between Helix Energy Solutions Group, Inc. and</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The Bank of New York Mellon Trust Company, N.A., as</w:t>
              </w:r>
            </w:hyperlink>
          </w:p>
        </w:tc>
        <w:tc>
          <w:tcPr>
            <w:tcW w:w="20" w:type="dxa"/>
            <w:vAlign w:val="bottom"/>
          </w:tcPr>
          <w:p>
            <w:pPr>
              <w:spacing w:after="0"/>
              <w:rPr>
                <w:sz w:val="15"/>
                <w:szCs w:val="15"/>
                <w:color w:val="auto"/>
              </w:rPr>
            </w:pPr>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trustee.</w:t>
              </w:r>
            </w:hyperlink>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4880" w:type="dxa"/>
            <w:vAlign w:val="bottom"/>
            <w:gridSpan w:val="34"/>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First Supplemental Indenture, dated as of November 1,</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2016, by and between Helix Energy Solutions Group,</w:t>
              </w:r>
            </w:hyperlink>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Inc. and The Bank of New York Mellon Trust Company,</w:t>
              </w:r>
            </w:hyperlink>
          </w:p>
        </w:tc>
        <w:tc>
          <w:tcPr>
            <w:tcW w:w="2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17">
              <w:r>
                <w:rPr>
                  <w:rFonts w:ascii="Arial" w:cs="Arial" w:eastAsia="Arial" w:hAnsi="Arial"/>
                  <w:sz w:val="18"/>
                  <w:szCs w:val="18"/>
                  <w:color w:val="0000EE"/>
                </w:rPr>
                <w:t>N.A., as trustee.</w:t>
              </w:r>
            </w:hyperlink>
          </w:p>
        </w:tc>
        <w:tc>
          <w:tcPr>
            <w:tcW w:w="6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6"/>
          </w:tcPr>
          <w:p>
            <w:pPr>
              <w:jc w:val="right"/>
              <w:ind w:right="8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61207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87"/>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7" w:right="80"/>
        <w:spacing w:after="0" w:line="245" w:lineRule="auto"/>
        <w:rPr>
          <w:sz w:val="20"/>
          <w:szCs w:val="20"/>
          <w:color w:val="auto"/>
        </w:rPr>
      </w:pPr>
      <w:r>
        <w:rPr>
          <w:rFonts w:ascii="Arial" w:cs="Arial" w:eastAsia="Arial" w:hAnsi="Arial"/>
          <w:sz w:val="17"/>
          <w:szCs w:val="17"/>
          <w:b w:val="1"/>
          <w:bCs w:val="1"/>
          <w:color w:val="auto"/>
        </w:rPr>
        <w:t>Incorporated by Reference from the Following Documents (Registration or</w:t>
      </w:r>
    </w:p>
    <w:p>
      <w:pPr>
        <w:ind w:left="1248" w:hanging="1248"/>
        <w:spacing w:after="0" w:line="222" w:lineRule="auto"/>
        <w:tabs>
          <w:tab w:leader="none" w:pos="1248" w:val="left"/>
        </w:tabs>
        <w:numPr>
          <w:ilvl w:val="0"/>
          <w:numId w:val="47"/>
        </w:numPr>
        <w:rPr>
          <w:rFonts w:ascii="Arial" w:cs="Arial" w:eastAsia="Arial" w:hAnsi="Arial"/>
          <w:sz w:val="22"/>
          <w:szCs w:val="22"/>
          <w:color w:val="auto"/>
        </w:rPr>
      </w:pPr>
      <w:r>
        <w:rPr>
          <w:rFonts w:ascii="Arial" w:cs="Arial" w:eastAsia="Arial" w:hAnsi="Arial"/>
          <w:sz w:val="18"/>
          <w:szCs w:val="18"/>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1270</wp:posOffset>
            </wp:positionV>
            <wp:extent cx="21685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4.1 to the 2024 Form 10-K filed on February 27, 2025 (001-32936)</w:t>
      </w:r>
    </w:p>
    <w:p>
      <w:pPr>
        <w:spacing w:after="0" w:line="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4.7 to the Form 8-A filed on June 30, 2006 (001-32936)</w:t>
      </w:r>
    </w:p>
    <w:p>
      <w:pPr>
        <w:spacing w:after="0" w:line="1" w:lineRule="exact"/>
        <w:rPr>
          <w:sz w:val="20"/>
          <w:szCs w:val="20"/>
          <w:color w:val="auto"/>
        </w:rPr>
      </w:pPr>
    </w:p>
    <w:p>
      <w:pPr>
        <w:jc w:val="both"/>
        <w:ind w:left="88"/>
        <w:spacing w:after="0" w:line="260" w:lineRule="auto"/>
        <w:rPr>
          <w:sz w:val="20"/>
          <w:szCs w:val="20"/>
          <w:color w:val="auto"/>
        </w:rPr>
      </w:pPr>
      <w:r>
        <w:rPr>
          <w:rFonts w:ascii="Arial" w:cs="Arial" w:eastAsia="Arial" w:hAnsi="Arial"/>
          <w:sz w:val="18"/>
          <w:szCs w:val="18"/>
          <w:color w:val="auto"/>
        </w:rPr>
        <w:t>Exhibit 4.4 to the 2001 Form 10-K filed on March 28, 2002 (000-22739)</w:t>
      </w:r>
    </w:p>
    <w:p>
      <w:pPr>
        <w:spacing w:after="0" w:line="177" w:lineRule="exact"/>
        <w:rPr>
          <w:sz w:val="20"/>
          <w:szCs w:val="20"/>
          <w:color w:val="auto"/>
        </w:rPr>
      </w:pPr>
    </w:p>
    <w:p>
      <w:pPr>
        <w:jc w:val="both"/>
        <w:ind w:left="88"/>
        <w:spacing w:after="0" w:line="271" w:lineRule="auto"/>
        <w:rPr>
          <w:sz w:val="20"/>
          <w:szCs w:val="20"/>
          <w:color w:val="auto"/>
        </w:rPr>
      </w:pPr>
      <w:r>
        <w:rPr>
          <w:rFonts w:ascii="Arial" w:cs="Arial" w:eastAsia="Arial" w:hAnsi="Arial"/>
          <w:sz w:val="18"/>
          <w:szCs w:val="18"/>
          <w:color w:val="auto"/>
        </w:rPr>
        <w:t>Exhibit 4.9 to the 2002 Form 10-K/A filed on April 8, 2003 (000-22739)</w:t>
      </w:r>
    </w:p>
    <w:p>
      <w:pPr>
        <w:spacing w:after="0" w:line="167" w:lineRule="exact"/>
        <w:rPr>
          <w:sz w:val="20"/>
          <w:szCs w:val="20"/>
          <w:color w:val="auto"/>
        </w:rPr>
      </w:pPr>
    </w:p>
    <w:p>
      <w:pPr>
        <w:jc w:val="both"/>
        <w:ind w:left="88"/>
        <w:spacing w:after="0" w:line="271" w:lineRule="auto"/>
        <w:rPr>
          <w:sz w:val="20"/>
          <w:szCs w:val="20"/>
          <w:color w:val="auto"/>
        </w:rPr>
      </w:pPr>
      <w:r>
        <w:rPr>
          <w:rFonts w:ascii="Arial" w:cs="Arial" w:eastAsia="Arial" w:hAnsi="Arial"/>
          <w:sz w:val="18"/>
          <w:szCs w:val="18"/>
          <w:color w:val="auto"/>
        </w:rPr>
        <w:t>Exhibit 4.4 to the Form S-3 filed on February 26, 2003 (333-103451)</w:t>
      </w:r>
    </w:p>
    <w:p>
      <w:pPr>
        <w:spacing w:after="0" w:line="370" w:lineRule="exact"/>
        <w:rPr>
          <w:sz w:val="20"/>
          <w:szCs w:val="20"/>
          <w:color w:val="auto"/>
        </w:rPr>
      </w:pPr>
    </w:p>
    <w:p>
      <w:pPr>
        <w:jc w:val="both"/>
        <w:ind w:left="88"/>
        <w:spacing w:after="0" w:line="271" w:lineRule="auto"/>
        <w:rPr>
          <w:sz w:val="20"/>
          <w:szCs w:val="20"/>
          <w:color w:val="auto"/>
        </w:rPr>
      </w:pPr>
      <w:r>
        <w:rPr>
          <w:rFonts w:ascii="Arial" w:cs="Arial" w:eastAsia="Arial" w:hAnsi="Arial"/>
          <w:sz w:val="18"/>
          <w:szCs w:val="18"/>
          <w:color w:val="auto"/>
        </w:rPr>
        <w:t>Exhibit 4.12 to the 2004 Form 10-K filed on March 16, 2005 (000-22739)</w:t>
      </w:r>
    </w:p>
    <w:p>
      <w:pPr>
        <w:spacing w:after="0" w:line="167" w:lineRule="exact"/>
        <w:rPr>
          <w:sz w:val="20"/>
          <w:szCs w:val="20"/>
          <w:color w:val="auto"/>
        </w:rPr>
      </w:pPr>
    </w:p>
    <w:p>
      <w:pPr>
        <w:jc w:val="both"/>
        <w:ind w:left="88"/>
        <w:spacing w:after="0" w:line="271" w:lineRule="auto"/>
        <w:rPr>
          <w:sz w:val="20"/>
          <w:szCs w:val="20"/>
          <w:color w:val="auto"/>
        </w:rPr>
      </w:pPr>
      <w:r>
        <w:rPr>
          <w:rFonts w:ascii="Arial" w:cs="Arial" w:eastAsia="Arial" w:hAnsi="Arial"/>
          <w:sz w:val="18"/>
          <w:szCs w:val="18"/>
          <w:color w:val="auto"/>
        </w:rPr>
        <w:t>Exhibit 4.13 to the 2004 Form 10-K filed on March 16, 2005 (000-22739)</w:t>
      </w:r>
    </w:p>
    <w:p>
      <w:pPr>
        <w:spacing w:after="0" w:line="370" w:lineRule="exact"/>
        <w:rPr>
          <w:sz w:val="20"/>
          <w:szCs w:val="20"/>
          <w:color w:val="auto"/>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October 6, 2005 (000-22739)</w:t>
      </w:r>
    </w:p>
    <w:p>
      <w:pPr>
        <w:spacing w:after="0" w:line="20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4.2 to the Current Report on Form 8-K filed on October 6, 2005 (000-22739)</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4.3 to the Current Report on Form 8-K filed on October 6, 2005 (000-22739)</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4.4 to the Current Report on Form 8-K filed on October 6, 2005 (000-22739)</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4.5 to the Current Report on Form 8-K filed on October 6, 2005 (000-22739)</w:t>
      </w:r>
    </w:p>
    <w:p>
      <w:pPr>
        <w:spacing w:after="0" w:line="203"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A to Exhibit 4.5 to the Current Report on Form 8-K filed on October 6, 2005 (000-22739)</w:t>
      </w:r>
    </w:p>
    <w:p>
      <w:pPr>
        <w:spacing w:after="0" w:line="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4.7 to the Current Report on Form 8-K filed on October 6, 2005 (000-22739)</w:t>
      </w:r>
    </w:p>
    <w:p>
      <w:pPr>
        <w:spacing w:after="0" w:line="203" w:lineRule="exact"/>
        <w:rPr>
          <w:sz w:val="20"/>
          <w:szCs w:val="20"/>
          <w:color w:val="auto"/>
        </w:rPr>
      </w:pPr>
    </w:p>
    <w:p>
      <w:pPr>
        <w:jc w:val="both"/>
        <w:ind w:left="88"/>
        <w:spacing w:after="0" w:line="247" w:lineRule="auto"/>
        <w:rPr>
          <w:sz w:val="20"/>
          <w:szCs w:val="20"/>
          <w:color w:val="auto"/>
        </w:rPr>
      </w:pPr>
      <w:r>
        <w:rPr>
          <w:rFonts w:ascii="Arial" w:cs="Arial" w:eastAsia="Arial" w:hAnsi="Arial"/>
          <w:sz w:val="18"/>
          <w:szCs w:val="18"/>
          <w:color w:val="auto"/>
        </w:rPr>
        <w:t>Exhibit 4.1 to the Current Report on Form 8-K filed on November 1, 2016 (001-32936)</w:t>
      </w:r>
    </w:p>
    <w:p>
      <w:pPr>
        <w:spacing w:after="0" w:line="189" w:lineRule="exact"/>
        <w:rPr>
          <w:sz w:val="20"/>
          <w:szCs w:val="20"/>
          <w:color w:val="auto"/>
        </w:rPr>
      </w:pPr>
    </w:p>
    <w:p>
      <w:pPr>
        <w:jc w:val="both"/>
        <w:ind w:left="88"/>
        <w:spacing w:after="0" w:line="253" w:lineRule="auto"/>
        <w:rPr>
          <w:sz w:val="20"/>
          <w:szCs w:val="20"/>
          <w:color w:val="auto"/>
        </w:rPr>
      </w:pPr>
      <w:r>
        <w:rPr>
          <w:rFonts w:ascii="Arial" w:cs="Arial" w:eastAsia="Arial" w:hAnsi="Arial"/>
          <w:sz w:val="18"/>
          <w:szCs w:val="18"/>
          <w:color w:val="auto"/>
        </w:rPr>
        <w:t>Exhibit 4.2 to the Current Report on Form 8-K filed on November 1, 2016 (001-32936)</w:t>
      </w:r>
    </w:p>
    <w:p>
      <w:pPr>
        <w:sectPr>
          <w:pgSz w:w="11900" w:h="16838" w:orient="portrait"/>
          <w:cols w:equalWidth="0" w:num="2">
            <w:col w:w="6020" w:space="112"/>
            <w:col w:w="3508"/>
          </w:cols>
          <w:pgMar w:left="1120" w:top="500" w:right="11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540" w:type="dxa"/>
            <w:vAlign w:val="bottom"/>
            <w:gridSpan w:val="5"/>
            <w:vMerge w:val="restart"/>
          </w:tcPr>
          <w:p>
            <w:pPr>
              <w:ind w:left="120"/>
              <w:spacing w:after="0"/>
              <w:rPr>
                <w:sz w:val="20"/>
                <w:szCs w:val="20"/>
                <w:color w:val="auto"/>
              </w:rPr>
            </w:pPr>
            <w:r>
              <w:rPr>
                <w:rFonts w:ascii="Arial" w:cs="Arial" w:eastAsia="Arial" w:hAnsi="Arial"/>
                <w:sz w:val="22"/>
                <w:szCs w:val="22"/>
                <w:color w:val="auto"/>
              </w:rPr>
              <w:t>​​</w:t>
            </w:r>
          </w:p>
        </w:tc>
        <w:tc>
          <w:tcPr>
            <w:tcW w:w="2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540" w:type="dxa"/>
            <w:vAlign w:val="bottom"/>
            <w:gridSpan w:val="5"/>
            <w:vMerge w:val="continue"/>
          </w:tcPr>
          <w:p>
            <w:pPr>
              <w:spacing w:after="0"/>
              <w:rPr>
                <w:sz w:val="22"/>
                <w:szCs w:val="22"/>
                <w:color w:val="auto"/>
              </w:rPr>
            </w:pPr>
          </w:p>
        </w:tc>
        <w:tc>
          <w:tcPr>
            <w:tcW w:w="3540" w:type="dxa"/>
            <w:vAlign w:val="bottom"/>
            <w:gridSpan w:val="20"/>
          </w:tcPr>
          <w:p>
            <w:pPr>
              <w:ind w:left="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4.17</w:t>
            </w:r>
          </w:p>
        </w:tc>
        <w:tc>
          <w:tcPr>
            <w:tcW w:w="220" w:type="dxa"/>
            <w:vAlign w:val="bottom"/>
          </w:tcPr>
          <w:p>
            <w:pPr>
              <w:spacing w:after="0"/>
              <w:rPr>
                <w:sz w:val="15"/>
                <w:szCs w:val="15"/>
                <w:color w:val="auto"/>
              </w:rPr>
            </w:pPr>
          </w:p>
        </w:tc>
        <w:tc>
          <w:tcPr>
            <w:tcW w:w="4860" w:type="dxa"/>
            <w:vAlign w:val="bottom"/>
            <w:tcBorders>
              <w:top w:val="single" w:sz="8" w:color="auto"/>
            </w:tcBorders>
            <w:gridSpan w:val="24"/>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Second Supplemental Indenture, dated as of March 20,</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2018, by and between Helix Energy Solutions Group,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Inc. and The Bank of New York Mellon Trust Company,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r:id="rId120">
              <w:r>
                <w:rPr>
                  <w:rFonts w:ascii="Arial" w:cs="Arial" w:eastAsia="Arial" w:hAnsi="Arial"/>
                  <w:sz w:val="18"/>
                  <w:szCs w:val="18"/>
                  <w:color w:val="0000EE"/>
                </w:rPr>
                <w:t>N.A., as trustee.</w:t>
              </w:r>
            </w:hyperlink>
          </w:p>
        </w:tc>
        <w:tc>
          <w:tcPr>
            <w:tcW w:w="26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1">
              <w:r>
                <w:rPr>
                  <w:rFonts w:ascii="Arial" w:cs="Arial" w:eastAsia="Arial" w:hAnsi="Arial"/>
                  <w:sz w:val="18"/>
                  <w:szCs w:val="18"/>
                  <w:color w:val="0000EE"/>
                </w:rPr>
                <w:t>Indenture, dated as of August 14, 2020, by and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21">
              <w:r>
                <w:rPr>
                  <w:rFonts w:ascii="Arial" w:cs="Arial" w:eastAsia="Arial" w:hAnsi="Arial"/>
                  <w:sz w:val="18"/>
                  <w:szCs w:val="18"/>
                  <w:color w:val="0000EE"/>
                </w:rPr>
                <w:t>Helix Energy Solutions Group, Inc. and The Bank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New York Mellon Trust Company, N.A., as trustee.</w:t>
              </w:r>
            </w:hyperlink>
          </w:p>
        </w:tc>
        <w:tc>
          <w:tcPr>
            <w:tcW w:w="58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2">
              <w:r>
                <w:rPr>
                  <w:rFonts w:ascii="Arial" w:cs="Arial" w:eastAsia="Arial" w:hAnsi="Arial"/>
                  <w:sz w:val="18"/>
                  <w:szCs w:val="18"/>
                  <w:color w:val="0000EE"/>
                </w:rPr>
                <w:t>First Supplemental Indenture, dated as of August 14,</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2020, by and between Helix Energy Solutions Group,</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Inc. and The Bank of New York Mellon Trust Company,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N.A., as trustee.</w:t>
              </w:r>
            </w:hyperlink>
          </w:p>
        </w:tc>
        <w:tc>
          <w:tcPr>
            <w:tcW w:w="20" w:type="dxa"/>
            <w:vAlign w:val="bottom"/>
            <w:tcBorders>
              <w:top w:val="single" w:sz="8" w:color="0000EE"/>
            </w:tcBorders>
          </w:tcPr>
          <w:p>
            <w:pPr>
              <w:spacing w:after="0"/>
              <w:rPr>
                <w:sz w:val="15"/>
                <w:szCs w:val="15"/>
                <w:color w:val="auto"/>
              </w:rPr>
            </w:pPr>
          </w:p>
        </w:tc>
        <w:tc>
          <w:tcPr>
            <w:tcW w:w="26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3">
              <w:r>
                <w:rPr>
                  <w:rFonts w:ascii="Arial" w:cs="Arial" w:eastAsia="Arial" w:hAnsi="Arial"/>
                  <w:sz w:val="18"/>
                  <w:szCs w:val="18"/>
                  <w:color w:val="0000EE"/>
                </w:rPr>
                <w:t>Loan, Guaranty and Security Agreement, dated as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September 30, 2021, among Helix Energy Solutions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Group,  Inc.,  Helix  Well  Ops  Inc.,  Helix  Robotics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gridSpan w:val="13"/>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Inc., Helix Well Ops (U.K.) Limited and Helix Robotics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Solutions Limited as Borrowers, the Lenders from time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to time party thereto, and Bank of America, N.A.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Agent.</w:t>
              </w:r>
            </w:hyperlink>
          </w:p>
        </w:tc>
        <w:tc>
          <w:tcPr>
            <w:tcW w:w="2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4">
              <w:r>
                <w:rPr>
                  <w:rFonts w:ascii="Arial" w:cs="Arial" w:eastAsia="Arial" w:hAnsi="Arial"/>
                  <w:sz w:val="18"/>
                  <w:szCs w:val="18"/>
                  <w:color w:val="0000EE"/>
                </w:rPr>
                <w:t>Amendment No. 1, dated as of July 1, 2022, to Loan,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Security and Guaranty Agreement, among Helix Energy</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Solutions  Group,  Inc.,  Helix  Well  Ops  Inc.,  Helix</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Robotics  Solutions,  Inc.,  Deepwater  Abandonment</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gridSpan w:val="20"/>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Alternatives, Inc., Helix Well Ops (U.K.) Limited and</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Helix  Robotics  Solutions  Limited  as  borrowers,  the</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guarantors party thereto, the lenders party thereto, and</w:t>
              </w:r>
            </w:hyperlink>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5"/>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gridSpan w:val="19"/>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Bank of America, N.A., as agent and security trustee for</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124">
              <w:r>
                <w:rPr>
                  <w:rFonts w:ascii="Arial" w:cs="Arial" w:eastAsia="Arial" w:hAnsi="Arial"/>
                  <w:sz w:val="18"/>
                  <w:szCs w:val="18"/>
                  <w:color w:val="0000EE"/>
                </w:rPr>
                <w:t>the lenders.</w:t>
              </w:r>
            </w:hyperlink>
          </w:p>
        </w:tc>
        <w:tc>
          <w:tcPr>
            <w:tcW w:w="26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Letter Agreement, dated as of January 25, 2023,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Loan, Security and Guaranty Agreement, among Helix</w:t>
              </w:r>
            </w:hyperlink>
          </w:p>
        </w:tc>
        <w:tc>
          <w:tcPr>
            <w:tcW w:w="1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Energy Solutions Group, Inc., Helix Well Ops Inc., Helix</w:t>
              </w:r>
            </w:hyperlink>
          </w:p>
        </w:tc>
        <w:tc>
          <w:tcPr>
            <w:tcW w:w="20" w:type="dxa"/>
            <w:vAlign w:val="bottom"/>
            <w:tcBorders>
              <w:bottom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gridSpan w:val="8"/>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Robotics  Solutions,  Inc.,  Deepwater  Abandonment</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Alternatives, Inc., Helix Well Ops (U.K.) Limited and</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Helix  Robotics  Solutions  Limited  as  borrowers,  the</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guarantors party thereto, the lenders party thereto, and</w:t>
              </w:r>
            </w:hyperlink>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Bank of America, N.A., as agent and security trustee for</w:t>
              </w:r>
            </w:hyperlink>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125">
              <w:r>
                <w:rPr>
                  <w:rFonts w:ascii="Arial" w:cs="Arial" w:eastAsia="Arial" w:hAnsi="Arial"/>
                  <w:sz w:val="18"/>
                  <w:szCs w:val="18"/>
                  <w:color w:val="0000EE"/>
                </w:rPr>
                <w:t>the lenders.</w:t>
              </w:r>
            </w:hyperlink>
          </w:p>
        </w:tc>
        <w:tc>
          <w:tcPr>
            <w:tcW w:w="26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4860" w:type="dxa"/>
            <w:vAlign w:val="bottom"/>
            <w:gridSpan w:val="24"/>
          </w:tcPr>
          <w:p>
            <w:pPr>
              <w:spacing w:after="0"/>
              <w:rPr>
                <w:rFonts w:ascii="Arial" w:cs="Arial" w:eastAsia="Arial" w:hAnsi="Arial"/>
                <w:sz w:val="18"/>
                <w:szCs w:val="18"/>
                <w:color w:val="0000EE"/>
              </w:rPr>
            </w:pPr>
            <w:hyperlink r:id="rId126">
              <w:r>
                <w:rPr>
                  <w:rFonts w:ascii="Arial" w:cs="Arial" w:eastAsia="Arial" w:hAnsi="Arial"/>
                  <w:sz w:val="18"/>
                  <w:szCs w:val="18"/>
                  <w:color w:val="0000EE"/>
                </w:rPr>
                <w:t>Amendment No. 2, dated as of June 23, 2023, to Loan,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Security  and  Guaranty  Agreement  dated  as  of</w:t>
              </w:r>
            </w:hyperlink>
          </w:p>
        </w:tc>
        <w:tc>
          <w:tcPr>
            <w:tcW w:w="1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September 30, 2021, among Helix Energy Solutions</w:t>
              </w:r>
            </w:hyperlink>
          </w:p>
        </w:tc>
        <w:tc>
          <w:tcPr>
            <w:tcW w:w="100" w:type="dxa"/>
            <w:vAlign w:val="bottom"/>
            <w:gridSpan w:val="5"/>
          </w:tcPr>
          <w:p>
            <w:pPr>
              <w:spacing w:after="0"/>
              <w:rPr>
                <w:sz w:val="15"/>
                <w:szCs w:val="15"/>
                <w:color w:val="auto"/>
              </w:rPr>
            </w:pPr>
          </w:p>
        </w:tc>
        <w:tc>
          <w:tcPr>
            <w:tcW w:w="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Group,  Inc.,  Helix  Well  Ops  Inc.,  Helix  Robotics</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Solutions, Inc.,</w:t>
              </w:r>
            </w:hyperlink>
          </w:p>
        </w:tc>
        <w:tc>
          <w:tcPr>
            <w:tcW w:w="33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Deepwater Abandonment Alternatives,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bl>
    <w:p>
      <w:pPr>
        <w:jc w:val="both"/>
        <w:ind w:left="1500" w:right="20"/>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Inc., Alliance Offshore, L.L.C., Triton Diving Services,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LLC, Alliance Energy Services, LLC, Helix Well Ops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(U.K.) Limited and Helix Robotics Solutions Limited as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borrowers, the guarantors party thereto, the lenders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party thereto, and Bank of America, N.A., as agent and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security trustee for the lenders, as previously amended.</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29" w:lineRule="exact"/>
        <w:rPr>
          <w:rFonts w:ascii="Arial" w:cs="Arial" w:eastAsia="Arial" w:hAnsi="Arial"/>
          <w:sz w:val="18"/>
          <w:szCs w:val="18"/>
          <w:u w:val="single" w:color="auto"/>
          <w:color w:val="0000EE"/>
        </w:rPr>
      </w:pPr>
    </w:p>
    <w:p>
      <w:pPr>
        <w:ind w:left="4720"/>
        <w:spacing w:after="0"/>
        <w:rPr>
          <w:sz w:val="20"/>
          <w:szCs w:val="20"/>
          <w:color w:val="auto"/>
        </w:rPr>
      </w:pPr>
      <w:r>
        <w:rPr>
          <w:rFonts w:ascii="Arial" w:cs="Arial" w:eastAsia="Arial" w:hAnsi="Arial"/>
          <w:sz w:val="18"/>
          <w:szCs w:val="18"/>
          <w:color w:val="auto"/>
        </w:rPr>
        <w:t>84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333" w:lineRule="exact"/>
        <w:rPr>
          <w:rFonts w:ascii="Arial" w:cs="Arial" w:eastAsia="Arial" w:hAnsi="Arial"/>
          <w:sz w:val="18"/>
          <w:szCs w:val="18"/>
          <w:u w:val="single" w:color="auto"/>
          <w:color w:val="0000EE"/>
        </w:rPr>
      </w:pPr>
    </w:p>
    <w:p>
      <w:pPr>
        <w:jc w:val="center"/>
        <w:ind w:right="-107"/>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rFonts w:ascii="Arial" w:cs="Arial" w:eastAsia="Arial" w:hAnsi="Arial"/>
          <w:sz w:val="18"/>
          <w:szCs w:val="18"/>
          <w:u w:val="single" w:color="auto"/>
          <w:color w:val="0000EE"/>
        </w:rPr>
      </w:pPr>
    </w:p>
    <w:p>
      <w:pPr>
        <w:jc w:val="center"/>
        <w:ind w:left="-87" w:right="80"/>
        <w:spacing w:after="0" w:line="245" w:lineRule="auto"/>
        <w:rPr>
          <w:sz w:val="20"/>
          <w:szCs w:val="20"/>
          <w:color w:val="auto"/>
        </w:rPr>
      </w:pPr>
      <w:r>
        <w:rPr>
          <w:rFonts w:ascii="Arial" w:cs="Arial" w:eastAsia="Arial" w:hAnsi="Arial"/>
          <w:sz w:val="17"/>
          <w:szCs w:val="17"/>
          <w:b w:val="1"/>
          <w:bCs w:val="1"/>
          <w:color w:val="auto"/>
        </w:rPr>
        <w:t>Incorporated by Reference from the Following Documents (Registration or</w:t>
      </w:r>
    </w:p>
    <w:p>
      <w:pPr>
        <w:ind w:left="1248" w:hanging="1248"/>
        <w:spacing w:after="0" w:line="222" w:lineRule="auto"/>
        <w:tabs>
          <w:tab w:leader="none" w:pos="1248" w:val="left"/>
        </w:tabs>
        <w:numPr>
          <w:ilvl w:val="0"/>
          <w:numId w:val="48"/>
        </w:numPr>
        <w:rPr>
          <w:rFonts w:ascii="Arial" w:cs="Arial" w:eastAsia="Arial" w:hAnsi="Arial"/>
          <w:sz w:val="22"/>
          <w:szCs w:val="22"/>
          <w:color w:val="auto"/>
        </w:rPr>
      </w:pPr>
      <w:r>
        <w:rPr>
          <w:rFonts w:ascii="Arial" w:cs="Arial" w:eastAsia="Arial" w:hAnsi="Arial"/>
          <w:sz w:val="18"/>
          <w:szCs w:val="18"/>
          <w:b w:val="1"/>
          <w:bCs w:val="1"/>
          <w:color w:val="auto"/>
        </w:rPr>
        <w:t>File Number)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60960</wp:posOffset>
            </wp:positionH>
            <wp:positionV relativeFrom="paragraph">
              <wp:posOffset>1270</wp:posOffset>
            </wp:positionV>
            <wp:extent cx="21685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 w:lineRule="exact"/>
        <w:rPr>
          <w:rFonts w:ascii="Arial" w:cs="Arial" w:eastAsia="Arial" w:hAnsi="Arial"/>
          <w:sz w:val="18"/>
          <w:szCs w:val="18"/>
          <w:u w:val="single" w:color="auto"/>
          <w:color w:val="0000EE"/>
        </w:rPr>
      </w:pPr>
    </w:p>
    <w:p>
      <w:pPr>
        <w:jc w:val="both"/>
        <w:ind w:left="88"/>
        <w:spacing w:after="0" w:line="243" w:lineRule="auto"/>
        <w:rPr>
          <w:sz w:val="20"/>
          <w:szCs w:val="20"/>
          <w:color w:val="auto"/>
        </w:rPr>
      </w:pPr>
      <w:r>
        <w:rPr>
          <w:rFonts w:ascii="Arial" w:cs="Arial" w:eastAsia="Arial" w:hAnsi="Arial"/>
          <w:sz w:val="18"/>
          <w:szCs w:val="18"/>
          <w:color w:val="auto"/>
        </w:rPr>
        <w:t>Exhibit 4.2 to the Current Report on Form 8-K filed on March 21, 2018 (001-32936)</w:t>
      </w:r>
    </w:p>
    <w:p>
      <w:pPr>
        <w:spacing w:after="0" w:line="400" w:lineRule="exact"/>
        <w:rPr>
          <w:rFonts w:ascii="Arial" w:cs="Arial" w:eastAsia="Arial" w:hAnsi="Arial"/>
          <w:sz w:val="18"/>
          <w:szCs w:val="18"/>
          <w:u w:val="single" w:color="auto"/>
          <w:color w:val="0000EE"/>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August 14, 2020 (001-32936)</w:t>
      </w:r>
    </w:p>
    <w:p>
      <w:pPr>
        <w:spacing w:after="0" w:line="201" w:lineRule="exact"/>
        <w:rPr>
          <w:rFonts w:ascii="Arial" w:cs="Arial" w:eastAsia="Arial" w:hAnsi="Arial"/>
          <w:sz w:val="18"/>
          <w:szCs w:val="18"/>
          <w:u w:val="single" w:color="auto"/>
          <w:color w:val="0000EE"/>
        </w:rPr>
      </w:pPr>
    </w:p>
    <w:p>
      <w:pPr>
        <w:jc w:val="both"/>
        <w:ind w:left="88"/>
        <w:spacing w:after="0" w:line="250" w:lineRule="auto"/>
        <w:rPr>
          <w:sz w:val="20"/>
          <w:szCs w:val="20"/>
          <w:color w:val="auto"/>
        </w:rPr>
      </w:pPr>
      <w:r>
        <w:rPr>
          <w:rFonts w:ascii="Arial" w:cs="Arial" w:eastAsia="Arial" w:hAnsi="Arial"/>
          <w:sz w:val="18"/>
          <w:szCs w:val="18"/>
          <w:color w:val="auto"/>
        </w:rPr>
        <w:t>Exhibit 4.2 to the Current Report on Form 8-K filed on August 14, 2020 (001-32936)</w:t>
      </w:r>
    </w:p>
    <w:p>
      <w:pPr>
        <w:spacing w:after="0" w:line="396" w:lineRule="exact"/>
        <w:rPr>
          <w:rFonts w:ascii="Arial" w:cs="Arial" w:eastAsia="Arial" w:hAnsi="Arial"/>
          <w:sz w:val="18"/>
          <w:szCs w:val="18"/>
          <w:u w:val="single" w:color="auto"/>
          <w:color w:val="0000EE"/>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October 1, 2021 (001-32936)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4" w:lineRule="exact"/>
        <w:rPr>
          <w:rFonts w:ascii="Arial" w:cs="Arial" w:eastAsia="Arial" w:hAnsi="Arial"/>
          <w:sz w:val="18"/>
          <w:szCs w:val="18"/>
          <w:u w:val="single" w:color="auto"/>
          <w:color w:val="0000EE"/>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July 1, 2022 (001-32936)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both"/>
        <w:ind w:left="88"/>
        <w:spacing w:after="0" w:line="253" w:lineRule="auto"/>
        <w:rPr>
          <w:sz w:val="20"/>
          <w:szCs w:val="20"/>
          <w:color w:val="auto"/>
        </w:rPr>
      </w:pPr>
      <w:r>
        <w:rPr>
          <w:rFonts w:ascii="Arial" w:cs="Arial" w:eastAsia="Arial" w:hAnsi="Arial"/>
          <w:sz w:val="18"/>
          <w:szCs w:val="18"/>
          <w:color w:val="auto"/>
        </w:rPr>
        <w:t>Exhibit 4.32 to the Annual Report on Form 10-K filed on February 24, 2023 (001-32936)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5" w:lineRule="exact"/>
        <w:rPr>
          <w:rFonts w:ascii="Arial" w:cs="Arial" w:eastAsia="Arial" w:hAnsi="Arial"/>
          <w:sz w:val="18"/>
          <w:szCs w:val="18"/>
          <w:u w:val="single" w:color="auto"/>
          <w:color w:val="0000EE"/>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June 23, 2023 (001-32936)</w:t>
      </w:r>
    </w:p>
    <w:p>
      <w:pPr>
        <w:sectPr>
          <w:pgSz w:w="11900" w:h="16838" w:orient="portrait"/>
          <w:cols w:equalWidth="0" w:num="2">
            <w:col w:w="6020" w:space="112"/>
            <w:col w:w="3508"/>
          </w:cols>
          <w:pgMar w:left="1120" w:top="500" w:right="11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900" w:type="dxa"/>
            <w:vAlign w:val="bottom"/>
            <w:gridSpan w:val="3"/>
            <w:vMerge w:val="restart"/>
          </w:tcPr>
          <w:p>
            <w:pPr>
              <w:ind w:left="120"/>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900" w:type="dxa"/>
            <w:vAlign w:val="bottom"/>
            <w:gridSpan w:val="3"/>
            <w:vMerge w:val="continue"/>
          </w:tcPr>
          <w:p>
            <w:pPr>
              <w:spacing w:after="0"/>
              <w:rPr>
                <w:sz w:val="22"/>
                <w:szCs w:val="22"/>
                <w:color w:val="auto"/>
              </w:rPr>
            </w:pPr>
          </w:p>
        </w:tc>
        <w:tc>
          <w:tcPr>
            <w:tcW w:w="3180" w:type="dxa"/>
            <w:vAlign w:val="bottom"/>
            <w:gridSpan w:val="27"/>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4.24</w:t>
            </w:r>
          </w:p>
        </w:tc>
        <w:tc>
          <w:tcPr>
            <w:tcW w:w="220" w:type="dxa"/>
            <w:vAlign w:val="bottom"/>
          </w:tcPr>
          <w:p>
            <w:pPr>
              <w:spacing w:after="0"/>
              <w:rPr>
                <w:sz w:val="15"/>
                <w:szCs w:val="15"/>
                <w:color w:val="auto"/>
              </w:rPr>
            </w:pPr>
          </w:p>
        </w:tc>
        <w:tc>
          <w:tcPr>
            <w:tcW w:w="4860" w:type="dxa"/>
            <w:vAlign w:val="bottom"/>
            <w:tcBorders>
              <w:top w:val="single" w:sz="8" w:color="auto"/>
            </w:tcBorders>
            <w:gridSpan w:val="29"/>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Amendment No. 3, dated as of November 15, 2023, to</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Loan, Security and Guaranty Agreement dated as of</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bottom w:val="single" w:sz="8" w:color="0000EE"/>
            </w:tcBorders>
            <w:gridSpan w:val="15"/>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September 30, 2021, among Helix Energy Solutions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gridSpan w:val="25"/>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Group,  Inc.,  Helix  Well  Ops  Inc.,  Helix  Robotics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Inc., Alliance Offshore, L.L.C., Triton Diving Services,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bottom w:val="single" w:sz="8" w:color="0000EE"/>
            </w:tcBorders>
            <w:gridSpan w:val="19"/>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LLC, Alliance Energy Services, LLC, Helix Well Ops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gridSpan w:val="23"/>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(U.K.) Limited and Helix Robotics Solutions Limited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borrowers, the guarantors party thereto, the lenders</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bottom w:val="single" w:sz="8" w:color="0000EE"/>
            </w:tcBorders>
            <w:gridSpan w:val="21"/>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party thereto, and Bank of America, N.A., as agent and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gridSpan w:val="26"/>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security trustee for the lenders, as previously amended.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4860" w:type="dxa"/>
            <w:vAlign w:val="bottom"/>
            <w:gridSpan w:val="29"/>
          </w:tcPr>
          <w:p>
            <w:pPr>
              <w:spacing w:after="0"/>
              <w:rPr>
                <w:rFonts w:ascii="Arial" w:cs="Arial" w:eastAsia="Arial" w:hAnsi="Arial"/>
                <w:sz w:val="18"/>
                <w:szCs w:val="18"/>
                <w:color w:val="0000EE"/>
              </w:rPr>
            </w:pPr>
            <w:hyperlink r:id="rId130">
              <w:r>
                <w:rPr>
                  <w:rFonts w:ascii="Arial" w:cs="Arial" w:eastAsia="Arial" w:hAnsi="Arial"/>
                  <w:sz w:val="18"/>
                  <w:szCs w:val="18"/>
                  <w:color w:val="0000EE"/>
                </w:rPr>
                <w:t>Amendment No. 4, dated as of August 2, 2024 to Loan,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Security  and  Guaranty  Agreement  dated  as  of</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14"/>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September 30, 2021, among Helix Energy Solutions</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Group,  Inc.,  Helix  Well  Ops  Inc.,  Helix  Robotics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Solutions, Inc., Deepwater Abandonment Alternatives,</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Inc., Alliance Offshore, L.L.C., Triton Diving Services,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gridSpan w:val="19"/>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LLC, Alliance Energy Services, LLC, Helix Well Ops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(U.K.) Limited and Helix Robotics Solutions Limited as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borrowers, the guarantors party thereto, the lenders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party thereto, and Bank of America, N.A., as agent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security trustee for the lenders, as previously amended.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8"/>
                <w:szCs w:val="18"/>
                <w:color w:val="auto"/>
              </w:rPr>
            </w:pPr>
          </w:p>
        </w:tc>
        <w:tc>
          <w:tcPr>
            <w:tcW w:w="4860" w:type="dxa"/>
            <w:vAlign w:val="bottom"/>
            <w:gridSpan w:val="29"/>
          </w:tcPr>
          <w:p>
            <w:pPr>
              <w:spacing w:after="0"/>
              <w:rPr>
                <w:rFonts w:ascii="Arial" w:cs="Arial" w:eastAsia="Arial" w:hAnsi="Arial"/>
                <w:sz w:val="18"/>
                <w:szCs w:val="18"/>
                <w:color w:val="0000EE"/>
              </w:rPr>
            </w:pPr>
            <w:hyperlink r:id="rId131">
              <w:r>
                <w:rPr>
                  <w:rFonts w:ascii="Arial" w:cs="Arial" w:eastAsia="Arial" w:hAnsi="Arial"/>
                  <w:sz w:val="18"/>
                  <w:szCs w:val="18"/>
                  <w:color w:val="0000EE"/>
                </w:rPr>
                <w:t>Indenture,  dated  as  of  December  1,  2023,  by  and</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among  Helix  Energy  Solutions  Group,  Inc.,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guarantors listed therein and The Bank of New York</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 *</w:t>
            </w:r>
          </w:p>
        </w:tc>
        <w:tc>
          <w:tcPr>
            <w:tcW w:w="220" w:type="dxa"/>
            <w:vAlign w:val="bottom"/>
          </w:tcPr>
          <w:p>
            <w:pPr>
              <w:spacing w:after="0"/>
              <w:rPr>
                <w:sz w:val="18"/>
                <w:szCs w:val="18"/>
                <w:color w:val="auto"/>
              </w:rPr>
            </w:pPr>
          </w:p>
        </w:tc>
        <w:tc>
          <w:tcPr>
            <w:tcW w:w="4860" w:type="dxa"/>
            <w:vAlign w:val="bottom"/>
            <w:gridSpan w:val="29"/>
          </w:tcPr>
          <w:p>
            <w:pPr>
              <w:spacing w:after="0"/>
              <w:rPr>
                <w:rFonts w:ascii="Arial" w:cs="Arial" w:eastAsia="Arial" w:hAnsi="Arial"/>
                <w:sz w:val="18"/>
                <w:szCs w:val="18"/>
                <w:color w:val="0000EE"/>
              </w:rPr>
            </w:pPr>
            <w:hyperlink r:id="rId132">
              <w:r>
                <w:rPr>
                  <w:rFonts w:ascii="Arial" w:cs="Arial" w:eastAsia="Arial" w:hAnsi="Arial"/>
                  <w:sz w:val="18"/>
                  <w:szCs w:val="18"/>
                  <w:color w:val="0000EE"/>
                </w:rPr>
                <w:t>2009 Long-Term Incentive Cash Plan of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32">
              <w:r>
                <w:rPr>
                  <w:rFonts w:ascii="Arial" w:cs="Arial" w:eastAsia="Arial" w:hAnsi="Arial"/>
                  <w:sz w:val="18"/>
                  <w:szCs w:val="18"/>
                  <w:color w:val="0000EE"/>
                  <w:w w:val="98"/>
                </w:rPr>
                <w:t>Solutions Group, Inc.</w:t>
              </w:r>
            </w:hyperlink>
          </w:p>
        </w:tc>
        <w:tc>
          <w:tcPr>
            <w:tcW w:w="20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4"/>
                <w:szCs w:val="24"/>
                <w:color w:val="auto"/>
              </w:rPr>
            </w:pPr>
          </w:p>
        </w:tc>
        <w:tc>
          <w:tcPr>
            <w:tcW w:w="4860" w:type="dxa"/>
            <w:vAlign w:val="bottom"/>
            <w:gridSpan w:val="29"/>
          </w:tcPr>
          <w:p>
            <w:pPr>
              <w:spacing w:after="0"/>
              <w:rPr>
                <w:rFonts w:ascii="Arial" w:cs="Arial" w:eastAsia="Arial" w:hAnsi="Arial"/>
                <w:sz w:val="18"/>
                <w:szCs w:val="18"/>
                <w:color w:val="0000EE"/>
              </w:rPr>
            </w:pPr>
            <w:hyperlink r:id="rId133">
              <w:r>
                <w:rPr>
                  <w:rFonts w:ascii="Arial" w:cs="Arial" w:eastAsia="Arial" w:hAnsi="Arial"/>
                  <w:sz w:val="18"/>
                  <w:szCs w:val="18"/>
                  <w:color w:val="0000EE"/>
                </w:rPr>
                <w:t>Form of Award Letter related to the 2009 Long-Term</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33">
              <w:r>
                <w:rPr>
                  <w:rFonts w:ascii="Arial" w:cs="Arial" w:eastAsia="Arial" w:hAnsi="Arial"/>
                  <w:sz w:val="18"/>
                  <w:szCs w:val="18"/>
                  <w:color w:val="0000EE"/>
                  <w:w w:val="99"/>
                </w:rPr>
                <w:t>Incentive Cash Plan.</w:t>
              </w:r>
            </w:hyperlink>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 *</w:t>
            </w:r>
          </w:p>
        </w:tc>
        <w:tc>
          <w:tcPr>
            <w:tcW w:w="220" w:type="dxa"/>
            <w:vAlign w:val="bottom"/>
          </w:tcPr>
          <w:p>
            <w:pPr>
              <w:spacing w:after="0"/>
              <w:rPr>
                <w:sz w:val="24"/>
                <w:szCs w:val="24"/>
                <w:color w:val="auto"/>
              </w:rPr>
            </w:pPr>
          </w:p>
        </w:tc>
        <w:tc>
          <w:tcPr>
            <w:tcW w:w="4860" w:type="dxa"/>
            <w:vAlign w:val="bottom"/>
            <w:gridSpan w:val="29"/>
          </w:tcPr>
          <w:p>
            <w:pPr>
              <w:spacing w:after="0"/>
              <w:rPr>
                <w:rFonts w:ascii="Arial" w:cs="Arial" w:eastAsia="Arial" w:hAnsi="Arial"/>
                <w:sz w:val="18"/>
                <w:szCs w:val="18"/>
                <w:color w:val="0000EE"/>
              </w:rPr>
            </w:pPr>
            <w:hyperlink r:id="rId134">
              <w:r>
                <w:rPr>
                  <w:rFonts w:ascii="Arial" w:cs="Arial" w:eastAsia="Arial" w:hAnsi="Arial"/>
                  <w:sz w:val="18"/>
                  <w:szCs w:val="18"/>
                  <w:color w:val="0000EE"/>
                </w:rPr>
                <w:t>2005  Long  Term  Incentive  Plan  of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Solutions  Group,  Inc.,  as  Amended  and  Restated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34">
              <w:r>
                <w:rPr>
                  <w:rFonts w:ascii="Arial" w:cs="Arial" w:eastAsia="Arial" w:hAnsi="Arial"/>
                  <w:sz w:val="18"/>
                  <w:szCs w:val="18"/>
                  <w:color w:val="0000EE"/>
                  <w:w w:val="98"/>
                </w:rPr>
                <w:t>Effective May 15, 2024.</w:t>
              </w:r>
            </w:hyperlink>
          </w:p>
        </w:tc>
        <w:tc>
          <w:tcPr>
            <w:tcW w:w="2880" w:type="dxa"/>
            <w:vAlign w:val="bottom"/>
            <w:tcBorders>
              <w:top w:val="single" w:sz="8" w:color="0000EE"/>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18"/>
                <w:szCs w:val="18"/>
                <w:color w:val="auto"/>
              </w:rPr>
            </w:pPr>
          </w:p>
        </w:tc>
        <w:tc>
          <w:tcPr>
            <w:tcW w:w="3520" w:type="dxa"/>
            <w:vAlign w:val="bottom"/>
            <w:tcBorders>
              <w:bottom w:val="single" w:sz="8" w:color="0000EE"/>
            </w:tcBorders>
            <w:gridSpan w:val="7"/>
          </w:tcPr>
          <w:p>
            <w:pPr>
              <w:spacing w:after="0"/>
              <w:rPr>
                <w:rFonts w:ascii="Arial" w:cs="Arial" w:eastAsia="Arial" w:hAnsi="Arial"/>
                <w:sz w:val="18"/>
                <w:szCs w:val="18"/>
                <w:color w:val="0000EE"/>
                <w:w w:val="99"/>
              </w:rPr>
            </w:pPr>
            <w:hyperlink r:id="rId135">
              <w:r>
                <w:rPr>
                  <w:rFonts w:ascii="Arial" w:cs="Arial" w:eastAsia="Arial" w:hAnsi="Arial"/>
                  <w:sz w:val="18"/>
                  <w:szCs w:val="18"/>
                  <w:color w:val="0000EE"/>
                  <w:w w:val="99"/>
                </w:rPr>
                <w:t>Form of Restricted Stock Award Agreement.</w:t>
              </w:r>
            </w:hyperlink>
          </w:p>
        </w:tc>
        <w:tc>
          <w:tcPr>
            <w:tcW w:w="134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10.5 *</w:t>
            </w:r>
          </w:p>
        </w:tc>
        <w:tc>
          <w:tcPr>
            <w:tcW w:w="220" w:type="dxa"/>
            <w:vAlign w:val="bottom"/>
          </w:tcPr>
          <w:p>
            <w:pPr>
              <w:spacing w:after="0"/>
              <w:rPr>
                <w:sz w:val="24"/>
                <w:szCs w:val="24"/>
                <w:color w:val="auto"/>
              </w:rPr>
            </w:pPr>
          </w:p>
        </w:tc>
        <w:tc>
          <w:tcPr>
            <w:tcW w:w="4140" w:type="dxa"/>
            <w:vAlign w:val="bottom"/>
            <w:tcBorders>
              <w:bottom w:val="single" w:sz="8" w:color="0000EE"/>
            </w:tcBorders>
            <w:gridSpan w:val="9"/>
          </w:tcPr>
          <w:p>
            <w:pPr>
              <w:spacing w:after="0"/>
              <w:rPr>
                <w:rFonts w:ascii="Arial" w:cs="Arial" w:eastAsia="Arial" w:hAnsi="Arial"/>
                <w:sz w:val="18"/>
                <w:szCs w:val="18"/>
                <w:color w:val="0000EE"/>
                <w:w w:val="99"/>
              </w:rPr>
            </w:pPr>
            <w:hyperlink r:id="rId136">
              <w:r>
                <w:rPr>
                  <w:rFonts w:ascii="Arial" w:cs="Arial" w:eastAsia="Arial" w:hAnsi="Arial"/>
                  <w:sz w:val="18"/>
                  <w:szCs w:val="18"/>
                  <w:color w:val="0000EE"/>
                  <w:w w:val="99"/>
                </w:rPr>
                <w:t>Form of Performance Share Unit Award Agreement.</w:t>
              </w:r>
            </w:hyperlink>
          </w:p>
        </w:tc>
        <w:tc>
          <w:tcPr>
            <w:tcW w:w="7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280" w:type="dxa"/>
            <w:vAlign w:val="bottom"/>
            <w:gridSpan w:val="2"/>
          </w:tcPr>
          <w:p>
            <w:pPr>
              <w:spacing w:after="0"/>
              <w:rPr>
                <w:sz w:val="20"/>
                <w:szCs w:val="20"/>
                <w:color w:val="auto"/>
              </w:rPr>
            </w:pPr>
            <w:r>
              <w:rPr>
                <w:rFonts w:ascii="Arial" w:cs="Arial" w:eastAsia="Arial" w:hAnsi="Arial"/>
                <w:sz w:val="18"/>
                <w:szCs w:val="18"/>
                <w:color w:val="auto"/>
              </w:rPr>
              <w:t>10.6 *</w:t>
            </w:r>
          </w:p>
        </w:tc>
        <w:tc>
          <w:tcPr>
            <w:tcW w:w="220" w:type="dxa"/>
            <w:vAlign w:val="bottom"/>
          </w:tcPr>
          <w:p>
            <w:pPr>
              <w:spacing w:after="0"/>
              <w:rPr>
                <w:sz w:val="24"/>
                <w:szCs w:val="24"/>
                <w:color w:val="auto"/>
              </w:rPr>
            </w:pPr>
          </w:p>
        </w:tc>
        <w:tc>
          <w:tcPr>
            <w:tcW w:w="4860" w:type="dxa"/>
            <w:vAlign w:val="bottom"/>
            <w:gridSpan w:val="29"/>
          </w:tcPr>
          <w:p>
            <w:pPr>
              <w:spacing w:after="0"/>
              <w:rPr>
                <w:rFonts w:ascii="Arial" w:cs="Arial" w:eastAsia="Arial" w:hAnsi="Arial"/>
                <w:sz w:val="18"/>
                <w:szCs w:val="18"/>
                <w:color w:val="0000EE"/>
              </w:rPr>
            </w:pPr>
            <w:hyperlink r:id="rId137">
              <w:r>
                <w:rPr>
                  <w:rFonts w:ascii="Arial" w:cs="Arial" w:eastAsia="Arial" w:hAnsi="Arial"/>
                  <w:sz w:val="18"/>
                  <w:szCs w:val="18"/>
                  <w:color w:val="0000EE"/>
                </w:rPr>
                <w:t>Form of Restricted Stock Unit Award Agreement.</w:t>
              </w:r>
            </w:hyperlink>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4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280" w:type="dxa"/>
            <w:vAlign w:val="bottom"/>
            <w:gridSpan w:val="2"/>
          </w:tcPr>
          <w:p>
            <w:pPr>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4"/>
                <w:szCs w:val="24"/>
                <w:color w:val="auto"/>
              </w:rPr>
            </w:pPr>
          </w:p>
        </w:tc>
        <w:tc>
          <w:tcPr>
            <w:tcW w:w="4860" w:type="dxa"/>
            <w:vAlign w:val="bottom"/>
            <w:gridSpan w:val="29"/>
          </w:tcPr>
          <w:p>
            <w:pPr>
              <w:spacing w:after="0"/>
              <w:rPr>
                <w:rFonts w:ascii="Arial" w:cs="Arial" w:eastAsia="Arial" w:hAnsi="Arial"/>
                <w:sz w:val="18"/>
                <w:szCs w:val="18"/>
                <w:color w:val="0000EE"/>
              </w:rPr>
            </w:pPr>
            <w:hyperlink r:id="rId138">
              <w:r>
                <w:rPr>
                  <w:rFonts w:ascii="Arial" w:cs="Arial" w:eastAsia="Arial" w:hAnsi="Arial"/>
                  <w:sz w:val="18"/>
                  <w:szCs w:val="18"/>
                  <w:color w:val="0000EE"/>
                </w:rPr>
                <w:t>Employee  Stock  Purchase  Plan  of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Solutions  Group,  Inc.,  as  Amended  and  Restated</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38">
              <w:r>
                <w:rPr>
                  <w:rFonts w:ascii="Arial" w:cs="Arial" w:eastAsia="Arial" w:hAnsi="Arial"/>
                  <w:sz w:val="18"/>
                  <w:szCs w:val="18"/>
                  <w:color w:val="0000EE"/>
                  <w:w w:val="98"/>
                </w:rPr>
                <w:t>Effective May 15, 2019.</w:t>
              </w:r>
            </w:hyperlink>
          </w:p>
        </w:tc>
        <w:tc>
          <w:tcPr>
            <w:tcW w:w="2880" w:type="dxa"/>
            <w:vAlign w:val="bottom"/>
            <w:tcBorders>
              <w:top w:val="single" w:sz="8" w:color="0000EE"/>
            </w:tcBorders>
            <w:gridSpan w:val="21"/>
          </w:tcPr>
          <w:p>
            <w:pPr>
              <w:spacing w:after="0"/>
              <w:rPr>
                <w:sz w:val="15"/>
                <w:szCs w:val="15"/>
                <w:color w:val="auto"/>
              </w:rPr>
            </w:pPr>
          </w:p>
        </w:tc>
        <w:tc>
          <w:tcPr>
            <w:tcW w:w="1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10.8 *</w:t>
            </w:r>
          </w:p>
        </w:tc>
        <w:tc>
          <w:tcPr>
            <w:tcW w:w="220" w:type="dxa"/>
            <w:vAlign w:val="bottom"/>
          </w:tcPr>
          <w:p>
            <w:pPr>
              <w:spacing w:after="0"/>
              <w:rPr>
                <w:sz w:val="18"/>
                <w:szCs w:val="18"/>
                <w:color w:val="auto"/>
              </w:rPr>
            </w:pPr>
          </w:p>
        </w:tc>
        <w:tc>
          <w:tcPr>
            <w:tcW w:w="4860" w:type="dxa"/>
            <w:vAlign w:val="bottom"/>
            <w:gridSpan w:val="29"/>
          </w:tcPr>
          <w:p>
            <w:pPr>
              <w:spacing w:after="0"/>
              <w:rPr>
                <w:rFonts w:ascii="Arial" w:cs="Arial" w:eastAsia="Arial" w:hAnsi="Arial"/>
                <w:sz w:val="18"/>
                <w:szCs w:val="18"/>
                <w:color w:val="0000EE"/>
              </w:rPr>
            </w:pPr>
            <w:hyperlink r:id="rId139">
              <w:r>
                <w:rPr>
                  <w:rFonts w:ascii="Arial" w:cs="Arial" w:eastAsia="Arial" w:hAnsi="Arial"/>
                  <w:sz w:val="18"/>
                  <w:szCs w:val="18"/>
                  <w:color w:val="0000EE"/>
                </w:rPr>
                <w:t>Employment Agreement between Owen Kratz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39">
              <w:r>
                <w:rPr>
                  <w:rFonts w:ascii="Arial" w:cs="Arial" w:eastAsia="Arial" w:hAnsi="Arial"/>
                  <w:sz w:val="18"/>
                  <w:szCs w:val="18"/>
                  <w:color w:val="0000EE"/>
                </w:rPr>
                <w:t>Company dated February 28, 1999.</w:t>
              </w:r>
            </w:hyperlink>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10.9 *</w:t>
            </w:r>
          </w:p>
        </w:tc>
        <w:tc>
          <w:tcPr>
            <w:tcW w:w="220" w:type="dxa"/>
            <w:vAlign w:val="bottom"/>
          </w:tcPr>
          <w:p>
            <w:pPr>
              <w:spacing w:after="0"/>
              <w:rPr>
                <w:sz w:val="18"/>
                <w:szCs w:val="18"/>
                <w:color w:val="auto"/>
              </w:rPr>
            </w:pPr>
          </w:p>
        </w:tc>
        <w:tc>
          <w:tcPr>
            <w:tcW w:w="4860" w:type="dxa"/>
            <w:vAlign w:val="bottom"/>
            <w:gridSpan w:val="29"/>
          </w:tcPr>
          <w:p>
            <w:pPr>
              <w:spacing w:after="0"/>
              <w:rPr>
                <w:rFonts w:ascii="Arial" w:cs="Arial" w:eastAsia="Arial" w:hAnsi="Arial"/>
                <w:sz w:val="18"/>
                <w:szCs w:val="18"/>
                <w:color w:val="0000EE"/>
              </w:rPr>
            </w:pPr>
            <w:hyperlink r:id="rId140">
              <w:r>
                <w:rPr>
                  <w:rFonts w:ascii="Arial" w:cs="Arial" w:eastAsia="Arial" w:hAnsi="Arial"/>
                  <w:sz w:val="18"/>
                  <w:szCs w:val="18"/>
                  <w:color w:val="0000EE"/>
                </w:rPr>
                <w:t>Employment Agreement between Owen Kratz and the</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Company dated November 17, 2008.</w:t>
              </w:r>
            </w:hyperlink>
          </w:p>
        </w:tc>
        <w:tc>
          <w:tcPr>
            <w:tcW w:w="1760" w:type="dxa"/>
            <w:vAlign w:val="bottom"/>
            <w:tcBorders>
              <w:top w:val="single" w:sz="8" w:color="0000EE"/>
            </w:tcBorders>
            <w:gridSpan w:val="17"/>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87"/>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7" w:right="80"/>
        <w:spacing w:after="0" w:line="245" w:lineRule="auto"/>
        <w:rPr>
          <w:sz w:val="20"/>
          <w:szCs w:val="20"/>
          <w:color w:val="auto"/>
        </w:rPr>
      </w:pPr>
      <w:r>
        <w:rPr>
          <w:rFonts w:ascii="Arial" w:cs="Arial" w:eastAsia="Arial" w:hAnsi="Arial"/>
          <w:sz w:val="17"/>
          <w:szCs w:val="17"/>
          <w:b w:val="1"/>
          <w:bCs w:val="1"/>
          <w:color w:val="auto"/>
        </w:rPr>
        <w:t>Incorporated by Reference from the Following Documents (Registration or</w:t>
      </w:r>
    </w:p>
    <w:p>
      <w:pPr>
        <w:ind w:left="1248" w:hanging="1248"/>
        <w:spacing w:after="0" w:line="222" w:lineRule="auto"/>
        <w:tabs>
          <w:tab w:leader="none" w:pos="1248" w:val="left"/>
        </w:tabs>
        <w:numPr>
          <w:ilvl w:val="0"/>
          <w:numId w:val="49"/>
        </w:numPr>
        <w:rPr>
          <w:rFonts w:ascii="Arial" w:cs="Arial" w:eastAsia="Arial" w:hAnsi="Arial"/>
          <w:sz w:val="22"/>
          <w:szCs w:val="22"/>
          <w:color w:val="auto"/>
        </w:rPr>
      </w:pPr>
      <w:r>
        <w:rPr>
          <w:rFonts w:ascii="Arial" w:cs="Arial" w:eastAsia="Arial" w:hAnsi="Arial"/>
          <w:sz w:val="18"/>
          <w:szCs w:val="18"/>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1270</wp:posOffset>
            </wp:positionV>
            <wp:extent cx="21685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 w:lineRule="exact"/>
        <w:rPr>
          <w:sz w:val="20"/>
          <w:szCs w:val="20"/>
          <w:color w:val="auto"/>
        </w:rPr>
      </w:pPr>
    </w:p>
    <w:p>
      <w:pPr>
        <w:jc w:val="both"/>
        <w:ind w:left="88"/>
        <w:spacing w:after="0" w:line="242" w:lineRule="auto"/>
        <w:rPr>
          <w:sz w:val="20"/>
          <w:szCs w:val="20"/>
          <w:color w:val="auto"/>
        </w:rPr>
      </w:pPr>
      <w:r>
        <w:rPr>
          <w:rFonts w:ascii="Arial" w:cs="Arial" w:eastAsia="Arial" w:hAnsi="Arial"/>
          <w:sz w:val="18"/>
          <w:szCs w:val="18"/>
          <w:color w:val="auto"/>
        </w:rPr>
        <w:t>Exhibit 4.1 to the Current Report on Form 8-K filed on November 15, 2023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88"/>
        <w:spacing w:after="0" w:line="257" w:lineRule="auto"/>
        <w:rPr>
          <w:sz w:val="20"/>
          <w:szCs w:val="20"/>
          <w:color w:val="auto"/>
        </w:rPr>
      </w:pPr>
      <w:r>
        <w:rPr>
          <w:rFonts w:ascii="Arial" w:cs="Arial" w:eastAsia="Arial" w:hAnsi="Arial"/>
          <w:sz w:val="18"/>
          <w:szCs w:val="18"/>
          <w:color w:val="auto"/>
        </w:rPr>
        <w:t>Exhibit 4.1 to the Current Report on Form 8-K filed on August 2, 2024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88"/>
        <w:spacing w:after="0" w:line="253" w:lineRule="auto"/>
        <w:rPr>
          <w:sz w:val="20"/>
          <w:szCs w:val="20"/>
          <w:color w:val="auto"/>
        </w:rPr>
      </w:pPr>
      <w:r>
        <w:rPr>
          <w:rFonts w:ascii="Arial" w:cs="Arial" w:eastAsia="Arial" w:hAnsi="Arial"/>
          <w:sz w:val="18"/>
          <w:szCs w:val="18"/>
          <w:color w:val="auto"/>
        </w:rPr>
        <w:t>Exhibit 4.1 to the Current Report on Form 8-K filed on December 1, 2023 (001-32936)</w:t>
      </w:r>
    </w:p>
    <w:p>
      <w:pPr>
        <w:spacing w:after="0" w:line="182" w:lineRule="exact"/>
        <w:rPr>
          <w:sz w:val="20"/>
          <w:szCs w:val="20"/>
          <w:color w:val="auto"/>
        </w:rPr>
      </w:pPr>
    </w:p>
    <w:p>
      <w:pPr>
        <w:jc w:val="both"/>
        <w:ind w:left="88"/>
        <w:spacing w:after="0" w:line="257" w:lineRule="auto"/>
        <w:rPr>
          <w:sz w:val="20"/>
          <w:szCs w:val="20"/>
          <w:color w:val="auto"/>
        </w:rPr>
      </w:pPr>
      <w:r>
        <w:rPr>
          <w:rFonts w:ascii="Arial" w:cs="Arial" w:eastAsia="Arial" w:hAnsi="Arial"/>
          <w:sz w:val="18"/>
          <w:szCs w:val="18"/>
          <w:color w:val="auto"/>
        </w:rPr>
        <w:t>Exhibit 10.1 to the Current Report on Form 8-K filed on January 6, 2009 (001-32936)</w:t>
      </w:r>
    </w:p>
    <w:p>
      <w:pPr>
        <w:spacing w:after="0" w:line="20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10.2 to the Current Report on Form 8-K filed on January 6, 2009 (001-32936)</w:t>
      </w:r>
    </w:p>
    <w:p>
      <w:pPr>
        <w:spacing w:after="0" w:line="203" w:lineRule="exact"/>
        <w:rPr>
          <w:sz w:val="20"/>
          <w:szCs w:val="20"/>
          <w:color w:val="auto"/>
        </w:rPr>
      </w:pPr>
    </w:p>
    <w:p>
      <w:pPr>
        <w:jc w:val="both"/>
        <w:ind w:left="88"/>
        <w:spacing w:after="0" w:line="260" w:lineRule="auto"/>
        <w:rPr>
          <w:sz w:val="20"/>
          <w:szCs w:val="20"/>
          <w:color w:val="auto"/>
        </w:rPr>
      </w:pPr>
      <w:r>
        <w:rPr>
          <w:rFonts w:ascii="Arial" w:cs="Arial" w:eastAsia="Arial" w:hAnsi="Arial"/>
          <w:sz w:val="18"/>
          <w:szCs w:val="18"/>
          <w:color w:val="auto"/>
        </w:rPr>
        <w:t>Annex A to the Definitive Proxy Statement filed on April 3, 2024 (001-32936)</w:t>
      </w:r>
    </w:p>
    <w:p>
      <w:pPr>
        <w:spacing w:after="0" w:line="177" w:lineRule="exact"/>
        <w:rPr>
          <w:sz w:val="20"/>
          <w:szCs w:val="20"/>
          <w:color w:val="auto"/>
        </w:rPr>
      </w:pPr>
    </w:p>
    <w:p>
      <w:pPr>
        <w:jc w:val="both"/>
        <w:ind w:left="88"/>
        <w:spacing w:after="0" w:line="248" w:lineRule="auto"/>
        <w:rPr>
          <w:sz w:val="20"/>
          <w:szCs w:val="20"/>
          <w:color w:val="auto"/>
        </w:rPr>
      </w:pPr>
      <w:r>
        <w:rPr>
          <w:rFonts w:ascii="Arial" w:cs="Arial" w:eastAsia="Arial" w:hAnsi="Arial"/>
          <w:sz w:val="18"/>
          <w:szCs w:val="18"/>
          <w:color w:val="auto"/>
        </w:rPr>
        <w:t>Exhibit 10.3 to the Current Report on Form 8-K filed on December 15, 2011 (001-32936)</w:t>
      </w:r>
    </w:p>
    <w:p>
      <w:pPr>
        <w:spacing w:after="0" w:line="2"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10.1 to the Current Report on Form 8-K/A filed on December 14, 2020 (001-32936)</w:t>
      </w:r>
    </w:p>
    <w:p>
      <w:pPr>
        <w:spacing w:after="0" w:line="1"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10.1 to the Current Report on Form 8-K filed on December 16, 2020 (001-32936)</w:t>
      </w:r>
    </w:p>
    <w:p>
      <w:pPr>
        <w:spacing w:after="0" w:line="1" w:lineRule="exact"/>
        <w:rPr>
          <w:sz w:val="20"/>
          <w:szCs w:val="20"/>
          <w:color w:val="auto"/>
        </w:rPr>
      </w:pPr>
    </w:p>
    <w:p>
      <w:pPr>
        <w:jc w:val="both"/>
        <w:ind w:left="88"/>
        <w:spacing w:after="0" w:line="260" w:lineRule="auto"/>
        <w:rPr>
          <w:sz w:val="20"/>
          <w:szCs w:val="20"/>
          <w:color w:val="auto"/>
        </w:rPr>
      </w:pPr>
      <w:r>
        <w:rPr>
          <w:rFonts w:ascii="Arial" w:cs="Arial" w:eastAsia="Arial" w:hAnsi="Arial"/>
          <w:sz w:val="18"/>
          <w:szCs w:val="18"/>
          <w:color w:val="auto"/>
        </w:rPr>
        <w:t>Annex B to the Definitive Proxy Statement filed on April 2, 2019 (001-32936)</w:t>
      </w:r>
    </w:p>
    <w:p>
      <w:pPr>
        <w:spacing w:after="0" w:line="177" w:lineRule="exact"/>
        <w:rPr>
          <w:sz w:val="20"/>
          <w:szCs w:val="20"/>
          <w:color w:val="auto"/>
        </w:rPr>
      </w:pPr>
    </w:p>
    <w:p>
      <w:pPr>
        <w:jc w:val="both"/>
        <w:ind w:left="88"/>
        <w:spacing w:after="0" w:line="255" w:lineRule="auto"/>
        <w:rPr>
          <w:sz w:val="20"/>
          <w:szCs w:val="20"/>
          <w:color w:val="auto"/>
        </w:rPr>
      </w:pPr>
      <w:r>
        <w:rPr>
          <w:rFonts w:ascii="Arial" w:cs="Arial" w:eastAsia="Arial" w:hAnsi="Arial"/>
          <w:sz w:val="18"/>
          <w:szCs w:val="18"/>
          <w:color w:val="auto"/>
        </w:rPr>
        <w:t>Exhibit 10.5 to the 1998 Form 10-K filed on March 31, 1999 (000-22739)</w:t>
      </w:r>
    </w:p>
    <w:p>
      <w:pPr>
        <w:spacing w:after="0" w:line="2" w:lineRule="exact"/>
        <w:rPr>
          <w:sz w:val="20"/>
          <w:szCs w:val="20"/>
          <w:color w:val="auto"/>
        </w:rPr>
      </w:pPr>
    </w:p>
    <w:p>
      <w:pPr>
        <w:jc w:val="both"/>
        <w:ind w:left="88"/>
        <w:spacing w:after="0" w:line="247" w:lineRule="auto"/>
        <w:rPr>
          <w:sz w:val="20"/>
          <w:szCs w:val="20"/>
          <w:color w:val="auto"/>
        </w:rPr>
      </w:pPr>
      <w:r>
        <w:rPr>
          <w:rFonts w:ascii="Arial" w:cs="Arial" w:eastAsia="Arial" w:hAnsi="Arial"/>
          <w:sz w:val="18"/>
          <w:szCs w:val="18"/>
          <w:color w:val="auto"/>
        </w:rPr>
        <w:t>Exhibit 10.1 to the Current Report on Form 8-K filed on November 19, 2008 (001-32936)</w:t>
      </w:r>
    </w:p>
    <w:p>
      <w:pPr>
        <w:spacing w:after="0" w:line="200" w:lineRule="exact"/>
        <w:rPr>
          <w:sz w:val="20"/>
          <w:szCs w:val="20"/>
          <w:color w:val="auto"/>
        </w:rPr>
      </w:pPr>
    </w:p>
    <w:p>
      <w:pPr>
        <w:sectPr>
          <w:pgSz w:w="11900" w:h="16838" w:orient="portrait"/>
          <w:cols w:equalWidth="0" w:num="2">
            <w:col w:w="6020" w:space="112"/>
            <w:col w:w="3508"/>
          </w:cols>
          <w:pgMar w:left="1120" w:top="500" w:right="11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0"/>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80" w:type="dxa"/>
            <w:vAlign w:val="bottom"/>
            <w:gridSpan w:val="4"/>
            <w:vMerge w:val="restart"/>
          </w:tcPr>
          <w:p>
            <w:pPr>
              <w:ind w:left="12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80" w:type="dxa"/>
            <w:vAlign w:val="bottom"/>
            <w:gridSpan w:val="4"/>
            <w:vMerge w:val="continue"/>
          </w:tcPr>
          <w:p>
            <w:pPr>
              <w:spacing w:after="0"/>
              <w:rPr>
                <w:sz w:val="22"/>
                <w:szCs w:val="22"/>
                <w:color w:val="auto"/>
              </w:rPr>
            </w:pPr>
          </w:p>
        </w:tc>
        <w:tc>
          <w:tcPr>
            <w:tcW w:w="3260" w:type="dxa"/>
            <w:vAlign w:val="bottom"/>
            <w:gridSpan w:val="27"/>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10.10 *</w:t>
            </w:r>
          </w:p>
        </w:tc>
        <w:tc>
          <w:tcPr>
            <w:tcW w:w="220" w:type="dxa"/>
            <w:vAlign w:val="bottom"/>
          </w:tcPr>
          <w:p>
            <w:pPr>
              <w:spacing w:after="0"/>
              <w:rPr>
                <w:sz w:val="15"/>
                <w:szCs w:val="15"/>
                <w:color w:val="auto"/>
              </w:rPr>
            </w:pPr>
          </w:p>
        </w:tc>
        <w:tc>
          <w:tcPr>
            <w:tcW w:w="4900" w:type="dxa"/>
            <w:vAlign w:val="bottom"/>
            <w:tcBorders>
              <w:top w:val="single" w:sz="8" w:color="auto"/>
            </w:tcBorders>
            <w:gridSpan w:val="29"/>
          </w:tcPr>
          <w:p>
            <w:pPr>
              <w:spacing w:after="0" w:line="176" w:lineRule="exact"/>
              <w:rPr>
                <w:rFonts w:ascii="Arial" w:cs="Arial" w:eastAsia="Arial" w:hAnsi="Arial"/>
                <w:sz w:val="18"/>
                <w:szCs w:val="18"/>
                <w:color w:val="0000EE"/>
              </w:rPr>
            </w:pPr>
            <w:hyperlink r:id="rId143">
              <w:r>
                <w:rPr>
                  <w:rFonts w:ascii="Arial" w:cs="Arial" w:eastAsia="Arial" w:hAnsi="Arial"/>
                  <w:sz w:val="18"/>
                  <w:szCs w:val="18"/>
                  <w:color w:val="0000EE"/>
                </w:rPr>
                <w:t>First Amendment to Employment Agreement between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Helix Energy Solutions Group, Inc. and Owen Kratz</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80" w:type="dxa"/>
            <w:vAlign w:val="bottom"/>
            <w:gridSpan w:val="28"/>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effective May 22, 2020.</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10.11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4">
              <w:r>
                <w:rPr>
                  <w:rFonts w:ascii="Arial" w:cs="Arial" w:eastAsia="Arial" w:hAnsi="Arial"/>
                  <w:sz w:val="18"/>
                  <w:szCs w:val="18"/>
                  <w:color w:val="0000EE"/>
                </w:rPr>
                <w:t>Employment Agreement by and between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Solutions Group, Inc. and Scotty Sparks dated May 11,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2015.</w:t>
              </w:r>
            </w:hyperlink>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10.12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5">
              <w:r>
                <w:rPr>
                  <w:rFonts w:ascii="Arial" w:cs="Arial" w:eastAsia="Arial" w:hAnsi="Arial"/>
                  <w:sz w:val="18"/>
                  <w:szCs w:val="18"/>
                  <w:color w:val="0000EE"/>
                </w:rPr>
                <w:t>Deferred Compensation Agreement by and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Helix Energy Solutions Group, Inc. and Scotty Sparks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dated January 1,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10.13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First Amendment to Employment Agreement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Helix Energy Solutions Group, Inc. and Scotty Sparks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10.14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7">
              <w:r>
                <w:rPr>
                  <w:rFonts w:ascii="Arial" w:cs="Arial" w:eastAsia="Arial" w:hAnsi="Arial"/>
                  <w:sz w:val="18"/>
                  <w:szCs w:val="18"/>
                  <w:color w:val="0000EE"/>
                </w:rPr>
                <w:t>Employment Agreement by and between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Solutions Group, Inc. and Erik Staffeldt dated June 5,</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2017.</w:t>
              </w:r>
            </w:hyperlink>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10.15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8">
              <w:r>
                <w:rPr>
                  <w:rFonts w:ascii="Arial" w:cs="Arial" w:eastAsia="Arial" w:hAnsi="Arial"/>
                  <w:sz w:val="18"/>
                  <w:szCs w:val="18"/>
                  <w:color w:val="0000EE"/>
                </w:rPr>
                <w:t>First Amendment to Employment Agreement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Helix Energy Solutions Group, Inc. and Erik Staffeldt</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gridSpan w:val="25"/>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10.16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49">
              <w:r>
                <w:rPr>
                  <w:rFonts w:ascii="Arial" w:cs="Arial" w:eastAsia="Arial" w:hAnsi="Arial"/>
                  <w:sz w:val="18"/>
                  <w:szCs w:val="18"/>
                  <w:color w:val="0000EE"/>
                </w:rPr>
                <w:t>Employment Agreement by and between Helix Energy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Solutions Group, Inc. and Ken Neikirk dated May 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2019.</w:t>
              </w:r>
            </w:hyperlink>
          </w:p>
        </w:tc>
        <w:tc>
          <w:tcPr>
            <w:tcW w:w="1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10.17 *</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First Amendment to Employment Agreement between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Helix Energy Solutions Group, Inc. and Ken Neikirk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effective May 22, 2020.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1">
              <w:r>
                <w:rPr>
                  <w:rFonts w:ascii="Arial" w:cs="Arial" w:eastAsia="Arial" w:hAnsi="Arial"/>
                  <w:sz w:val="18"/>
                  <w:szCs w:val="18"/>
                  <w:color w:val="0000EE"/>
                </w:rPr>
                <w:t>Underwriting Agreement dated as of January 4, 2017,</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between Helix Energy Solutions Group, Inc. and Credit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Suisse  Securities  (USA)  LLC  and  Wells  Fargo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Securities,  LLC,  as  representatives  of  the  several</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underwriters named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2">
              <w:r>
                <w:rPr>
                  <w:rFonts w:ascii="Arial" w:cs="Arial" w:eastAsia="Arial" w:hAnsi="Arial"/>
                  <w:sz w:val="18"/>
                  <w:szCs w:val="18"/>
                  <w:color w:val="0000EE"/>
                </w:rPr>
                <w:t>Underwriting Agreement dated as of March 13, 2018, by</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and among Helix Energy Solutions Group, Inc., Wells</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gridSpan w:val="26"/>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Fargo  Securities,  LLC  and  Merrill  Lynch,  Pierce,</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Fenner &amp; Smith Incorporated.</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3">
              <w:r>
                <w:rPr>
                  <w:rFonts w:ascii="Arial" w:cs="Arial" w:eastAsia="Arial" w:hAnsi="Arial"/>
                  <w:sz w:val="18"/>
                  <w:szCs w:val="18"/>
                  <w:color w:val="0000EE"/>
                </w:rPr>
                <w:t>Underwriting Agreement, dated as of August 11, 2020,</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by and among Helix Energy Solutions Group, Inc., Wells</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0" w:type="dxa"/>
            <w:vAlign w:val="bottom"/>
            <w:gridSpan w:val="24"/>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Fargo Securities, LLC and Evercore Group L.L.C.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4">
              <w:r>
                <w:rPr>
                  <w:rFonts w:ascii="Arial" w:cs="Arial" w:eastAsia="Arial" w:hAnsi="Arial"/>
                  <w:sz w:val="18"/>
                  <w:szCs w:val="18"/>
                  <w:color w:val="0000EE"/>
                </w:rPr>
                <w:t>Strategic Alliance Agreement dated January 5, 2015</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among Helix Energy Solutions Group, Inc., OneSubsea</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7"/>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gridSpan w:val="27"/>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LLC,  OneSubsea  B.V.,  Schlumberger  Technology</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Corporation,  Schlumberger  B.V.,  and  Schlumberger</w:t>
              </w:r>
            </w:hyperlink>
          </w:p>
        </w:tc>
        <w:tc>
          <w:tcPr>
            <w:tcW w:w="14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154">
              <w:r>
                <w:rPr>
                  <w:rFonts w:ascii="Arial" w:cs="Arial" w:eastAsia="Arial" w:hAnsi="Arial"/>
                  <w:sz w:val="18"/>
                  <w:szCs w:val="18"/>
                  <w:color w:val="0000EE"/>
                  <w:w w:val="99"/>
                </w:rPr>
                <w:t>Oilfield Holdings Ltd.</w:t>
              </w:r>
            </w:hyperlink>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5">
              <w:r>
                <w:rPr>
                  <w:rFonts w:ascii="Arial" w:cs="Arial" w:eastAsia="Arial" w:hAnsi="Arial"/>
                  <w:sz w:val="18"/>
                  <w:szCs w:val="18"/>
                  <w:color w:val="0000EE"/>
                </w:rPr>
                <w:t>Amendment and Assignment Agreement to Strategic</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155">
              <w:r>
                <w:rPr>
                  <w:rFonts w:ascii="Arial" w:cs="Arial" w:eastAsia="Arial" w:hAnsi="Arial"/>
                  <w:sz w:val="18"/>
                  <w:szCs w:val="18"/>
                  <w:color w:val="0000EE"/>
                  <w:w w:val="99"/>
                </w:rPr>
                <w:t>Alliance Agreement.</w:t>
              </w:r>
            </w:hyperlink>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4"/>
                <w:szCs w:val="24"/>
                <w:color w:val="auto"/>
              </w:rPr>
            </w:pPr>
          </w:p>
        </w:tc>
        <w:tc>
          <w:tcPr>
            <w:tcW w:w="4920" w:type="dxa"/>
            <w:vAlign w:val="bottom"/>
            <w:gridSpan w:val="30"/>
          </w:tcPr>
          <w:p>
            <w:pPr>
              <w:spacing w:after="0"/>
              <w:rPr>
                <w:rFonts w:ascii="Arial" w:cs="Arial" w:eastAsia="Arial" w:hAnsi="Arial"/>
                <w:sz w:val="18"/>
                <w:szCs w:val="18"/>
                <w:color w:val="0000EE"/>
              </w:rPr>
            </w:pPr>
            <w:hyperlink r:id="rId156">
              <w:r>
                <w:rPr>
                  <w:rFonts w:ascii="Arial" w:cs="Arial" w:eastAsia="Arial" w:hAnsi="Arial"/>
                  <w:sz w:val="18"/>
                  <w:szCs w:val="18"/>
                  <w:color w:val="0000EE"/>
                </w:rPr>
                <w:t>Equity Purchase Agreement, dated as of May 16, 2022,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by and among Helix Alliance Decom, LLC, Stephen J.</w:t>
              </w:r>
            </w:hyperlink>
          </w:p>
        </w:tc>
        <w:tc>
          <w:tcPr>
            <w:tcW w:w="12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Williams and Helix Energy Solutions Group, Inc. (solely</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gridSpan w:val="12"/>
          </w:tcPr>
          <w:p>
            <w:pPr>
              <w:spacing w:after="0" w:line="182" w:lineRule="exact"/>
              <w:rPr>
                <w:rFonts w:ascii="Arial" w:cs="Arial" w:eastAsia="Arial" w:hAnsi="Arial"/>
                <w:sz w:val="18"/>
                <w:szCs w:val="18"/>
                <w:color w:val="0000EE"/>
              </w:rPr>
            </w:pPr>
            <w:hyperlink r:id="rId156">
              <w:r>
                <w:rPr>
                  <w:rFonts w:ascii="Arial" w:cs="Arial" w:eastAsia="Arial" w:hAnsi="Arial"/>
                  <w:sz w:val="18"/>
                  <w:szCs w:val="18"/>
                  <w:color w:val="0000EE"/>
                </w:rPr>
                <w:t>for purposes of Sections 1.05(d) and 6.14).</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7"/>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8"/>
                <w:szCs w:val="18"/>
                <w:color w:val="auto"/>
              </w:rPr>
            </w:pPr>
          </w:p>
        </w:tc>
        <w:tc>
          <w:tcPr>
            <w:tcW w:w="4920" w:type="dxa"/>
            <w:vAlign w:val="bottom"/>
            <w:gridSpan w:val="30"/>
          </w:tcPr>
          <w:p>
            <w:pPr>
              <w:spacing w:after="0"/>
              <w:rPr>
                <w:rFonts w:ascii="Arial" w:cs="Arial" w:eastAsia="Arial" w:hAnsi="Arial"/>
                <w:sz w:val="18"/>
                <w:szCs w:val="18"/>
                <w:color w:val="0000EE"/>
              </w:rPr>
            </w:pPr>
            <w:hyperlink r:id="rId157">
              <w:r>
                <w:rPr>
                  <w:rFonts w:ascii="Arial" w:cs="Arial" w:eastAsia="Arial" w:hAnsi="Arial"/>
                  <w:sz w:val="18"/>
                  <w:szCs w:val="18"/>
                  <w:color w:val="0000EE"/>
                </w:rPr>
                <w:t>Purchase  Agreement,  dated  November  16,  2023,</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among Helix Energy Solutions Group, Inc., guarantors</w:t>
              </w:r>
            </w:hyperlink>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party  thereto  and</w:t>
              </w:r>
            </w:hyperlink>
          </w:p>
        </w:tc>
        <w:tc>
          <w:tcPr>
            <w:tcW w:w="29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Wells  Fargo  Securities,  LLC,  as</w:t>
              </w:r>
            </w:hyperlink>
          </w:p>
        </w:tc>
        <w:tc>
          <w:tcPr>
            <w:tcW w:w="220" w:type="dxa"/>
            <w:vAlign w:val="bottom"/>
            <w:tcBorders>
              <w:bottom w:val="single" w:sz="8" w:color="0000EE"/>
            </w:tcBorders>
            <w:gridSpan w:val="11"/>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ind w:left="1500" w:right="20"/>
        <w:spacing w:after="0" w:line="265"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representative of the several initial purchasers named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therein.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87"/>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7" w:right="80"/>
        <w:spacing w:after="0" w:line="245" w:lineRule="auto"/>
        <w:rPr>
          <w:sz w:val="20"/>
          <w:szCs w:val="20"/>
          <w:color w:val="auto"/>
        </w:rPr>
      </w:pPr>
      <w:r>
        <w:rPr>
          <w:rFonts w:ascii="Arial" w:cs="Arial" w:eastAsia="Arial" w:hAnsi="Arial"/>
          <w:sz w:val="17"/>
          <w:szCs w:val="17"/>
          <w:b w:val="1"/>
          <w:bCs w:val="1"/>
          <w:color w:val="auto"/>
        </w:rPr>
        <w:t>Incorporated by Reference from the Following Documents (Registration or</w:t>
      </w:r>
    </w:p>
    <w:p>
      <w:pPr>
        <w:ind w:left="1248" w:hanging="1248"/>
        <w:spacing w:after="0" w:line="222" w:lineRule="auto"/>
        <w:tabs>
          <w:tab w:leader="none" w:pos="1248" w:val="left"/>
        </w:tabs>
        <w:numPr>
          <w:ilvl w:val="0"/>
          <w:numId w:val="50"/>
        </w:numPr>
        <w:rPr>
          <w:rFonts w:ascii="Arial" w:cs="Arial" w:eastAsia="Arial" w:hAnsi="Arial"/>
          <w:sz w:val="22"/>
          <w:szCs w:val="22"/>
          <w:color w:val="auto"/>
        </w:rPr>
      </w:pPr>
      <w:r>
        <w:rPr>
          <w:rFonts w:ascii="Arial" w:cs="Arial" w:eastAsia="Arial" w:hAnsi="Arial"/>
          <w:sz w:val="18"/>
          <w:szCs w:val="18"/>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1270</wp:posOffset>
            </wp:positionV>
            <wp:extent cx="21685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 w:lineRule="exact"/>
        <w:rPr>
          <w:sz w:val="20"/>
          <w:szCs w:val="20"/>
          <w:color w:val="auto"/>
        </w:rPr>
      </w:pPr>
    </w:p>
    <w:p>
      <w:pPr>
        <w:jc w:val="both"/>
        <w:ind w:left="88"/>
        <w:spacing w:after="0" w:line="243" w:lineRule="auto"/>
        <w:rPr>
          <w:sz w:val="20"/>
          <w:szCs w:val="20"/>
          <w:color w:val="auto"/>
        </w:rPr>
      </w:pPr>
      <w:r>
        <w:rPr>
          <w:rFonts w:ascii="Arial" w:cs="Arial" w:eastAsia="Arial" w:hAnsi="Arial"/>
          <w:sz w:val="18"/>
          <w:szCs w:val="18"/>
          <w:color w:val="auto"/>
        </w:rPr>
        <w:t>Exhibit 10.1 to the Current Report on Form 8-K filed on May 22, 2020 (001-32936)</w:t>
      </w:r>
    </w:p>
    <w:p>
      <w:pPr>
        <w:spacing w:after="0" w:line="207"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10.1 to the Current Report on Form 8-K/A filed on May 12, 2015 (001-32936)</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10.2 to the Current Report on Form 8-K/A filed on May 12, 2015 (001-32936)</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10.2 to the Current Report on Form 8-K filed on May 22, 2020 (001-32936)</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10.1 to the Current Report on Form 8-K filed on June 6, 2017 (001-32936)</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10.3 to the Current Report on Form 8-K filed on May 22, 2020 (001-32936)</w:t>
      </w:r>
    </w:p>
    <w:p>
      <w:pPr>
        <w:spacing w:after="0" w:line="203"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10.2 to the Quarterly Report on Form 10-Q filed on July 26, 2019 (001-32936)</w:t>
      </w:r>
    </w:p>
    <w:p>
      <w:pPr>
        <w:spacing w:after="0" w:line="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10.4 to the Current Report on Form 8-K filed on May 22, 2020 (001-32936)</w:t>
      </w:r>
    </w:p>
    <w:p>
      <w:pPr>
        <w:spacing w:after="0" w:line="203"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1.1 to the Current Report on Form 8-K filed on January 6, 2017 (001-32936)</w:t>
      </w:r>
    </w:p>
    <w:p>
      <w:pPr>
        <w:spacing w:after="0" w:line="200" w:lineRule="exact"/>
        <w:rPr>
          <w:sz w:val="20"/>
          <w:szCs w:val="20"/>
          <w:color w:val="auto"/>
        </w:rPr>
      </w:pPr>
    </w:p>
    <w:p>
      <w:pPr>
        <w:spacing w:after="0" w:line="399" w:lineRule="exact"/>
        <w:rPr>
          <w:sz w:val="20"/>
          <w:szCs w:val="20"/>
          <w:color w:val="auto"/>
        </w:rPr>
      </w:pPr>
    </w:p>
    <w:p>
      <w:pPr>
        <w:jc w:val="both"/>
        <w:ind w:left="88"/>
        <w:spacing w:after="0" w:line="257" w:lineRule="auto"/>
        <w:rPr>
          <w:sz w:val="20"/>
          <w:szCs w:val="20"/>
          <w:color w:val="auto"/>
        </w:rPr>
      </w:pPr>
      <w:r>
        <w:rPr>
          <w:rFonts w:ascii="Arial" w:cs="Arial" w:eastAsia="Arial" w:hAnsi="Arial"/>
          <w:sz w:val="18"/>
          <w:szCs w:val="18"/>
          <w:color w:val="auto"/>
        </w:rPr>
        <w:t>Exhibit 1.1 to the Current Report on Form 8-K filed on March 19, 2018 (001-32936)</w:t>
      </w:r>
    </w:p>
    <w:p>
      <w:pPr>
        <w:spacing w:after="0" w:line="394" w:lineRule="exact"/>
        <w:rPr>
          <w:sz w:val="20"/>
          <w:szCs w:val="20"/>
          <w:color w:val="auto"/>
        </w:rPr>
      </w:pPr>
    </w:p>
    <w:p>
      <w:pPr>
        <w:jc w:val="both"/>
        <w:ind w:left="88"/>
        <w:spacing w:after="0" w:line="257" w:lineRule="auto"/>
        <w:rPr>
          <w:sz w:val="20"/>
          <w:szCs w:val="20"/>
          <w:color w:val="auto"/>
        </w:rPr>
      </w:pPr>
      <w:r>
        <w:rPr>
          <w:rFonts w:ascii="Arial" w:cs="Arial" w:eastAsia="Arial" w:hAnsi="Arial"/>
          <w:sz w:val="18"/>
          <w:szCs w:val="18"/>
          <w:color w:val="auto"/>
        </w:rPr>
        <w:t>Exhibit 1.1 to the Current Report on Form 8-K filed on August 14, 2020 (001-32936)</w:t>
      </w:r>
    </w:p>
    <w:p>
      <w:pPr>
        <w:spacing w:after="0" w:line="20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10.1 to the Current Report on Form 8-K filed on January 6, 2015 (001-32936)</w:t>
      </w:r>
    </w:p>
    <w:p>
      <w:pPr>
        <w:spacing w:after="0" w:line="200" w:lineRule="exact"/>
        <w:rPr>
          <w:sz w:val="20"/>
          <w:szCs w:val="20"/>
          <w:color w:val="auto"/>
        </w:rPr>
      </w:pPr>
    </w:p>
    <w:p>
      <w:pPr>
        <w:spacing w:after="0" w:line="399" w:lineRule="exact"/>
        <w:rPr>
          <w:sz w:val="20"/>
          <w:szCs w:val="20"/>
          <w:color w:val="auto"/>
        </w:rPr>
      </w:pPr>
    </w:p>
    <w:p>
      <w:pPr>
        <w:jc w:val="both"/>
        <w:ind w:left="88"/>
        <w:spacing w:after="0" w:line="248" w:lineRule="auto"/>
        <w:rPr>
          <w:sz w:val="20"/>
          <w:szCs w:val="20"/>
          <w:color w:val="auto"/>
        </w:rPr>
      </w:pPr>
      <w:r>
        <w:rPr>
          <w:rFonts w:ascii="Arial" w:cs="Arial" w:eastAsia="Arial" w:hAnsi="Arial"/>
          <w:sz w:val="18"/>
          <w:szCs w:val="18"/>
          <w:color w:val="auto"/>
        </w:rPr>
        <w:t>Exhibit 10.1 to the Current Report on Form 8-K filed on February 21, 2025 (001-32936)</w:t>
      </w:r>
    </w:p>
    <w:p>
      <w:pPr>
        <w:spacing w:after="0" w:line="2"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2.1 to the Current Report on Form 8-K filed on July 1, 2022 (001-32936)</w:t>
      </w:r>
    </w:p>
    <w:p>
      <w:pPr>
        <w:spacing w:after="0" w:line="396" w:lineRule="exact"/>
        <w:rPr>
          <w:sz w:val="20"/>
          <w:szCs w:val="20"/>
          <w:color w:val="auto"/>
        </w:rPr>
      </w:pPr>
    </w:p>
    <w:p>
      <w:pPr>
        <w:jc w:val="both"/>
        <w:ind w:left="88"/>
        <w:spacing w:after="0" w:line="253" w:lineRule="auto"/>
        <w:rPr>
          <w:sz w:val="20"/>
          <w:szCs w:val="20"/>
          <w:color w:val="auto"/>
        </w:rPr>
      </w:pPr>
      <w:r>
        <w:rPr>
          <w:rFonts w:ascii="Arial" w:cs="Arial" w:eastAsia="Arial" w:hAnsi="Arial"/>
          <w:sz w:val="18"/>
          <w:szCs w:val="18"/>
          <w:color w:val="auto"/>
        </w:rPr>
        <w:t>Exhibit 10.1 to the Current Report on Form 8-K filed on November 17, 2023 (001-32936)</w:t>
      </w:r>
    </w:p>
    <w:p>
      <w:pPr>
        <w:spacing w:after="0" w:line="615" w:lineRule="exact"/>
        <w:rPr>
          <w:sz w:val="20"/>
          <w:szCs w:val="20"/>
          <w:color w:val="auto"/>
        </w:rPr>
      </w:pPr>
    </w:p>
    <w:p>
      <w:pPr>
        <w:sectPr>
          <w:pgSz w:w="11900" w:h="16838" w:orient="portrait"/>
          <w:cols w:equalWidth="0" w:num="2">
            <w:col w:w="6020" w:space="112"/>
            <w:col w:w="3508"/>
          </w:cols>
          <w:pgMar w:left="1120" w:top="500" w:right="11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61207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9640"/>
          </w:cols>
          <w:pgMar w:left="1120" w:top="500" w:right="11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3"/>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960" w:type="dxa"/>
            <w:vAlign w:val="bottom"/>
            <w:gridSpan w:val="5"/>
            <w:vMerge w:val="restart"/>
          </w:tcPr>
          <w:p>
            <w:pPr>
              <w:ind w:left="12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960" w:type="dxa"/>
            <w:vAlign w:val="bottom"/>
            <w:gridSpan w:val="5"/>
            <w:vMerge w:val="continue"/>
          </w:tcPr>
          <w:p>
            <w:pPr>
              <w:spacing w:after="0"/>
              <w:rPr>
                <w:sz w:val="22"/>
                <w:szCs w:val="22"/>
                <w:color w:val="auto"/>
              </w:rPr>
            </w:pPr>
          </w:p>
        </w:tc>
        <w:tc>
          <w:tcPr>
            <w:tcW w:w="2880" w:type="dxa"/>
            <w:vAlign w:val="bottom"/>
            <w:gridSpan w:val="12"/>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10.25</w:t>
            </w:r>
          </w:p>
        </w:tc>
        <w:tc>
          <w:tcPr>
            <w:tcW w:w="220" w:type="dxa"/>
            <w:vAlign w:val="bottom"/>
          </w:tcPr>
          <w:p>
            <w:pPr>
              <w:spacing w:after="0"/>
              <w:rPr>
                <w:sz w:val="15"/>
                <w:szCs w:val="15"/>
                <w:color w:val="auto"/>
              </w:rPr>
            </w:pPr>
          </w:p>
        </w:tc>
        <w:tc>
          <w:tcPr>
            <w:tcW w:w="4620" w:type="dxa"/>
            <w:vAlign w:val="bottom"/>
            <w:tcBorders>
              <w:top w:val="single" w:sz="8" w:color="auto"/>
            </w:tcBorders>
            <w:gridSpan w:val="16"/>
          </w:tcPr>
          <w:p>
            <w:pPr>
              <w:spacing w:after="0" w:line="176" w:lineRule="exact"/>
              <w:rPr>
                <w:rFonts w:ascii="Arial" w:cs="Arial" w:eastAsia="Arial" w:hAnsi="Arial"/>
                <w:sz w:val="18"/>
                <w:szCs w:val="18"/>
                <w:color w:val="0000EE"/>
              </w:rPr>
            </w:pPr>
            <w:hyperlink r:id="rId160">
              <w:r>
                <w:rPr>
                  <w:rFonts w:ascii="Arial" w:cs="Arial" w:eastAsia="Arial" w:hAnsi="Arial"/>
                  <w:sz w:val="18"/>
                  <w:szCs w:val="18"/>
                  <w:color w:val="0000EE"/>
                </w:rPr>
                <w:t>Form of Purchase Agreement with certain holders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6.</w:t>
              </w:r>
              <w:r>
                <w:rPr>
                  <w:rFonts w:ascii="Arial" w:cs="Arial" w:eastAsia="Arial" w:hAnsi="Arial"/>
                  <w:sz w:val="18"/>
                  <w:szCs w:val="18"/>
                  <w:u w:val="single" w:color="auto"/>
                  <w:color w:val="0000EE"/>
                  <w:w w:val="99"/>
                </w:rPr>
                <w:t>75%</w:t>
              </w:r>
              <w:r>
                <w:rPr>
                  <w:rFonts w:ascii="Arial" w:cs="Arial" w:eastAsia="Arial" w:hAnsi="Arial"/>
                  <w:sz w:val="18"/>
                  <w:szCs w:val="18"/>
                  <w:color w:val="0000EE"/>
                  <w:w w:val="99"/>
                </w:rPr>
                <w:t xml:space="preserve"> Convertible Senior Notes due 2026.</w:t>
              </w:r>
            </w:hyperlink>
          </w:p>
        </w:tc>
        <w:tc>
          <w:tcPr>
            <w:tcW w:w="110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Exchange Agreement with certain holders of</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6.</w:t>
              </w:r>
              <w:r>
                <w:rPr>
                  <w:rFonts w:ascii="Arial" w:cs="Arial" w:eastAsia="Arial" w:hAnsi="Arial"/>
                  <w:sz w:val="18"/>
                  <w:szCs w:val="18"/>
                  <w:u w:val="single" w:color="auto"/>
                  <w:color w:val="0000EE"/>
                  <w:w w:val="99"/>
                </w:rPr>
                <w:t>75%</w:t>
              </w:r>
              <w:r>
                <w:rPr>
                  <w:rFonts w:ascii="Arial" w:cs="Arial" w:eastAsia="Arial" w:hAnsi="Arial"/>
                  <w:sz w:val="18"/>
                  <w:szCs w:val="18"/>
                  <w:color w:val="0000EE"/>
                  <w:w w:val="99"/>
                </w:rPr>
                <w:t xml:space="preserve"> Convertible Senior Notes due 2026.</w:t>
              </w:r>
            </w:hyperlink>
          </w:p>
        </w:tc>
        <w:tc>
          <w:tcPr>
            <w:tcW w:w="1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EE"/>
              </w:rPr>
            </w:pPr>
            <w:hyperlink r:id="rId162">
              <w:r>
                <w:rPr>
                  <w:rFonts w:ascii="Arial" w:cs="Arial" w:eastAsia="Arial" w:hAnsi="Arial"/>
                  <w:sz w:val="18"/>
                  <w:szCs w:val="18"/>
                  <w:color w:val="0000EE"/>
                </w:rPr>
                <w:t>Code of Ethics for Chief Executive Officer and Senior</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Financial Officers.</w:t>
              </w:r>
            </w:hyperlink>
          </w:p>
        </w:tc>
        <w:tc>
          <w:tcPr>
            <w:tcW w:w="3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4620" w:type="dxa"/>
            <w:vAlign w:val="bottom"/>
            <w:gridSpan w:val="16"/>
          </w:tcPr>
          <w:p>
            <w:pPr>
              <w:spacing w:after="0"/>
              <w:rPr>
                <w:rFonts w:ascii="Arial" w:cs="Arial" w:eastAsia="Arial" w:hAnsi="Arial"/>
                <w:sz w:val="18"/>
                <w:szCs w:val="18"/>
                <w:color w:val="0000EE"/>
              </w:rPr>
            </w:pPr>
            <w:hyperlink r:id="rId163">
              <w:r>
                <w:rPr>
                  <w:rFonts w:ascii="Arial" w:cs="Arial" w:eastAsia="Arial" w:hAnsi="Arial"/>
                  <w:sz w:val="18"/>
                  <w:szCs w:val="18"/>
                  <w:color w:val="0000EE"/>
                </w:rPr>
                <w:t>Helix  Energy  Solutions  Group,  Inc.  Insider  Trading</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63">
              <w:r>
                <w:rPr>
                  <w:rFonts w:ascii="Arial" w:cs="Arial" w:eastAsia="Arial" w:hAnsi="Arial"/>
                  <w:sz w:val="18"/>
                  <w:szCs w:val="18"/>
                  <w:color w:val="0000EE"/>
                  <w:w w:val="98"/>
                </w:rPr>
                <w:t>Compliance Program.</w:t>
              </w:r>
            </w:hyperlink>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List of Helix’s Subsidiaries.</w:t>
            </w:r>
          </w:p>
        </w:tc>
        <w:tc>
          <w:tcPr>
            <w:tcW w:w="24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0000EE"/>
              </w:rPr>
              <w:t>Consent of KPMG LLP.</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40" w:type="dxa"/>
            <w:vAlign w:val="bottom"/>
            <w:tcBorders>
              <w:top w:val="single" w:sz="8" w:color="0000EE"/>
            </w:tcBorders>
            <w:gridSpan w:val="2"/>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tcBorders>
              <w:top w:val="single" w:sz="8" w:color="0000EE"/>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Securities Exchange Act of 1934 by Erik Staffeldt, Chief</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Financial Officer.</w:t>
            </w:r>
          </w:p>
        </w:tc>
        <w:tc>
          <w:tcPr>
            <w:tcW w:w="4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0000EE"/>
              </w:rPr>
              <w:t>Certification of Helix’s Chief Executive Officer and Chief</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Financial  Officer  pursuant  to  Section  906  of  the</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Sarbanes — Oxley Act of 2002.</w:t>
            </w: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18"/>
                <w:szCs w:val="18"/>
                <w:color w:val="auto"/>
              </w:rPr>
            </w:pPr>
          </w:p>
        </w:tc>
        <w:tc>
          <w:tcPr>
            <w:tcW w:w="2520" w:type="dxa"/>
            <w:vAlign w:val="bottom"/>
            <w:tcBorders>
              <w:top w:val="single" w:sz="8" w:color="0000EE"/>
            </w:tcBorders>
            <w:gridSpan w:val="8"/>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Mandatory Recoupment Policy.</w:t>
              </w:r>
            </w:hyperlink>
          </w:p>
        </w:tc>
        <w:tc>
          <w:tcPr>
            <w:tcW w:w="21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12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24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2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2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7"/>
        </w:trPr>
        <w:tc>
          <w:tcPr>
            <w:tcW w:w="12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7"/>
                <w:szCs w:val="17"/>
                <w:color w:val="auto"/>
              </w:rPr>
            </w:pPr>
          </w:p>
        </w:tc>
        <w:tc>
          <w:tcPr>
            <w:tcW w:w="46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7"/>
                <w:szCs w:val="17"/>
                <w:color w:val="auto"/>
              </w:rPr>
            </w:pPr>
          </w:p>
        </w:tc>
        <w:tc>
          <w:tcPr>
            <w:tcW w:w="46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7"/>
                <w:szCs w:val="17"/>
                <w:color w:val="auto"/>
              </w:rPr>
            </w:pPr>
          </w:p>
        </w:tc>
        <w:tc>
          <w:tcPr>
            <w:tcW w:w="46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gridSpan w:val="2"/>
          </w:tcPr>
          <w:p>
            <w:pPr>
              <w:spacing w:after="0" w:line="202" w:lineRule="exact"/>
              <w:rPr>
                <w:sz w:val="20"/>
                <w:szCs w:val="20"/>
                <w:color w:val="auto"/>
              </w:rPr>
            </w:pPr>
            <w:r>
              <w:rPr>
                <w:rFonts w:ascii="Arial" w:cs="Arial" w:eastAsia="Arial" w:hAnsi="Arial"/>
                <w:sz w:val="18"/>
                <w:szCs w:val="18"/>
                <w:color w:val="auto"/>
              </w:rPr>
              <w:t>101.PRE</w:t>
            </w:r>
          </w:p>
        </w:tc>
        <w:tc>
          <w:tcPr>
            <w:tcW w:w="220" w:type="dxa"/>
            <w:vAlign w:val="bottom"/>
          </w:tcPr>
          <w:p>
            <w:pPr>
              <w:spacing w:after="0"/>
              <w:rPr>
                <w:sz w:val="17"/>
                <w:szCs w:val="17"/>
                <w:color w:val="auto"/>
              </w:rPr>
            </w:pPr>
          </w:p>
        </w:tc>
        <w:tc>
          <w:tcPr>
            <w:tcW w:w="4620" w:type="dxa"/>
            <w:vAlign w:val="bottom"/>
            <w:gridSpan w:val="16"/>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00" w:right="20" w:hanging="1496"/>
        <w:spacing w:after="0" w:line="260"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152590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152590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87"/>
        <w:spacing w:after="0"/>
        <w:rPr>
          <w:sz w:val="20"/>
          <w:szCs w:val="20"/>
          <w:color w:val="auto"/>
        </w:rPr>
      </w:pPr>
      <w:r>
        <w:rPr>
          <w:rFonts w:ascii="Arial" w:cs="Arial" w:eastAsia="Arial" w:hAnsi="Arial"/>
          <w:sz w:val="18"/>
          <w:szCs w:val="18"/>
          <w:b w:val="1"/>
          <w:bCs w:val="1"/>
          <w:color w:val="auto"/>
        </w:rPr>
        <w:t>Filed or Furnished Herewith or</w:t>
      </w:r>
    </w:p>
    <w:p>
      <w:pPr>
        <w:spacing w:after="0" w:line="14" w:lineRule="exact"/>
        <w:rPr>
          <w:sz w:val="20"/>
          <w:szCs w:val="20"/>
          <w:color w:val="auto"/>
        </w:rPr>
      </w:pPr>
    </w:p>
    <w:p>
      <w:pPr>
        <w:jc w:val="center"/>
        <w:ind w:left="-87" w:right="80"/>
        <w:spacing w:after="0" w:line="245" w:lineRule="auto"/>
        <w:rPr>
          <w:sz w:val="20"/>
          <w:szCs w:val="20"/>
          <w:color w:val="auto"/>
        </w:rPr>
      </w:pPr>
      <w:r>
        <w:rPr>
          <w:rFonts w:ascii="Arial" w:cs="Arial" w:eastAsia="Arial" w:hAnsi="Arial"/>
          <w:sz w:val="17"/>
          <w:szCs w:val="17"/>
          <w:b w:val="1"/>
          <w:bCs w:val="1"/>
          <w:color w:val="auto"/>
        </w:rPr>
        <w:t>Incorporated by Reference from the Following Documents (Registration or</w:t>
      </w:r>
    </w:p>
    <w:p>
      <w:pPr>
        <w:ind w:left="1248" w:hanging="1248"/>
        <w:spacing w:after="0" w:line="222" w:lineRule="auto"/>
        <w:tabs>
          <w:tab w:leader="none" w:pos="1248" w:val="left"/>
        </w:tabs>
        <w:numPr>
          <w:ilvl w:val="0"/>
          <w:numId w:val="52"/>
        </w:numPr>
        <w:rPr>
          <w:rFonts w:ascii="Arial" w:cs="Arial" w:eastAsia="Arial" w:hAnsi="Arial"/>
          <w:sz w:val="22"/>
          <w:szCs w:val="22"/>
          <w:color w:val="auto"/>
        </w:rPr>
      </w:pPr>
      <w:r>
        <w:rPr>
          <w:rFonts w:ascii="Arial" w:cs="Arial" w:eastAsia="Arial" w:hAnsi="Arial"/>
          <w:sz w:val="18"/>
          <w:szCs w:val="18"/>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1270</wp:posOffset>
            </wp:positionV>
            <wp:extent cx="21685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 w:lineRule="exact"/>
        <w:rPr>
          <w:sz w:val="20"/>
          <w:szCs w:val="20"/>
          <w:color w:val="auto"/>
        </w:rPr>
      </w:pPr>
    </w:p>
    <w:p>
      <w:pPr>
        <w:jc w:val="both"/>
        <w:ind w:left="88"/>
        <w:spacing w:after="0" w:line="241" w:lineRule="auto"/>
        <w:rPr>
          <w:sz w:val="20"/>
          <w:szCs w:val="20"/>
          <w:color w:val="auto"/>
        </w:rPr>
      </w:pPr>
      <w:r>
        <w:rPr>
          <w:rFonts w:ascii="Arial" w:cs="Arial" w:eastAsia="Arial" w:hAnsi="Arial"/>
          <w:sz w:val="18"/>
          <w:szCs w:val="18"/>
          <w:color w:val="auto"/>
        </w:rPr>
        <w:t>Exhibit 10.1 to the Current Report on Form 8-K filed on December 6, 2023 (001-32936)</w:t>
      </w:r>
    </w:p>
    <w:p>
      <w:pPr>
        <w:spacing w:after="0" w:line="2" w:lineRule="exact"/>
        <w:rPr>
          <w:sz w:val="20"/>
          <w:szCs w:val="20"/>
          <w:color w:val="auto"/>
        </w:rPr>
      </w:pPr>
    </w:p>
    <w:p>
      <w:pPr>
        <w:jc w:val="both"/>
        <w:ind w:left="88"/>
        <w:spacing w:after="0" w:line="245" w:lineRule="auto"/>
        <w:rPr>
          <w:sz w:val="20"/>
          <w:szCs w:val="20"/>
          <w:color w:val="auto"/>
        </w:rPr>
      </w:pPr>
      <w:r>
        <w:rPr>
          <w:rFonts w:ascii="Arial" w:cs="Arial" w:eastAsia="Arial" w:hAnsi="Arial"/>
          <w:sz w:val="18"/>
          <w:szCs w:val="18"/>
          <w:color w:val="auto"/>
        </w:rPr>
        <w:t>Exhibit 10.2 to the Current Report on Form 8-K filed on December 6, 2023 (001-32936)</w:t>
      </w:r>
    </w:p>
    <w:p>
      <w:pPr>
        <w:spacing w:after="0" w:line="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14.1 to the 2021 Form 10-K filed on February 24, 2022 (001-32936)</w:t>
      </w:r>
    </w:p>
    <w:p>
      <w:pPr>
        <w:spacing w:after="0" w:line="1" w:lineRule="exact"/>
        <w:rPr>
          <w:sz w:val="20"/>
          <w:szCs w:val="20"/>
          <w:color w:val="auto"/>
        </w:rPr>
      </w:pPr>
    </w:p>
    <w:p>
      <w:pPr>
        <w:jc w:val="both"/>
        <w:ind w:left="88"/>
        <w:spacing w:after="0" w:line="250" w:lineRule="auto"/>
        <w:rPr>
          <w:sz w:val="20"/>
          <w:szCs w:val="20"/>
          <w:color w:val="auto"/>
        </w:rPr>
      </w:pPr>
      <w:r>
        <w:rPr>
          <w:rFonts w:ascii="Arial" w:cs="Arial" w:eastAsia="Arial" w:hAnsi="Arial"/>
          <w:sz w:val="18"/>
          <w:szCs w:val="18"/>
          <w:color w:val="auto"/>
        </w:rPr>
        <w:t>Exhibit 19.1 to the 2024 Form 10-K filed on February 27, 2025 (001-32936)</w:t>
      </w:r>
    </w:p>
    <w:p>
      <w:pPr>
        <w:spacing w:after="0" w:line="1"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8" w:lineRule="exact"/>
        <w:rPr>
          <w:sz w:val="20"/>
          <w:szCs w:val="20"/>
          <w:color w:val="auto"/>
        </w:rPr>
      </w:pPr>
    </w:p>
    <w:p>
      <w:pPr>
        <w:ind w:left="88"/>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jc w:val="both"/>
        <w:ind w:left="88"/>
        <w:spacing w:after="0" w:line="248" w:lineRule="auto"/>
        <w:rPr>
          <w:sz w:val="20"/>
          <w:szCs w:val="20"/>
          <w:color w:val="auto"/>
        </w:rPr>
      </w:pPr>
      <w:r>
        <w:rPr>
          <w:rFonts w:ascii="Arial" w:cs="Arial" w:eastAsia="Arial" w:hAnsi="Arial"/>
          <w:sz w:val="18"/>
          <w:szCs w:val="18"/>
          <w:color w:val="auto"/>
        </w:rPr>
        <w:t>Exhibit 99.1 to the Current Report on Form 8-K filed on September 20, 2023 (001-32936)</w:t>
      </w:r>
    </w:p>
    <w:p>
      <w:pPr>
        <w:spacing w:after="0" w:line="2" w:lineRule="exact"/>
        <w:rPr>
          <w:sz w:val="20"/>
          <w:szCs w:val="20"/>
          <w:color w:val="auto"/>
        </w:rPr>
      </w:pPr>
    </w:p>
    <w:p>
      <w:pPr>
        <w:jc w:val="both"/>
        <w:ind w:left="88"/>
        <w:spacing w:after="0" w:line="242"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7"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88"/>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20" w:space="112"/>
            <w:col w:w="3508"/>
          </w:cols>
          <w:pgMar w:left="1120" w:top="500" w:right="11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HELIX ENERGY SOLUTIONS GROUP, INC.</w:t>
      </w:r>
    </w:p>
    <w:p>
      <w:pPr>
        <w:spacing w:after="0" w:line="19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8890</wp:posOffset>
            </wp:positionV>
            <wp:extent cx="2185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Erik Staffeldt</w:t>
      </w:r>
    </w:p>
    <w:p>
      <w:pPr>
        <w:ind w:left="6200"/>
        <w:spacing w:after="0" w:line="234" w:lineRule="auto"/>
        <w:rPr>
          <w:sz w:val="20"/>
          <w:szCs w:val="20"/>
          <w:color w:val="auto"/>
        </w:rPr>
      </w:pPr>
      <w:r>
        <w:rPr>
          <w:rFonts w:ascii="Arial" w:cs="Arial" w:eastAsia="Arial" w:hAnsi="Arial"/>
          <w:sz w:val="18"/>
          <w:szCs w:val="18"/>
          <w:i w:val="1"/>
          <w:iCs w:val="1"/>
          <w:color w:val="auto"/>
        </w:rPr>
        <w:t>Executive Vice President and</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12"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3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rPr>
              <w:t>Title</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215"/>
        </w:trPr>
        <w:tc>
          <w:tcPr>
            <w:tcW w:w="2480" w:type="dxa"/>
            <w:vAlign w:val="bottom"/>
            <w:tcBorders>
              <w:bottom w:val="single" w:sz="8" w:color="auto"/>
            </w:tcBorders>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4560" w:type="dxa"/>
            <w:vAlign w:val="bottom"/>
            <w:tcBorders>
              <w:bottom w:val="single" w:sz="8" w:color="auto"/>
            </w:tcBorders>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tcPr>
          <w:p>
            <w:pPr>
              <w:spacing w:after="0"/>
              <w:rPr>
                <w:sz w:val="18"/>
                <w:szCs w:val="18"/>
                <w:color w:val="auto"/>
              </w:rPr>
            </w:pPr>
          </w:p>
        </w:tc>
      </w:tr>
      <w:tr>
        <w:trPr>
          <w:trHeight w:val="398"/>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OWEN KRATZ</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9"/>
        </w:trPr>
        <w:tc>
          <w:tcPr>
            <w:tcW w:w="2480" w:type="dxa"/>
            <w:vAlign w:val="bottom"/>
          </w:tcPr>
          <w:p>
            <w:pPr>
              <w:jc w:val="center"/>
              <w:spacing w:after="0"/>
              <w:rPr>
                <w:sz w:val="20"/>
                <w:szCs w:val="20"/>
                <w:color w:val="auto"/>
              </w:rPr>
            </w:pPr>
            <w:r>
              <w:rPr>
                <w:rFonts w:ascii="Arial" w:cs="Arial" w:eastAsia="Arial" w:hAnsi="Arial"/>
                <w:sz w:val="18"/>
                <w:szCs w:val="18"/>
                <w:color w:val="auto"/>
                <w:w w:val="99"/>
              </w:rPr>
              <w:t>Owen Kratz</w:t>
            </w:r>
          </w:p>
        </w:tc>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2"/>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ERIK STAFFELDT</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9"/>
        </w:trPr>
        <w:tc>
          <w:tcPr>
            <w:tcW w:w="2480" w:type="dxa"/>
            <w:vAlign w:val="bottom"/>
          </w:tcPr>
          <w:p>
            <w:pPr>
              <w:jc w:val="center"/>
              <w:spacing w:after="0"/>
              <w:rPr>
                <w:sz w:val="20"/>
                <w:szCs w:val="20"/>
                <w:color w:val="auto"/>
              </w:rPr>
            </w:pPr>
            <w:r>
              <w:rPr>
                <w:rFonts w:ascii="Arial" w:cs="Arial" w:eastAsia="Arial" w:hAnsi="Arial"/>
                <w:sz w:val="18"/>
                <w:szCs w:val="18"/>
                <w:color w:val="auto"/>
                <w:w w:val="97"/>
              </w:rPr>
              <w:t>Erik Staffeldt</w:t>
            </w:r>
          </w:p>
        </w:tc>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0"/>
        </w:trPr>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9"/>
              </w:rPr>
              <w:t>Vice President – Finance and Accounting and Chief</w:t>
            </w: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5"/>
        </w:trPr>
        <w:tc>
          <w:tcPr>
            <w:tcW w:w="24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/s/ BRENT ARRIAGA</w:t>
            </w:r>
          </w:p>
        </w:tc>
        <w:tc>
          <w:tcPr>
            <w:tcW w:w="380" w:type="dxa"/>
            <w:vAlign w:val="bottom"/>
          </w:tcPr>
          <w:p>
            <w:pPr>
              <w:spacing w:after="0"/>
              <w:rPr>
                <w:sz w:val="18"/>
                <w:szCs w:val="18"/>
                <w:color w:val="auto"/>
              </w:rPr>
            </w:pPr>
          </w:p>
        </w:tc>
        <w:tc>
          <w:tcPr>
            <w:tcW w:w="4560" w:type="dxa"/>
            <w:vAlign w:val="bottom"/>
          </w:tcPr>
          <w:p>
            <w:pPr>
              <w:jc w:val="center"/>
              <w:spacing w:after="0" w:line="202" w:lineRule="exact"/>
              <w:rPr>
                <w:sz w:val="20"/>
                <w:szCs w:val="20"/>
                <w:color w:val="auto"/>
              </w:rPr>
            </w:pPr>
            <w:r>
              <w:rPr>
                <w:rFonts w:ascii="Arial" w:cs="Arial" w:eastAsia="Arial" w:hAnsi="Arial"/>
                <w:sz w:val="18"/>
                <w:szCs w:val="18"/>
                <w:color w:val="auto"/>
                <w:w w:val="99"/>
              </w:rPr>
              <w:t>Accounting Officer</w:t>
            </w:r>
          </w:p>
        </w:tc>
        <w:tc>
          <w:tcPr>
            <w:tcW w:w="400" w:type="dxa"/>
            <w:vAlign w:val="bottom"/>
          </w:tcPr>
          <w:p>
            <w:pPr>
              <w:spacing w:after="0"/>
              <w:rPr>
                <w:sz w:val="18"/>
                <w:szCs w:val="18"/>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February 26, 2026</w:t>
            </w:r>
          </w:p>
        </w:tc>
      </w:tr>
      <w:tr>
        <w:trPr>
          <w:trHeight w:val="239"/>
        </w:trPr>
        <w:tc>
          <w:tcPr>
            <w:tcW w:w="2480" w:type="dxa"/>
            <w:vAlign w:val="bottom"/>
          </w:tcPr>
          <w:p>
            <w:pPr>
              <w:jc w:val="center"/>
              <w:spacing w:after="0"/>
              <w:rPr>
                <w:sz w:val="20"/>
                <w:szCs w:val="20"/>
                <w:color w:val="auto"/>
              </w:rPr>
            </w:pPr>
            <w:r>
              <w:rPr>
                <w:rFonts w:ascii="Arial" w:cs="Arial" w:eastAsia="Arial" w:hAnsi="Arial"/>
                <w:sz w:val="18"/>
                <w:szCs w:val="18"/>
                <w:color w:val="auto"/>
                <w:w w:val="99"/>
              </w:rPr>
              <w:t>Brent Arriaga</w:t>
            </w:r>
          </w:p>
        </w:tc>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DIANA GLASSMAN</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9"/>
              </w:rPr>
              <w:t>Diana Glassman</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PAULA HARRIS</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rPr>
              <w:t>Paula Harris</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 MITCH LITTLE</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7"/>
              </w:rPr>
              <w:t>T. Mitch Little</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V. LOVOI</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8"/>
              </w:rPr>
              <w:t>John V. Lovoi</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AMY H. NELSON</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9"/>
              </w:rPr>
              <w:t>Amy H. Nelson</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69"/>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L. TRANSIER</w:t>
            </w:r>
          </w:p>
        </w:tc>
        <w:tc>
          <w:tcPr>
            <w:tcW w:w="3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9"/>
              </w:rPr>
              <w:t>William L. Transier</w:t>
            </w:r>
          </w:p>
        </w:tc>
        <w:tc>
          <w:tcPr>
            <w:tcW w:w="3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61207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40"/>
          </w:cols>
          <w:pgMar w:left="1120" w:top="513" w:right="11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74"/>
        </w:trPr>
        <w:tc>
          <w:tcPr>
            <w:tcW w:w="8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80" w:type="dxa"/>
            <w:vAlign w:val="bottom"/>
            <w:gridSpan w:val="3"/>
          </w:tcPr>
          <w:p>
            <w:pPr>
              <w:ind w:left="2160"/>
              <w:spacing w:after="0"/>
              <w:rPr>
                <w:sz w:val="20"/>
                <w:szCs w:val="20"/>
                <w:color w:val="auto"/>
              </w:rPr>
            </w:pPr>
            <w:r>
              <w:rPr>
                <w:rFonts w:ascii="Arial" w:cs="Arial" w:eastAsia="Arial" w:hAnsi="Arial"/>
                <w:sz w:val="20"/>
                <w:szCs w:val="20"/>
                <w:b w:val="1"/>
                <w:bCs w:val="1"/>
                <w:color w:val="auto"/>
                <w:w w:val="97"/>
              </w:rPr>
              <w:t>EXHIBIT 21.1</w:t>
            </w:r>
          </w:p>
        </w:tc>
        <w:tc>
          <w:tcPr>
            <w:tcW w:w="0" w:type="dxa"/>
            <w:vAlign w:val="bottom"/>
          </w:tcPr>
          <w:p>
            <w:pPr>
              <w:spacing w:after="0"/>
              <w:rPr>
                <w:sz w:val="1"/>
                <w:szCs w:val="1"/>
                <w:color w:val="auto"/>
              </w:rPr>
            </w:pPr>
          </w:p>
        </w:tc>
      </w:tr>
      <w:tr>
        <w:trPr>
          <w:trHeight w:val="398"/>
        </w:trPr>
        <w:tc>
          <w:tcPr>
            <w:tcW w:w="5400" w:type="dxa"/>
            <w:vAlign w:val="bottom"/>
            <w:gridSpan w:val="3"/>
          </w:tcPr>
          <w:p>
            <w:pPr>
              <w:ind w:left="820"/>
              <w:spacing w:after="0"/>
              <w:rPr>
                <w:sz w:val="20"/>
                <w:szCs w:val="20"/>
                <w:color w:val="auto"/>
              </w:rPr>
            </w:pPr>
            <w:r>
              <w:rPr>
                <w:rFonts w:ascii="Arial" w:cs="Arial" w:eastAsia="Arial" w:hAnsi="Arial"/>
                <w:sz w:val="20"/>
                <w:szCs w:val="20"/>
                <w:b w:val="1"/>
                <w:bCs w:val="1"/>
                <w:color w:val="auto"/>
              </w:rPr>
              <w:t>Name of Subsidiary</w:t>
            </w:r>
          </w:p>
        </w:tc>
        <w:tc>
          <w:tcPr>
            <w:tcW w:w="240" w:type="dxa"/>
            <w:vAlign w:val="bottom"/>
          </w:tcPr>
          <w:p>
            <w:pPr>
              <w:spacing w:after="0"/>
              <w:rPr>
                <w:sz w:val="24"/>
                <w:szCs w:val="24"/>
                <w:color w:val="auto"/>
              </w:rPr>
            </w:pPr>
          </w:p>
        </w:tc>
        <w:tc>
          <w:tcPr>
            <w:tcW w:w="3380" w:type="dxa"/>
            <w:vAlign w:val="bottom"/>
            <w:gridSpan w:val="3"/>
          </w:tcPr>
          <w:p>
            <w:pPr>
              <w:jc w:val="center"/>
              <w:ind w:right="980"/>
              <w:spacing w:after="0"/>
              <w:rPr>
                <w:sz w:val="20"/>
                <w:szCs w:val="20"/>
                <w:color w:val="auto"/>
              </w:rPr>
            </w:pPr>
            <w:r>
              <w:rPr>
                <w:rFonts w:ascii="Arial" w:cs="Arial" w:eastAsia="Arial" w:hAnsi="Arial"/>
                <w:sz w:val="20"/>
                <w:szCs w:val="20"/>
                <w:b w:val="1"/>
                <w:bCs w:val="1"/>
                <w:color w:val="auto"/>
                <w:w w:val="99"/>
              </w:rPr>
              <w:t>Jurisdiction of Formation</w:t>
            </w:r>
          </w:p>
        </w:tc>
        <w:tc>
          <w:tcPr>
            <w:tcW w:w="0" w:type="dxa"/>
            <w:vAlign w:val="bottom"/>
          </w:tcPr>
          <w:p>
            <w:pPr>
              <w:spacing w:after="0"/>
              <w:rPr>
                <w:sz w:val="1"/>
                <w:szCs w:val="1"/>
                <w:color w:val="auto"/>
              </w:rPr>
            </w:pPr>
          </w:p>
        </w:tc>
      </w:tr>
      <w:tr>
        <w:trPr>
          <w:trHeight w:val="34"/>
        </w:trPr>
        <w:tc>
          <w:tcPr>
            <w:tcW w:w="820" w:type="dxa"/>
            <w:vAlign w:val="bottom"/>
            <w:vMerge w:val="restart"/>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vMerge w:val="continue"/>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AES-EOT Equipment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Energy Services,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Group of Louisiana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Industry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LB Dallas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LB Miami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Liftboats,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Maritime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 Offshore,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Special Ventures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Alliance-Triton GOM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Alliance Vessel Leasing,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Cal Dive I-Title XI,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Deepwater Abandonment Alternatives,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Dickson Road Investments,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Energy Resource Technology (U.K.)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ERT Camelot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Explorer DSV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Heavy Lift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Hedron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Alliance Decom,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do Brasil Serviços de Petróleo Ltda.</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Brazil</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Energy Solutions (U.K.)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International Group Holdings (U.K.)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Crewing Services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Crewing Services PTE. Ltd.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rPr>
              <w:t>Singapore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Energy Services (Australia) Pty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Australia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Holdings Ltd.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International Holdings S.à r.l.</w:t>
            </w:r>
          </w:p>
        </w:tc>
        <w:tc>
          <w:tcPr>
            <w:tcW w:w="2880" w:type="dxa"/>
            <w:vAlign w:val="bottom"/>
            <w:gridSpan w:val="3"/>
            <w:shd w:val="clear" w:color="auto" w:fill="CCEEFF"/>
          </w:tcPr>
          <w:p>
            <w:pPr>
              <w:jc w:val="center"/>
              <w:ind w:right="20"/>
              <w:spacing w:after="0"/>
              <w:rPr>
                <w:sz w:val="20"/>
                <w:szCs w:val="20"/>
                <w:color w:val="auto"/>
              </w:rPr>
            </w:pPr>
            <w:r>
              <w:rPr>
                <w:rFonts w:ascii="Arial" w:cs="Arial" w:eastAsia="Arial" w:hAnsi="Arial"/>
                <w:sz w:val="20"/>
                <w:szCs w:val="20"/>
                <w:color w:val="auto"/>
                <w:w w:val="98"/>
              </w:rPr>
              <w:t>Grand Duchy of Luxembourg</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International,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Ltd.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99"/>
              </w:rPr>
              <w:t>Cayman Islands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Offshore Services A.S.</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rPr>
              <w:t>Norway</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Offshore Services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Oil &amp; Gas (U.K.)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Property Corp.</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Q5000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Robotics Solutions,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Robotics Solutions International Corp.</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Robotics Solutions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Subsea Construction, Inc.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Helix Well Ops Inc.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5"/>
              </w:rPr>
              <w:t>Texas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Helix Well Ops (U.K.) Limited</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Independence Hub, LLC (20% owned)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Kommandor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9"/>
              </w:rPr>
              <w:t>Delaware</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Offshore Well Services, S. de R.L. de C.V.</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rPr>
              <w:t>Mexico</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Patriot DSV Holdings,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Subsea Technologies Group Limited</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7"/>
              </w:rPr>
              <w:t>Scotland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Triton Diving Services,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Whitney Clare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20"/>
                <w:szCs w:val="20"/>
                <w:color w:val="auto"/>
              </w:rPr>
              <w:t>Whitney Liftboats, LLC</w:t>
            </w:r>
          </w:p>
        </w:tc>
        <w:tc>
          <w:tcPr>
            <w:tcW w:w="240" w:type="dxa"/>
            <w:vAlign w:val="bottom"/>
          </w:tcPr>
          <w:p>
            <w:pPr>
              <w:spacing w:after="0"/>
              <w:rPr>
                <w:sz w:val="19"/>
                <w:szCs w:val="19"/>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Whitney Maritime Holdings, LLC</w:t>
            </w:r>
          </w:p>
        </w:tc>
        <w:tc>
          <w:tcPr>
            <w:tcW w:w="24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98"/>
              </w:rPr>
              <w:t>Louisiana</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3"/>
        </w:trPr>
        <w:tc>
          <w:tcPr>
            <w:tcW w:w="8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79"/>
          </w:cols>
          <w:pgMar w:left="980" w:top="115"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We consent to the incorporation by reference in the registration statements (No. 333-291109) on Form S-3ASR and (Nos. 333-280147, 333-262174, 333-183532, 333-126248 and 333-58817) on Form S-8 of our reports dated February 26, 2026, with respect to the consolidated financial statements of Helix Energy Solutions Group, Inc. and subsidiaries and the effectiveness of internal control over financial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0" w:name="page91"/>
    <w:bookmarkEnd w:id="90"/>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In connection with the Annual Report of Helix Energy Solutions Group, Inc. (“Helix”) on Form 10-K for the year ended December 31, 2025,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26, 2026</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lowerRoman"/>
      <w:start w:val="2"/>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lowerRoman"/>
      <w:start w:val="1"/>
    </w:lvl>
    <w:lvl w:ilvl="1">
      <w:lvlJc w:val="left"/>
      <w:lvlText w:val="(%2)"/>
      <w:numFmt w:val="lowerLetter"/>
      <w:start w:val="1"/>
    </w:lvl>
  </w:abstractNum>
  <w:abstractNum w:abstractNumId="40">
    <w:nsid w:val="7644A45C"/>
    <w:multiLevelType w:val="hybridMultilevel"/>
    <w:lvl w:ilvl="0">
      <w:lvlJc w:val="left"/>
      <w:lvlText w:val="(%1)"/>
      <w:numFmt w:val="lowerRoman"/>
      <w:start w:val="1"/>
    </w:lvl>
    <w:lvl w:ilvl="1">
      <w:lvlJc w:val="left"/>
      <w:lvlText w:val="(%2)"/>
      <w:numFmt w:val="lowerLetter"/>
      <w:start w:val="2"/>
    </w:lvl>
  </w:abstractNum>
  <w:abstractNum w:abstractNumId="41">
    <w:nsid w:val="32FFF902"/>
    <w:multiLevelType w:val="hybridMultilevel"/>
    <w:lvl w:ilvl="0">
      <w:lvlJc w:val="left"/>
      <w:lvlText w:val="(%1)"/>
      <w:numFmt w:val="lowerLetter"/>
      <w:start w:val="3"/>
    </w:lvl>
  </w:abstractNum>
  <w:abstractNum w:abstractNumId="42">
    <w:nsid w:val="684A481A"/>
    <w:multiLevelType w:val="hybridMultilevel"/>
    <w:lvl w:ilvl="0">
      <w:lvlJc w:val="left"/>
      <w:lvlText w:val="(%1)"/>
      <w:numFmt w:val="lowerLetter"/>
      <w:start w:val="2"/>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lvl w:ilvl="1">
      <w:lvlJc w:val="left"/>
      <w:lvlText w:val="%2"/>
      <w:numFmt w:val="decimal"/>
      <w:start w:val="104"/>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00" Type="http://schemas.openxmlformats.org/officeDocument/2006/relationships/hyperlink" Target="https://www.sec.gov/Archives/edgar/data/866829/000095012906002103/h33539exv3w1.htm" TargetMode="External"/><Relationship Id="rId101" Type="http://schemas.openxmlformats.org/officeDocument/2006/relationships/hyperlink" Target="https://www.sec.gov/Archives/edgar/data/866829/000095012906008744/h39963exv3w1.htm" TargetMode="External"/><Relationship Id="rId103" Type="http://schemas.openxmlformats.org/officeDocument/2006/relationships/hyperlink" Target="https://www.sec.gov/Archives/edgar/data/866829/000155837025001617/hlx-20241231xex4d1.htm" TargetMode="External"/><Relationship Id="rId104" Type="http://schemas.openxmlformats.org/officeDocument/2006/relationships/hyperlink" Target="https://www.sec.gov/Archives/edgar/data/866829/000095012906006959/h37377exv4w7.htm" TargetMode="External"/><Relationship Id="rId105" Type="http://schemas.openxmlformats.org/officeDocument/2006/relationships/hyperlink" Target="https://www.sec.gov/Archives/edgar/data/866829/000095012902001610/h95390ex4-4.txt" TargetMode="External"/><Relationship Id="rId106" Type="http://schemas.openxmlformats.org/officeDocument/2006/relationships/hyperlink" Target="https://www.sec.gov/Archives/edgar/data/866829/000095012903001935/h03360aexv4w9.txt" TargetMode="External"/><Relationship Id="rId107" Type="http://schemas.openxmlformats.org/officeDocument/2006/relationships/hyperlink" Target="https://www.sec.gov/Archives/edgar/data/866829/000095012903001048/h03597exv4w4.txt" TargetMode="External"/><Relationship Id="rId108" Type="http://schemas.openxmlformats.org/officeDocument/2006/relationships/hyperlink" Target="https://www.sec.gov/Archives/edgar/data/866829/000095012905002450/h23357exv4w12.txt" TargetMode="External"/><Relationship Id="rId109" Type="http://schemas.openxmlformats.org/officeDocument/2006/relationships/hyperlink" Target="https://www.sec.gov/Archives/edgar/data/866829/000095012905002450/h23357exv4w13.txt" TargetMode="External"/><Relationship Id="rId110" Type="http://schemas.openxmlformats.org/officeDocument/2006/relationships/hyperlink" Target="https://www.sec.gov/Archives/edgar/data/866829/000095012905009696/h29235exv4w1.htm" TargetMode="External"/><Relationship Id="rId111" Type="http://schemas.openxmlformats.org/officeDocument/2006/relationships/hyperlink" Target="https://www.sec.gov/Archives/edgar/data/866829/000095012905009696/h29235exv4w2.htm" TargetMode="External"/><Relationship Id="rId112" Type="http://schemas.openxmlformats.org/officeDocument/2006/relationships/hyperlink" Target="https://www.sec.gov/Archives/edgar/data/866829/000095012905009696/h29235exv4w3.htm" TargetMode="External"/><Relationship Id="rId113" Type="http://schemas.openxmlformats.org/officeDocument/2006/relationships/hyperlink" Target="https://www.sec.gov/Archives/edgar/data/866829/000095012905009696/h29235exv4w4.htm" TargetMode="External"/><Relationship Id="rId114" Type="http://schemas.openxmlformats.org/officeDocument/2006/relationships/hyperlink" Target="https://www.sec.gov/Archives/edgar/data/866829/000095012905009696/h29235exv4w5.htm" TargetMode="External"/><Relationship Id="rId115" Type="http://schemas.openxmlformats.org/officeDocument/2006/relationships/hyperlink" Target="https://www.sec.gov/Archives/edgar/data/866829/000095012905009696/h29235exv4w7.htm" TargetMode="External"/><Relationship Id="rId116" Type="http://schemas.openxmlformats.org/officeDocument/2006/relationships/hyperlink" Target="https://www.sec.gov/Archives/edgar/data/866829/000119312516755335/d272655dex41.htm" TargetMode="External"/><Relationship Id="rId117" Type="http://schemas.openxmlformats.org/officeDocument/2006/relationships/hyperlink" Target="https://www.sec.gov/Archives/edgar/data/866829/000119312516755335/d272655dex42.htm" TargetMode="External"/><Relationship Id="rId120" Type="http://schemas.openxmlformats.org/officeDocument/2006/relationships/hyperlink" Target="https://www.sec.gov/Archives/edgar/data/866829/000119312518090710/d554710dex42.htm" TargetMode="External"/><Relationship Id="rId121" Type="http://schemas.openxmlformats.org/officeDocument/2006/relationships/hyperlink" Target="https://www.sec.gov/Archives/edgar/data/866829/000114036120018491/nt10013759x4_ex4-1.htm" TargetMode="External"/><Relationship Id="rId122" Type="http://schemas.openxmlformats.org/officeDocument/2006/relationships/hyperlink" Target="https://www.sec.gov/Archives/edgar/data/866829/000114036120018491/nt10013759x4_ex4-2.htm" TargetMode="External"/><Relationship Id="rId123" Type="http://schemas.openxmlformats.org/officeDocument/2006/relationships/hyperlink" Target="https://www.sec.gov/Archives/edgar/data/866829/000086682921000019/hlx-20210930ex4106f8dfd.htm" TargetMode="External"/><Relationship Id="rId124" Type="http://schemas.openxmlformats.org/officeDocument/2006/relationships/hyperlink" Target="https://www.sec.gov/Archives/edgar/data/866829/000086682922000014/hlx-20220701xex4d1.htm" TargetMode="External"/><Relationship Id="rId125" Type="http://schemas.openxmlformats.org/officeDocument/2006/relationships/hyperlink" Target="https://www.sec.gov/Archives/edgar/data/866829/000086682923000010/hlx-20221231xex4d32.htm" TargetMode="External"/><Relationship Id="rId126" Type="http://schemas.openxmlformats.org/officeDocument/2006/relationships/hyperlink" Target="https://www.sec.gov/Archives/edgar/data/866829/000086682923000022/hlx-20230623xex4d1.htm" TargetMode="External"/><Relationship Id="rId129" Type="http://schemas.openxmlformats.org/officeDocument/2006/relationships/hyperlink" Target="https://www.sec.gov/Archives/edgar/data/866829/000114036123053362/ef20014749_ex4-1.htm" TargetMode="External"/><Relationship Id="rId130" Type="http://schemas.openxmlformats.org/officeDocument/2006/relationships/hyperlink" Target="https://www.sec.gov/Archives/edgar/data/866829/000086682924000030/hlx-20240802xex4d1.htm" TargetMode="External"/><Relationship Id="rId131" Type="http://schemas.openxmlformats.org/officeDocument/2006/relationships/hyperlink" Target="https://www.sec.gov/Archives/edgar/data/866829/000114036123055775/ef20015750_ex4-1.htm" TargetMode="External"/><Relationship Id="rId132" Type="http://schemas.openxmlformats.org/officeDocument/2006/relationships/hyperlink" Target="https://www.sec.gov/Archives/edgar/data/866829/000136231009000096/c79162exv10w1.htm" TargetMode="External"/><Relationship Id="rId133" Type="http://schemas.openxmlformats.org/officeDocument/2006/relationships/hyperlink" Target="https://www.sec.gov/Archives/edgar/data/866829/000136231009000096/c79162exv10w2.htm" TargetMode="External"/><Relationship Id="rId134" Type="http://schemas.openxmlformats.org/officeDocument/2006/relationships/hyperlink" Target="https://www.sec.gov/ix?doc=/Archives/edgar/data/866829/000114036124017449/ny20020867x1_def14a.htm" TargetMode="External"/><Relationship Id="rId135" Type="http://schemas.openxmlformats.org/officeDocument/2006/relationships/hyperlink" Target="https://www.sec.gov/Archives/edgar/data/866829/000119312511342304/d271907dex103.htm" TargetMode="External"/><Relationship Id="rId136" Type="http://schemas.openxmlformats.org/officeDocument/2006/relationships/hyperlink" Target="https://www.sec.gov/Archives/edgar/data/866829/000086682920000039/hlx12112020-ex101.htm" TargetMode="External"/><Relationship Id="rId137" Type="http://schemas.openxmlformats.org/officeDocument/2006/relationships/hyperlink" Target="https://www.sec.gov/Archives/edgar/data/866829/000086682920000041/hlx12162020-ex101.htm" TargetMode="External"/><Relationship Id="rId138" Type="http://schemas.openxmlformats.org/officeDocument/2006/relationships/hyperlink" Target="https://www.sec.gov/Archives/edgar/data/866829/000119312519095157/d672475ddef14a.htm" TargetMode="External"/><Relationship Id="rId139" Type="http://schemas.openxmlformats.org/officeDocument/2006/relationships/hyperlink" Target="https://www.sec.gov/Archives/edgar/data/866829/0000890566-99-000405.txt" TargetMode="External"/><Relationship Id="rId140" Type="http://schemas.openxmlformats.org/officeDocument/2006/relationships/hyperlink" Target="https://www.sec.gov/Archives/edgar/data/866829/000136231008007502/c77527exv10w1.htm" TargetMode="External"/><Relationship Id="rId143" Type="http://schemas.openxmlformats.org/officeDocument/2006/relationships/hyperlink" Target="https://www.sec.gov/Archives/edgar/data/866829/000086682920000021/hlx05222020-ex101.htm" TargetMode="External"/><Relationship Id="rId144" Type="http://schemas.openxmlformats.org/officeDocument/2006/relationships/hyperlink" Target="https://www.sec.gov/Archives/edgar/data/866829/000086682915000027/hlx05112015-ex101.htm" TargetMode="External"/><Relationship Id="rId145" Type="http://schemas.openxmlformats.org/officeDocument/2006/relationships/hyperlink" Target="https://www.sec.gov/Archives/edgar/data/866829/000086682915000027/hlx05112015-ex102.htm" TargetMode="External"/><Relationship Id="rId146" Type="http://schemas.openxmlformats.org/officeDocument/2006/relationships/hyperlink" Target="https://www.sec.gov/Archives/edgar/data/866829/000086682920000021/hlx05222020-ex102.htm" TargetMode="External"/><Relationship Id="rId147" Type="http://schemas.openxmlformats.org/officeDocument/2006/relationships/hyperlink" Target="https://www.sec.gov/Archives/edgar/data/866829/000086682917000017/hlx06052017-ex101.htm" TargetMode="External"/><Relationship Id="rId148" Type="http://schemas.openxmlformats.org/officeDocument/2006/relationships/hyperlink" Target="https://www.sec.gov/Archives/edgar/data/866829/000086682920000021/hlx05222020-ex103.htm" TargetMode="External"/><Relationship Id="rId149" Type="http://schemas.openxmlformats.org/officeDocument/2006/relationships/hyperlink" Target="https://www.sec.gov/Archives/edgar/data/866829/000086682919000026/hlx06302019-ex102.htm" TargetMode="External"/><Relationship Id="rId150" Type="http://schemas.openxmlformats.org/officeDocument/2006/relationships/hyperlink" Target="https://www.sec.gov/Archives/edgar/data/866829/000086682920000021/hlx05222020-ex104.htm" TargetMode="External"/><Relationship Id="rId151" Type="http://schemas.openxmlformats.org/officeDocument/2006/relationships/hyperlink" Target="https://www.sec.gov/Archives/edgar/data/866829/000119312517003158/d268735dex11.htm" TargetMode="External"/><Relationship Id="rId152" Type="http://schemas.openxmlformats.org/officeDocument/2006/relationships/hyperlink" Target="https://www.sec.gov/Archives/edgar/data/866829/000119312518087878/d537740dex11.htm" TargetMode="External"/><Relationship Id="rId153" Type="http://schemas.openxmlformats.org/officeDocument/2006/relationships/hyperlink" Target="https://www.sec.gov/Archives/edgar/data/866829/000114036120018491/nt10013759x4_ex1-1.htm" TargetMode="External"/><Relationship Id="rId154" Type="http://schemas.openxmlformats.org/officeDocument/2006/relationships/hyperlink" Target="https://www.sec.gov/Archives/edgar/data/866829/000086682915000004/exh10-1.htm" TargetMode="External"/><Relationship Id="rId155" Type="http://schemas.openxmlformats.org/officeDocument/2006/relationships/hyperlink" Target="https://www.sec.gov/Archives/edgar/data/866829/000086682925000003/hlx-20250221xex10d1.htm" TargetMode="External"/><Relationship Id="rId156" Type="http://schemas.openxmlformats.org/officeDocument/2006/relationships/hyperlink" Target="https://www.sec.gov/Archives/edgar/data/866829/000086682922000014/hlx-20220701xex2d1.htm" TargetMode="External"/><Relationship Id="rId157" Type="http://schemas.openxmlformats.org/officeDocument/2006/relationships/hyperlink" Target="https://www.sec.gov/Archives/edgar/data/866829/000114036123053775/ef20014751_ex10-1.htm" TargetMode="External"/><Relationship Id="rId160" Type="http://schemas.openxmlformats.org/officeDocument/2006/relationships/hyperlink" Target="https://www.sec.gov/Archives/edgar/data/866829/000114036123056454/ef20016054_ex10-1.htm" TargetMode="External"/><Relationship Id="rId161" Type="http://schemas.openxmlformats.org/officeDocument/2006/relationships/hyperlink" Target="https://www.sec.gov/Archives/edgar/data/866829/000114036123056454/ef20016054_ex10-2.htm" TargetMode="External"/><Relationship Id="rId162" Type="http://schemas.openxmlformats.org/officeDocument/2006/relationships/hyperlink" Target="https://www.sec.gov/Archives/edgar/data/866829/000086682922000005/hlx-20211231ex141c5f0d6.htm" TargetMode="External"/><Relationship Id="rId163" Type="http://schemas.openxmlformats.org/officeDocument/2006/relationships/hyperlink" Target="https://www.sec.gov/Archives/edgar/data/866829/000155837025001617/hlx-20241231xex19d1.htm" TargetMode="External"/><Relationship Id="rId164" Type="http://schemas.openxmlformats.org/officeDocument/2006/relationships/hyperlink" Target="https://www.sec.gov/Archives/edgar/data/866829/000086682923000032/hlx-2023092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2026-02-26T06:30:44Z</dcterms:created>
  <dcterms:modified xsi:type="dcterms:W3CDTF">2026-02-26T06:30:44Z</dcterms:modified>
</cp:coreProperties>
</file>