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360"/>
        <w:ind w:left="0" w:right="0" w:hanging="0"/>
        <w:jc w:val="left"/>
        <w:rPr/>
      </w:pPr>
      <w:hyperlink w:anchor="TOC">
        <w:bookmarkStart w:id="0" w:name="hlx-20240630x10q.htm"/>
        <w:bookmarkStart w:id="1" w:name="kshlx2024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left"/>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Arial;Helvetica;sans-serif" w:hAnsi="Arial;Helvetica;sans-serif"/>
          <w:b/>
          <w:sz w:val="22"/>
        </w:rPr>
      </w:pPr>
      <w:bookmarkStart w:id="2" w:name="_1d021b08_2c21_45f2_b8e1_becb4aa46d3f"/>
      <w:bookmarkEnd w:id="2"/>
      <w:r>
        <w:rPr>
          <w:rFonts w:ascii="Arial;Helvetica;sans-serif" w:hAnsi="Arial;Helvetica;sans-serif"/>
          <w:b/>
          <w:sz w:val="22"/>
        </w:rPr>
        <w:t>UNITED STATES</w:t>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SECURITIES AND EXCHANGE COMMISSION</w:t>
      </w:r>
    </w:p>
    <w:p>
      <w:pPr>
        <w:pStyle w:val="TextBody"/>
        <w:bidi w:val="0"/>
        <w:spacing w:before="0" w:after="120"/>
        <w:ind w:left="0" w:right="0" w:hanging="0"/>
        <w:jc w:val="center"/>
        <w:rPr>
          <w:rFonts w:ascii="Arial;Helvetica;sans-serif" w:hAnsi="Arial;Helvetica;sans-serif"/>
          <w:b/>
          <w:sz w:val="22"/>
        </w:rPr>
      </w:pPr>
      <w:r>
        <w:rPr>
          <w:rFonts w:ascii="Arial;Helvetica;sans-serif" w:hAnsi="Arial;Helvetica;sans-serif"/>
          <w:b/>
          <w:sz w:val="22"/>
        </w:rPr>
        <w:t>WASHINGTON, D.C. 20549</w:t>
      </w:r>
    </w:p>
    <w:p>
      <w:pPr>
        <w:pStyle w:val="TextBody"/>
        <w:bidi w:val="0"/>
        <w:spacing w:before="0" w:after="0"/>
        <w:ind w:left="0" w:right="0" w:hanging="0"/>
        <w:jc w:val="center"/>
        <w:rPr>
          <w:rFonts w:ascii="Arial;Helvetica;sans-serif" w:hAnsi="Arial;Helvetica;sans-serif"/>
          <w:sz w:val="28"/>
        </w:rPr>
      </w:pPr>
      <w:r>
        <w:rPr>
          <w:rFonts w:ascii="Arial;Helvetica;sans-serif" w:hAnsi="Arial;Helvetica;sans-serif"/>
          <w:b/>
          <w:sz w:val="28"/>
        </w:rPr>
        <w:t>Form 10-Q</w:t>
      </w:r>
      <w:r>
        <w:rPr>
          <w:rFonts w:ascii="Arial;Helvetica;sans-serif" w:hAnsi="Arial;Helvetica;sans-serif"/>
          <w:sz w:val="28"/>
        </w:rPr>
        <w:t xml:space="preserve"> </w:t>
      </w:r>
    </w:p>
    <w:p>
      <w:pPr>
        <w:pStyle w:val="TextBody"/>
        <w:bidi w:val="0"/>
        <w:spacing w:before="0" w:after="24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0"/>
              <w:jc w:val="left"/>
              <w:rPr/>
            </w:pPr>
            <w:r>
              <w:rPr/>
              <w:t>​</w:t>
            </w:r>
          </w:p>
        </w:tc>
      </w:tr>
      <w:tr>
        <w:trPr/>
        <w:tc>
          <w:tcPr>
            <w:tcW w:w="10205" w:type="dxa"/>
            <w:tcBorders/>
            <w:vAlign w:val="center"/>
          </w:tcPr>
          <w:p>
            <w:pPr>
              <w:pStyle w:val="TableContents"/>
              <w:bidi w:val="0"/>
              <w:spacing w:before="0" w:after="0"/>
              <w:ind w:left="0" w:right="0" w:hanging="0"/>
              <w:jc w:val="center"/>
              <w:rPr/>
            </w:pPr>
            <w:r>
              <w:rPr/>
              <w:t>☑    </w:t>
            </w:r>
            <w:r>
              <w:rPr>
                <w:rFonts w:ascii="Arial;Helvetica;sans-serif" w:hAnsi="Arial;Helvetica;sans-serif"/>
                <w:b/>
                <w:sz w:val="20"/>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60"/>
        <w:ind w:left="0" w:right="0" w:hanging="0"/>
        <w:jc w:val="center"/>
        <w:rPr>
          <w:rFonts w:ascii="Arial;Helvetica;sans-serif" w:hAnsi="Arial;Helvetica;sans-serif"/>
          <w:b/>
          <w:sz w:val="20"/>
        </w:rPr>
      </w:pPr>
      <w:r>
        <w:rPr>
          <w:rFonts w:ascii="Arial;Helvetica;sans-serif" w:hAnsi="Arial;Helvetica;sans-serif"/>
          <w:b/>
          <w:sz w:val="20"/>
        </w:rPr>
        <w:t>For the quarterly period ended June 30, 2024</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or</w:t>
      </w:r>
    </w:p>
    <w:p>
      <w:pPr>
        <w:pStyle w:val="TextBody"/>
        <w:bidi w:val="0"/>
        <w:spacing w:before="0" w:after="24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0"/>
              <w:jc w:val="left"/>
              <w:rPr/>
            </w:pPr>
            <w:r>
              <w:rPr/>
              <w:t>​</w:t>
            </w:r>
          </w:p>
        </w:tc>
      </w:tr>
      <w:tr>
        <w:trPr/>
        <w:tc>
          <w:tcPr>
            <w:tcW w:w="10205" w:type="dxa"/>
            <w:tcBorders/>
            <w:vAlign w:val="center"/>
          </w:tcPr>
          <w:p>
            <w:pPr>
              <w:pStyle w:val="TableContents"/>
              <w:bidi w:val="0"/>
              <w:spacing w:before="0" w:after="0"/>
              <w:ind w:left="0" w:right="0" w:hanging="0"/>
              <w:jc w:val="center"/>
              <w:rPr/>
            </w:pPr>
            <w:r>
              <w:rPr/>
              <w:t>☐    </w:t>
            </w:r>
            <w:r>
              <w:rPr>
                <w:rFonts w:ascii="Arial;Helvetica;sans-serif" w:hAnsi="Arial;Helvetica;sans-serif"/>
                <w:b/>
                <w:sz w:val="20"/>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100"/>
        <w:ind w:left="0" w:right="0" w:hanging="0"/>
        <w:jc w:val="center"/>
        <w:rPr>
          <w:rFonts w:ascii="Arial;Helvetica;sans-serif" w:hAnsi="Arial;Helvetica;sans-serif"/>
          <w:b/>
          <w:sz w:val="20"/>
        </w:rPr>
      </w:pPr>
      <w:r>
        <w:rPr>
          <w:rFonts w:ascii="Arial;Helvetica;sans-serif" w:hAnsi="Arial;Helvetica;sans-serif"/>
          <w:b/>
          <w:sz w:val="20"/>
        </w:rPr>
        <w:t>For the transition period from__________ to__________</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Commission File Number: 001-32936</w:t>
      </w:r>
    </w:p>
    <w:p>
      <w:pPr>
        <w:pStyle w:val="TextBody"/>
        <w:bidi w:val="0"/>
        <w:spacing w:before="0" w:after="240"/>
        <w:ind w:left="0" w:right="0" w:hanging="0"/>
        <w:jc w:val="center"/>
        <w:rPr/>
      </w:pPr>
      <w:r>
        <w:rPr/>
        <w:t>​</w:t>
      </w:r>
    </w:p>
    <w:p>
      <w:pPr>
        <w:pStyle w:val="TextBody"/>
        <w:bidi w:val="0"/>
        <w:spacing w:before="0" w:after="0"/>
        <w:ind w:left="0" w:right="0" w:hanging="0"/>
        <w:jc w:val="center"/>
        <w:rPr/>
      </w:pPr>
      <w:r>
        <w:rPr/>
        <w:drawing>
          <wp:inline distT="0" distB="0" distL="0" distR="0">
            <wp:extent cx="1771650" cy="666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71650" cy="666750"/>
                    </a:xfrm>
                    <a:prstGeom prst="rect">
                      <a:avLst/>
                    </a:prstGeom>
                  </pic:spPr>
                </pic:pic>
              </a:graphicData>
            </a:graphic>
          </wp:inline>
        </w:drawing>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Arial;Helvetica;sans-serif" w:hAnsi="Arial;Helvetica;sans-serif"/>
          <w:b/>
          <w:sz w:val="28"/>
        </w:rPr>
      </w:pPr>
      <w:r>
        <w:rPr>
          <w:rFonts w:ascii="Arial;Helvetica;sans-serif" w:hAnsi="Arial;Helvetica;sans-serif"/>
          <w:b/>
          <w:sz w:val="28"/>
        </w:rPr>
        <w:t>HELIX ENERGY SOLUTIONS GROUP, INC.</w:t>
      </w:r>
    </w:p>
    <w:p>
      <w:pPr>
        <w:pStyle w:val="TextBody"/>
        <w:bidi w:val="0"/>
        <w:spacing w:before="0" w:after="0"/>
        <w:ind w:left="0" w:right="0" w:hanging="0"/>
        <w:jc w:val="center"/>
        <w:rPr>
          <w:rFonts w:ascii="Arial;Helvetica;sans-serif" w:hAnsi="Arial;Helvetica;sans-serif"/>
          <w:i/>
          <w:sz w:val="18"/>
        </w:rPr>
      </w:pPr>
      <w:r>
        <w:rPr>
          <w:rFonts w:ascii="Arial;Helvetica;sans-serif" w:hAnsi="Arial;Helvetica;sans-serif"/>
          <w:i/>
          <w:sz w:val="18"/>
        </w:rPr>
        <w:t>(Exact name of registrant as specified in its charter)</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GOL1dMTa10S0iRh-IvkrcA_6_2"/>
      <w:bookmarkStart w:id="4" w:name="Tc_cM7Xgy-ki0yxmQX--TGCpQ_6_0"/>
      <w:bookmarkStart w:id="5" w:name="Tc_bHuQcstRSUmSoxG8sqLlEQ_5_0"/>
      <w:bookmarkStart w:id="6" w:name="Tc_8hDAhYbEE0igXOcUwSpZlg_2_2"/>
      <w:bookmarkStart w:id="7" w:name="Tc_BvGLQeBtSkyG6MoMTiCwig_2_0"/>
      <w:bookmarkStart w:id="8" w:name="_12ffd22c_91e2_47cb_bf82_8d71460e400b"/>
      <w:bookmarkStart w:id="9" w:name="Tc_GOL1dMTa10S0iRh-IvkrcA_6_2"/>
      <w:bookmarkStart w:id="10" w:name="Tc_cM7Xgy-ki0yxmQX--TGCpQ_6_0"/>
      <w:bookmarkStart w:id="11" w:name="Tc_bHuQcstRSUmSoxG8sqLlEQ_5_0"/>
      <w:bookmarkStart w:id="12" w:name="Tc_8hDAhYbEE0igXOcUwSpZlg_2_2"/>
      <w:bookmarkStart w:id="13" w:name="Tc_BvGLQeBtSkyG6MoMTiCwig_2_0"/>
      <w:bookmarkStart w:id="14" w:name="_12ffd22c_91e2_47cb_bf82_8d71460e400b"/>
      <w:bookmarkEnd w:id="9"/>
      <w:bookmarkEnd w:id="10"/>
      <w:bookmarkEnd w:id="11"/>
      <w:bookmarkEnd w:id="12"/>
      <w:bookmarkEnd w:id="13"/>
      <w:bookmarkEnd w:id="14"/>
    </w:p>
    <w:tbl>
      <w:tblPr>
        <w:tblW w:w="8068" w:type="dxa"/>
        <w:jc w:val="left"/>
        <w:tblInd w:w="0" w:type="dxa"/>
        <w:tblLayout w:type="fixed"/>
        <w:tblCellMar>
          <w:top w:w="0" w:type="dxa"/>
          <w:left w:w="0" w:type="dxa"/>
          <w:bottom w:w="0" w:type="dxa"/>
          <w:right w:w="0" w:type="dxa"/>
        </w:tblCellMar>
      </w:tblPr>
      <w:tblGrid>
        <w:gridCol w:w="4861"/>
        <w:gridCol w:w="266"/>
        <w:gridCol w:w="2941"/>
      </w:tblGrid>
      <w:tr>
        <w:trPr/>
        <w:tc>
          <w:tcPr>
            <w:tcW w:w="486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2941" w:type="dxa"/>
            <w:tcBorders/>
            <w:vAlign w:val="center"/>
          </w:tcPr>
          <w:p>
            <w:pPr>
              <w:pStyle w:val="TableContents"/>
              <w:bidi w:val="0"/>
              <w:spacing w:before="0" w:after="0"/>
              <w:ind w:left="0" w:right="0" w:hanging="0"/>
              <w:jc w:val="left"/>
              <w:rPr/>
            </w:pPr>
            <w:r>
              <w:rPr/>
              <w:t>​</w:t>
            </w:r>
          </w:p>
        </w:tc>
      </w:tr>
      <w:tr>
        <w:trPr/>
        <w:tc>
          <w:tcPr>
            <w:tcW w:w="4861" w:type="dxa"/>
            <w:tcBorders/>
            <w:vAlign w:val="center"/>
          </w:tcPr>
          <w:p>
            <w:pPr>
              <w:pStyle w:val="TableContents"/>
              <w:bidi w:val="0"/>
              <w:spacing w:before="0" w:after="100"/>
              <w:ind w:left="0" w:right="0" w:hanging="0"/>
              <w:jc w:val="center"/>
              <w:rPr>
                <w:rFonts w:ascii="Arial;Helvetica;sans-serif" w:hAnsi="Arial;Helvetica;sans-serif"/>
                <w:b/>
                <w:sz w:val="18"/>
              </w:rPr>
            </w:pPr>
            <w:r>
              <w:rPr>
                <w:rFonts w:ascii="Arial;Helvetica;sans-serif" w:hAnsi="Arial;Helvetica;sans-serif"/>
                <w:b/>
                <w:sz w:val="18"/>
              </w:rPr>
              <w:t>Minnesota</w:t>
            </w:r>
          </w:p>
        </w:tc>
        <w:tc>
          <w:tcPr>
            <w:tcW w:w="266" w:type="dxa"/>
            <w:tcBorders/>
            <w:vAlign w:val="center"/>
          </w:tcPr>
          <w:p>
            <w:pPr>
              <w:pStyle w:val="TableContents"/>
              <w:bidi w:val="0"/>
              <w:spacing w:before="0" w:after="0"/>
              <w:ind w:left="0" w:right="0" w:hanging="0"/>
              <w:jc w:val="left"/>
              <w:rPr/>
            </w:pPr>
            <w:r>
              <w:rPr/>
              <w:t>   </w:t>
            </w:r>
          </w:p>
        </w:tc>
        <w:tc>
          <w:tcPr>
            <w:tcW w:w="2941"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95-3409686</w:t>
            </w:r>
          </w:p>
        </w:tc>
      </w:tr>
      <w:tr>
        <w:trPr/>
        <w:tc>
          <w:tcPr>
            <w:tcW w:w="4861" w:type="dxa"/>
            <w:tcBorders/>
            <w:vAlign w:val="center"/>
          </w:tcPr>
          <w:p>
            <w:pPr>
              <w:pStyle w:val="TableContents"/>
              <w:bidi w:val="0"/>
              <w:spacing w:before="0" w:after="100"/>
              <w:ind w:left="0" w:right="0" w:hanging="0"/>
              <w:jc w:val="center"/>
              <w:rPr>
                <w:rFonts w:ascii="Arial;Helvetica;sans-serif" w:hAnsi="Arial;Helvetica;sans-serif"/>
                <w:i/>
                <w:sz w:val="18"/>
              </w:rPr>
            </w:pPr>
            <w:r>
              <w:rPr>
                <w:rFonts w:ascii="Arial;Helvetica;sans-serif" w:hAnsi="Arial;Helvetica;sans-serif"/>
                <w:i/>
                <w:sz w:val="18"/>
              </w:rPr>
              <w:t>(State or other jurisdiction of incorporation or organization)</w:t>
            </w:r>
          </w:p>
        </w:tc>
        <w:tc>
          <w:tcPr>
            <w:tcW w:w="266" w:type="dxa"/>
            <w:tcBorders/>
            <w:vAlign w:val="center"/>
          </w:tcPr>
          <w:p>
            <w:pPr>
              <w:pStyle w:val="TableContents"/>
              <w:bidi w:val="0"/>
              <w:spacing w:before="0" w:after="0"/>
              <w:ind w:left="0" w:right="0" w:hanging="0"/>
              <w:jc w:val="left"/>
              <w:rPr/>
            </w:pPr>
            <w:r>
              <w:rPr/>
              <w:t>​</w:t>
            </w:r>
          </w:p>
        </w:tc>
        <w:tc>
          <w:tcPr>
            <w:tcW w:w="2941" w:type="dxa"/>
            <w:tcBorders/>
            <w:vAlign w:val="center"/>
          </w:tcPr>
          <w:p>
            <w:pPr>
              <w:pStyle w:val="TableContents"/>
              <w:bidi w:val="0"/>
              <w:spacing w:before="0" w:after="0"/>
              <w:ind w:left="0" w:right="0" w:hanging="0"/>
              <w:jc w:val="center"/>
              <w:rPr>
                <w:rFonts w:ascii="Arial;Helvetica;sans-serif" w:hAnsi="Arial;Helvetica;sans-serif"/>
                <w:i/>
                <w:sz w:val="18"/>
              </w:rPr>
            </w:pPr>
            <w:r>
              <w:rPr>
                <w:rFonts w:ascii="Arial;Helvetica;sans-serif" w:hAnsi="Arial;Helvetica;sans-serif"/>
                <w:i/>
                <w:sz w:val="18"/>
              </w:rPr>
              <w:t>(I.R.S. Employer Identification No.)</w:t>
            </w:r>
          </w:p>
        </w:tc>
      </w:tr>
      <w:tr>
        <w:trPr/>
        <w:tc>
          <w:tcPr>
            <w:tcW w:w="4861" w:type="dxa"/>
            <w:tcBorders/>
            <w:vAlign w:val="center"/>
          </w:tcPr>
          <w:p>
            <w:pPr>
              <w:pStyle w:val="TableContents"/>
              <w:bidi w:val="0"/>
              <w:spacing w:before="0" w:after="100"/>
              <w:ind w:left="0" w:right="0" w:hanging="0"/>
              <w:jc w:val="center"/>
              <w:rPr>
                <w:rFonts w:ascii="Arial;Helvetica;sans-serif" w:hAnsi="Arial;Helvetica;sans-serif"/>
                <w:b/>
                <w:sz w:val="18"/>
              </w:rPr>
            </w:pPr>
            <w:r>
              <w:rPr>
                <w:rFonts w:ascii="Arial;Helvetica;sans-serif" w:hAnsi="Arial;Helvetica;sans-serif"/>
                <w:b/>
                <w:sz w:val="18"/>
              </w:rPr>
              <w:t>3505 West Sam Houston Parkway North</w:t>
            </w:r>
          </w:p>
        </w:tc>
        <w:tc>
          <w:tcPr>
            <w:tcW w:w="266" w:type="dxa"/>
            <w:tcBorders/>
            <w:vAlign w:val="center"/>
          </w:tcPr>
          <w:p>
            <w:pPr>
              <w:pStyle w:val="TableContents"/>
              <w:bidi w:val="0"/>
              <w:spacing w:before="0" w:after="0"/>
              <w:ind w:left="0" w:right="0" w:hanging="0"/>
              <w:jc w:val="left"/>
              <w:rPr/>
            </w:pPr>
            <w:r>
              <w:rPr/>
              <w:t>​</w:t>
            </w:r>
          </w:p>
        </w:tc>
        <w:tc>
          <w:tcPr>
            <w:tcW w:w="2941" w:type="dxa"/>
            <w:tcBorders/>
            <w:vAlign w:val="center"/>
          </w:tcPr>
          <w:p>
            <w:pPr>
              <w:pStyle w:val="TableContents"/>
              <w:bidi w:val="0"/>
              <w:spacing w:before="0" w:after="0"/>
              <w:ind w:left="0" w:right="0" w:hanging="0"/>
              <w:jc w:val="center"/>
              <w:rPr/>
            </w:pPr>
            <w:r>
              <w:rPr/>
              <w:t>​</w:t>
            </w:r>
          </w:p>
        </w:tc>
      </w:tr>
      <w:tr>
        <w:trPr/>
        <w:tc>
          <w:tcPr>
            <w:tcW w:w="4861" w:type="dxa"/>
            <w:tcBorders/>
            <w:vAlign w:val="center"/>
          </w:tcPr>
          <w:p>
            <w:pPr>
              <w:pStyle w:val="TableContents"/>
              <w:bidi w:val="0"/>
              <w:spacing w:before="0" w:after="100"/>
              <w:ind w:left="0" w:right="0" w:hanging="0"/>
              <w:jc w:val="center"/>
              <w:rPr>
                <w:rFonts w:ascii="Arial;Helvetica;sans-serif" w:hAnsi="Arial;Helvetica;sans-serif"/>
                <w:b/>
                <w:sz w:val="18"/>
              </w:rPr>
            </w:pPr>
            <w:r>
              <w:rPr>
                <w:rFonts w:ascii="Arial;Helvetica;sans-serif" w:hAnsi="Arial;Helvetica;sans-serif"/>
                <w:b/>
                <w:sz w:val="18"/>
              </w:rPr>
              <w:t>Suite 400</w:t>
            </w:r>
          </w:p>
        </w:tc>
        <w:tc>
          <w:tcPr>
            <w:tcW w:w="266" w:type="dxa"/>
            <w:tcBorders/>
            <w:vAlign w:val="center"/>
          </w:tcPr>
          <w:p>
            <w:pPr>
              <w:pStyle w:val="TableContents"/>
              <w:bidi w:val="0"/>
              <w:spacing w:before="0" w:after="0"/>
              <w:ind w:left="0" w:right="0" w:hanging="0"/>
              <w:jc w:val="left"/>
              <w:rPr/>
            </w:pPr>
            <w:r>
              <w:rPr/>
              <w:t>​</w:t>
            </w:r>
          </w:p>
        </w:tc>
        <w:tc>
          <w:tcPr>
            <w:tcW w:w="2941" w:type="dxa"/>
            <w:tcBorders/>
            <w:vAlign w:val="center"/>
          </w:tcPr>
          <w:p>
            <w:pPr>
              <w:pStyle w:val="TableContents"/>
              <w:bidi w:val="0"/>
              <w:spacing w:before="0" w:after="0"/>
              <w:ind w:left="0" w:right="0" w:hanging="0"/>
              <w:jc w:val="center"/>
              <w:rPr/>
            </w:pPr>
            <w:r>
              <w:rPr/>
              <w:t>​</w:t>
            </w:r>
          </w:p>
        </w:tc>
      </w:tr>
      <w:tr>
        <w:trPr/>
        <w:tc>
          <w:tcPr>
            <w:tcW w:w="4861" w:type="dxa"/>
            <w:tcBorders/>
            <w:vAlign w:val="center"/>
          </w:tcPr>
          <w:p>
            <w:pPr>
              <w:pStyle w:val="TableContents"/>
              <w:bidi w:val="0"/>
              <w:spacing w:before="0" w:after="100"/>
              <w:ind w:left="0" w:right="0" w:hanging="0"/>
              <w:jc w:val="center"/>
              <w:rPr>
                <w:rFonts w:ascii="Arial;Helvetica;sans-serif" w:hAnsi="Arial;Helvetica;sans-serif"/>
                <w:sz w:val="20"/>
              </w:rPr>
            </w:pPr>
            <w:r>
              <w:rPr>
                <w:rFonts w:ascii="Arial;Helvetica;sans-serif" w:hAnsi="Arial;Helvetica;sans-serif"/>
                <w:b/>
                <w:sz w:val="18"/>
              </w:rPr>
              <w:t>Houston</w:t>
            </w:r>
            <w:r>
              <w:rPr>
                <w:rFonts w:ascii="Arial;Helvetica;sans-serif" w:hAnsi="Arial;Helvetica;sans-serif"/>
                <w:sz w:val="20"/>
              </w:rPr>
              <w:t xml:space="preserve"> </w:t>
            </w:r>
            <w:r>
              <w:rPr>
                <w:rFonts w:ascii="Arial;Helvetica;sans-serif" w:hAnsi="Arial;Helvetica;sans-serif"/>
                <w:b/>
                <w:sz w:val="18"/>
              </w:rPr>
              <w:t>Texas</w:t>
            </w:r>
          </w:p>
        </w:tc>
        <w:tc>
          <w:tcPr>
            <w:tcW w:w="266" w:type="dxa"/>
            <w:tcBorders/>
            <w:vAlign w:val="center"/>
          </w:tcPr>
          <w:p>
            <w:pPr>
              <w:pStyle w:val="TableContents"/>
              <w:bidi w:val="0"/>
              <w:spacing w:before="0" w:after="0"/>
              <w:ind w:left="0" w:right="0" w:hanging="0"/>
              <w:jc w:val="left"/>
              <w:rPr/>
            </w:pPr>
            <w:r>
              <w:rPr/>
              <w:t>​</w:t>
            </w:r>
          </w:p>
        </w:tc>
        <w:tc>
          <w:tcPr>
            <w:tcW w:w="2941"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77043</w:t>
            </w:r>
          </w:p>
        </w:tc>
      </w:tr>
      <w:tr>
        <w:trPr/>
        <w:tc>
          <w:tcPr>
            <w:tcW w:w="4861" w:type="dxa"/>
            <w:tcBorders/>
            <w:vAlign w:val="center"/>
          </w:tcPr>
          <w:p>
            <w:pPr>
              <w:pStyle w:val="TableContents"/>
              <w:bidi w:val="0"/>
              <w:spacing w:before="0" w:after="100"/>
              <w:ind w:left="0" w:right="0" w:hanging="0"/>
              <w:jc w:val="center"/>
              <w:rPr>
                <w:rFonts w:ascii="Arial;Helvetica;sans-serif" w:hAnsi="Arial;Helvetica;sans-serif"/>
                <w:i/>
                <w:sz w:val="18"/>
              </w:rPr>
            </w:pPr>
            <w:r>
              <w:rPr>
                <w:rFonts w:ascii="Arial;Helvetica;sans-serif" w:hAnsi="Arial;Helvetica;sans-serif"/>
                <w:i/>
                <w:sz w:val="18"/>
              </w:rPr>
              <w:t>(Address of principal executive offices)</w:t>
            </w:r>
          </w:p>
        </w:tc>
        <w:tc>
          <w:tcPr>
            <w:tcW w:w="266" w:type="dxa"/>
            <w:tcBorders/>
            <w:vAlign w:val="center"/>
          </w:tcPr>
          <w:p>
            <w:pPr>
              <w:pStyle w:val="TableContents"/>
              <w:bidi w:val="0"/>
              <w:spacing w:before="0" w:after="0"/>
              <w:ind w:left="0" w:right="0" w:hanging="0"/>
              <w:jc w:val="left"/>
              <w:rPr/>
            </w:pPr>
            <w:r>
              <w:rPr/>
              <w:t>​</w:t>
            </w:r>
          </w:p>
        </w:tc>
        <w:tc>
          <w:tcPr>
            <w:tcW w:w="2941" w:type="dxa"/>
            <w:tcBorders/>
            <w:vAlign w:val="center"/>
          </w:tcPr>
          <w:p>
            <w:pPr>
              <w:pStyle w:val="TableContents"/>
              <w:bidi w:val="0"/>
              <w:spacing w:before="0" w:after="0"/>
              <w:ind w:left="0" w:right="0" w:hanging="0"/>
              <w:jc w:val="center"/>
              <w:rPr>
                <w:rFonts w:ascii="Arial;Helvetica;sans-serif" w:hAnsi="Arial;Helvetica;sans-serif"/>
                <w:i/>
                <w:sz w:val="18"/>
              </w:rPr>
            </w:pPr>
            <w:r>
              <w:rPr>
                <w:rFonts w:ascii="Arial;Helvetica;sans-serif" w:hAnsi="Arial;Helvetica;sans-serif"/>
                <w:i/>
                <w:sz w:val="18"/>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(281) 618–0400</w:t>
      </w:r>
    </w:p>
    <w:p>
      <w:pPr>
        <w:pStyle w:val="TextBody"/>
        <w:bidi w:val="0"/>
        <w:spacing w:before="0" w:after="100"/>
        <w:ind w:left="0" w:right="0" w:hanging="0"/>
        <w:jc w:val="center"/>
        <w:rPr>
          <w:rFonts w:ascii="Arial;Helvetica;sans-serif" w:hAnsi="Arial;Helvetica;sans-serif"/>
          <w:i/>
          <w:sz w:val="18"/>
        </w:rPr>
      </w:pPr>
      <w:r>
        <w:rPr>
          <w:rFonts w:ascii="Arial;Helvetica;sans-serif" w:hAnsi="Arial;Helvetica;sans-serif"/>
          <w:i/>
          <w:sz w:val="18"/>
        </w:rPr>
        <w:t>(Registrant’s telephone number, including area code)</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NOT APPLICABLE</w:t>
      </w:r>
    </w:p>
    <w:p>
      <w:pPr>
        <w:pStyle w:val="TextBody"/>
        <w:bidi w:val="0"/>
        <w:spacing w:before="0" w:after="100"/>
        <w:ind w:left="0" w:right="0" w:hanging="0"/>
        <w:jc w:val="center"/>
        <w:rPr>
          <w:rFonts w:ascii="Arial;Helvetica;sans-serif" w:hAnsi="Arial;Helvetica;sans-serif"/>
          <w:i/>
          <w:sz w:val="18"/>
        </w:rPr>
      </w:pPr>
      <w:r>
        <w:rPr>
          <w:rFonts w:ascii="Arial;Helvetica;sans-serif" w:hAnsi="Arial;Helvetica;sans-serif"/>
          <w:i/>
          <w:sz w:val="18"/>
        </w:rPr>
        <w:t>(Former name, former address and former fiscal year, if changed since last report)</w:t>
      </w:r>
    </w:p>
    <w:p>
      <w:pPr>
        <w:pStyle w:val="TextBody"/>
        <w:bidi w:val="0"/>
        <w:spacing w:before="0" w:after="0"/>
        <w:ind w:left="0" w:right="0" w:hanging="0"/>
        <w:jc w:val="left"/>
        <w:rPr>
          <w:rFonts w:ascii="Arial;Helvetica;sans-serif" w:hAnsi="Arial;Helvetica;sans-serif"/>
          <w:sz w:val="18"/>
        </w:rPr>
      </w:pPr>
      <w:r>
        <w:rPr>
          <w:rFonts w:ascii="Arial;Helvetica;sans-serif" w:hAnsi="Arial;Helvetica;sans-serif"/>
          <w:sz w:val="18"/>
        </w:rPr>
        <w:t>Securities registered pursuant to Section 12(b) of the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5" w:name="Tc_wCvwRbKXM0ilxE-Y4SEYfA_1_4"/>
      <w:bookmarkStart w:id="16" w:name="Tc_Fue2BFx5iUa35BnMu_MpcQ_1_2"/>
      <w:bookmarkStart w:id="17" w:name="Tc_IKH-X25ihUqYKwj2VE86nA_1_0"/>
      <w:bookmarkStart w:id="18" w:name="_cde0777f_544b_4c57_8873_cfde702ba78a"/>
      <w:bookmarkStart w:id="19" w:name="Tc_wCvwRbKXM0ilxE-Y4SEYfA_1_4"/>
      <w:bookmarkStart w:id="20" w:name="Tc_Fue2BFx5iUa35BnMu_MpcQ_1_2"/>
      <w:bookmarkStart w:id="21" w:name="Tc_IKH-X25ihUqYKwj2VE86nA_1_0"/>
      <w:bookmarkStart w:id="22" w:name="_cde0777f_544b_4c57_8873_cfde702ba78a"/>
      <w:bookmarkEnd w:id="19"/>
      <w:bookmarkEnd w:id="20"/>
      <w:bookmarkEnd w:id="21"/>
      <w:bookmarkEnd w:id="22"/>
    </w:p>
    <w:tbl>
      <w:tblPr>
        <w:tblW w:w="5471" w:type="dxa"/>
        <w:jc w:val="left"/>
        <w:tblInd w:w="0" w:type="dxa"/>
        <w:tblLayout w:type="fixed"/>
        <w:tblCellMar>
          <w:top w:w="0" w:type="dxa"/>
          <w:left w:w="0" w:type="dxa"/>
          <w:bottom w:w="0" w:type="dxa"/>
          <w:right w:w="0" w:type="dxa"/>
        </w:tblCellMar>
      </w:tblPr>
      <w:tblGrid>
        <w:gridCol w:w="2476"/>
        <w:gridCol w:w="109"/>
        <w:gridCol w:w="466"/>
        <w:gridCol w:w="109"/>
        <w:gridCol w:w="2311"/>
      </w:tblGrid>
      <w:tr>
        <w:trPr/>
        <w:tc>
          <w:tcPr>
            <w:tcW w:w="24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pPr>
            <w:r>
              <w:rPr/>
              <w:t>​</w:t>
            </w:r>
          </w:p>
        </w:tc>
      </w:tr>
      <w:tr>
        <w:trPr/>
        <w:tc>
          <w:tcPr>
            <w:tcW w:w="2476"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572260" cy="131445"/>
                      <wp:effectExtent l="0" t="0" r="0" b="0"/>
                      <wp:wrapNone/>
                      <wp:docPr id="2" name="Frame1"/>
                      <a:graphic xmlns:a="http://schemas.openxmlformats.org/drawingml/2006/main">
                        <a:graphicData uri="http://schemas.microsoft.com/office/word/2010/wordprocessingShape">
                          <wps:wsp>
                            <wps:cNvSpPr txBox="1"/>
                            <wps:spPr>
                              <a:xfrm>
                                <a:off x="0" y="0"/>
                                <a:ext cx="1572260" cy="131445"/>
                              </a:xfrm>
                              <a:prstGeom prst="rect"/>
                              <a:solidFill>
                                <a:srgbClr val="FFFFFF"/>
                              </a:solidFill>
                            </wps:spPr>
                            <wps:txbx>
                              <w:txbxContent>
                                <w:p>
                                  <w:pPr>
                                    <w:pStyle w:val="TableContents"/>
                                    <w:bidi w:val="0"/>
                                    <w:spacing w:before="0" w:after="40"/>
                                    <w:ind w:left="0" w:right="0" w:hanging="0"/>
                                    <w:jc w:val="center"/>
                                    <w:rPr>
                                      <w:rFonts w:ascii="Arial;Helvetica;sans-serif" w:hAnsi="Arial;Helvetica;sans-serif"/>
                                      <w:b/>
                                      <w:sz w:val="18"/>
                                    </w:rPr>
                                  </w:pPr>
                                  <w:r>
                                    <w:rPr>
                                      <w:rFonts w:ascii="Arial;Helvetica;sans-serif" w:hAnsi="Arial;Helvetica;sans-serif"/>
                                      <w:b/>
                                      <w:sz w:val="18"/>
                                    </w:rPr>
                                    <w:t>Title of each class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Arial;Helvetica;sans-serif" w:hAnsi="Arial;Helvetica;sans-serif"/>
                                <w:b/>
                                <w:sz w:val="18"/>
                              </w:rPr>
                            </w:pPr>
                            <w:r>
                              <w:rPr>
                                <w:rFonts w:ascii="Arial;Helvetica;sans-serif" w:hAnsi="Arial;Helvetica;sans-serif"/>
                                <w:b/>
                                <w:sz w:val="18"/>
                              </w:rPr>
                              <w:t>Title of each class</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9215" cy="350520"/>
                      <wp:effectExtent l="0" t="0" r="0" b="0"/>
                      <wp:wrapNone/>
                      <wp:docPr id="3" name="Frame2"/>
                      <a:graphic xmlns:a="http://schemas.openxmlformats.org/drawingml/2006/main">
                        <a:graphicData uri="http://schemas.microsoft.com/office/word/2010/wordprocessingShape">
                          <wps:wsp>
                            <wps:cNvSpPr txBox="1"/>
                            <wps:spPr>
                              <a:xfrm>
                                <a:off x="0" y="0"/>
                                <a:ext cx="69215" cy="350520"/>
                              </a:xfrm>
                              <a:prstGeom prst="rect"/>
                              <a:solidFill>
                                <a:srgbClr val="FFFFFF"/>
                              </a:solidFill>
                            </wps:spPr>
                            <wps:txbx>
                              <w:txbxContent>
                                <w:p>
                                  <w:pPr>
                                    <w:pStyle w:val="TableContents"/>
                                    <w:bidi w:val="0"/>
                                    <w:spacing w:before="0" w:after="0"/>
                                    <w:ind w:left="0" w:right="0" w:hanging="0"/>
                                    <w:jc w:val="left"/>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   </w:t>
                            </w:r>
                          </w:p>
                        </w:txbxContent>
                      </v:textbox>
                      <w10:wrap type="none"/>
                    </v:rect>
                  </w:pict>
                </mc:Fallback>
              </mc:AlternateContent>
            </w:r>
          </w:p>
        </w:tc>
        <w:tc>
          <w:tcPr>
            <w:tcW w:w="466"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95910" cy="366395"/>
                      <wp:effectExtent l="0" t="0" r="0" b="0"/>
                      <wp:wrapNone/>
                      <wp:docPr id="4" name="Frame3"/>
                      <a:graphic xmlns:a="http://schemas.openxmlformats.org/drawingml/2006/main">
                        <a:graphicData uri="http://schemas.microsoft.com/office/word/2010/wordprocessingShape">
                          <wps:wsp>
                            <wps:cNvSpPr txBox="1"/>
                            <wps:spPr>
                              <a:xfrm>
                                <a:off x="0" y="0"/>
                                <a:ext cx="295910" cy="366395"/>
                              </a:xfrm>
                              <a:prstGeom prst="rect"/>
                              <a:solidFill>
                                <a:srgbClr val="FFFFFF"/>
                              </a:solidFill>
                            </wps:spPr>
                            <wps:txbx>
                              <w:txbxContent>
                                <w:p>
                                  <w:pPr>
                                    <w:pStyle w:val="TableContents"/>
                                    <w:bidi w:val="0"/>
                                    <w:spacing w:before="0" w:after="40"/>
                                    <w:ind w:left="0" w:right="0" w:hanging="0"/>
                                    <w:jc w:val="center"/>
                                    <w:rPr>
                                      <w:rFonts w:ascii="Arial;Helvetica;sans-serif" w:hAnsi="Arial;Helvetica;sans-serif"/>
                                      <w:b/>
                                      <w:sz w:val="18"/>
                                    </w:rPr>
                                  </w:pPr>
                                  <w:r>
                                    <w:rPr>
                                      <w:rFonts w:ascii="Arial;Helvetica;sans-serif" w:hAnsi="Arial;Helvetica;sans-serif"/>
                                      <w:b/>
                                      <w:sz w:val="18"/>
                                    </w:rPr>
                                    <w:t>Trading Symbol(s)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28.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Arial;Helvetica;sans-serif" w:hAnsi="Arial;Helvetica;sans-serif"/>
                                <w:b/>
                                <w:sz w:val="18"/>
                              </w:rPr>
                            </w:pPr>
                            <w:r>
                              <w:rPr>
                                <w:rFonts w:ascii="Arial;Helvetica;sans-serif" w:hAnsi="Arial;Helvetica;sans-serif"/>
                                <w:b/>
                                <w:sz w:val="18"/>
                              </w:rPr>
                              <w:t>Trading Symbol(s)</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9215" cy="350520"/>
                      <wp:effectExtent l="0" t="0" r="0" b="0"/>
                      <wp:wrapNone/>
                      <wp:docPr id="5" name="Frame4"/>
                      <a:graphic xmlns:a="http://schemas.openxmlformats.org/drawingml/2006/main">
                        <a:graphicData uri="http://schemas.microsoft.com/office/word/2010/wordprocessingShape">
                          <wps:wsp>
                            <wps:cNvSpPr txBox="1"/>
                            <wps:spPr>
                              <a:xfrm>
                                <a:off x="0" y="0"/>
                                <a:ext cx="69215" cy="350520"/>
                              </a:xfrm>
                              <a:prstGeom prst="rect"/>
                              <a:solidFill>
                                <a:srgbClr val="FFFFFF"/>
                              </a:solidFill>
                            </wps:spPr>
                            <wps:txbx>
                              <w:txbxContent>
                                <w:p>
                                  <w:pPr>
                                    <w:pStyle w:val="TableContents"/>
                                    <w:bidi w:val="0"/>
                                    <w:spacing w:before="0" w:after="0"/>
                                    <w:ind w:left="0" w:right="0" w:hanging="0"/>
                                    <w:jc w:val="left"/>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   </w:t>
                            </w:r>
                          </w:p>
                        </w:txbxContent>
                      </v:textbox>
                      <w10:wrap type="none"/>
                    </v:rect>
                  </w:pict>
                </mc:Fallback>
              </mc:AlternateContent>
            </w:r>
          </w:p>
        </w:tc>
        <w:tc>
          <w:tcPr>
            <w:tcW w:w="2311"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467485" cy="262890"/>
                      <wp:effectExtent l="0" t="0" r="0" b="0"/>
                      <wp:wrapNone/>
                      <wp:docPr id="6" name="Frame5"/>
                      <a:graphic xmlns:a="http://schemas.openxmlformats.org/drawingml/2006/main">
                        <a:graphicData uri="http://schemas.microsoft.com/office/word/2010/wordprocessingShape">
                          <wps:wsp>
                            <wps:cNvSpPr txBox="1"/>
                            <wps:spPr>
                              <a:xfrm>
                                <a:off x="0" y="0"/>
                                <a:ext cx="1467485" cy="262890"/>
                              </a:xfrm>
                              <a:prstGeom prst="rect"/>
                              <a:solidFill>
                                <a:srgbClr val="FFFFFF"/>
                              </a:solidFill>
                            </wps:spPr>
                            <wps:txbx>
                              <w:txbxContent>
                                <w:p>
                                  <w:pPr>
                                    <w:pStyle w:val="TableContents"/>
                                    <w:bidi w:val="0"/>
                                    <w:spacing w:before="0" w:after="40"/>
                                    <w:ind w:left="0" w:right="0" w:hanging="0"/>
                                    <w:jc w:val="center"/>
                                    <w:rPr>
                                      <w:rFonts w:ascii="Arial;Helvetica;sans-serif" w:hAnsi="Arial;Helvetica;sans-serif"/>
                                      <w:b/>
                                      <w:sz w:val="18"/>
                                    </w:rPr>
                                  </w:pPr>
                                  <w:r>
                                    <w:rPr>
                                      <w:rFonts w:ascii="Arial;Helvetica;sans-serif" w:hAnsi="Arial;Helvetica;sans-serif"/>
                                      <w:b/>
                                      <w:sz w:val="18"/>
                                    </w:rPr>
                                    <w:t>Name of each exchange on which registered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Arial;Helvetica;sans-serif" w:hAnsi="Arial;Helvetica;sans-serif"/>
                                <w:b/>
                                <w:sz w:val="18"/>
                              </w:rPr>
                            </w:pPr>
                            <w:r>
                              <w:rPr>
                                <w:rFonts w:ascii="Arial;Helvetica;sans-serif" w:hAnsi="Arial;Helvetica;sans-serif"/>
                                <w:b/>
                                <w:sz w:val="18"/>
                              </w:rPr>
                              <w:t>Name of each exchange on which registered</w:t>
                            </w:r>
                          </w:p>
                        </w:txbxContent>
                      </v:textbox>
                      <w10:wrap type="none"/>
                    </v:rect>
                  </w:pict>
                </mc:Fallback>
              </mc:AlternateContent>
            </w:r>
          </w:p>
        </w:tc>
      </w:tr>
      <w:tr>
        <w:trPr/>
        <w:tc>
          <w:tcPr>
            <w:tcW w:w="2476" w:type="dxa"/>
            <w:tcBorders>
              <w:top w:val="single" w:sz="8" w:space="0" w:color="000000"/>
            </w:tcBorders>
            <w:tcMar>
              <w:top w:w="28" w:type="dxa"/>
            </w:tcMar>
            <w:vAlign w:val="center"/>
          </w:tcPr>
          <w:p>
            <w:pPr>
              <w:pStyle w:val="TableContents"/>
              <w:bidi w:val="0"/>
              <w:spacing w:before="0" w:after="40"/>
              <w:ind w:left="0" w:right="0" w:hanging="0"/>
              <w:jc w:val="center"/>
              <w:rPr>
                <w:rFonts w:ascii="Arial;Helvetica;sans-serif" w:hAnsi="Arial;Helvetica;sans-serif"/>
                <w:sz w:val="18"/>
              </w:rPr>
            </w:pPr>
            <w:r>
              <w:rPr>
                <w:rFonts w:ascii="Arial;Helvetica;sans-serif" w:hAnsi="Arial;Helvetica;sans-serif"/>
                <w:sz w:val="18"/>
              </w:rPr>
              <w:t>Common Stock, no par value</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9215" cy="175260"/>
                      <wp:effectExtent l="0" t="0" r="0" b="0"/>
                      <wp:wrapNone/>
                      <wp:docPr id="7" name="Frame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2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left"/>
                              <w:rPr/>
                            </w:pPr>
                            <w:r>
                              <w:rPr/>
                              <w:t>​</w:t>
                            </w:r>
                          </w:p>
                        </w:txbxContent>
                      </v:textbox>
                      <w10:wrap type="none"/>
                    </v:rect>
                  </w:pict>
                </mc:Fallback>
              </mc:AlternateContent>
            </w:r>
          </w:p>
        </w:tc>
        <w:tc>
          <w:tcPr>
            <w:tcW w:w="466" w:type="dxa"/>
            <w:tcBorders>
              <w:top w:val="single" w:sz="8" w:space="0" w:color="000000"/>
            </w:tcBorders>
            <w:tcMar>
              <w:top w:w="28" w:type="dxa"/>
            </w:tcMar>
            <w:vAlign w:val="center"/>
          </w:tcPr>
          <w:p>
            <w:pPr>
              <w:pStyle w:val="TableContents"/>
              <w:bidi w:val="0"/>
              <w:spacing w:before="0" w:after="40"/>
              <w:ind w:left="0" w:right="0" w:hanging="0"/>
              <w:jc w:val="center"/>
              <w:rPr>
                <w:rFonts w:ascii="Arial;Helvetica;sans-serif" w:hAnsi="Arial;Helvetica;sans-serif"/>
                <w:sz w:val="18"/>
              </w:rPr>
            </w:pPr>
            <w:r>
              <w:rPr>
                <w:rFonts w:ascii="Arial;Helvetica;sans-serif" w:hAnsi="Arial;Helvetica;sans-serif"/>
                <w:sz w:val="18"/>
              </w:rPr>
              <w:t>HLX</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9215" cy="175260"/>
                      <wp:effectExtent l="0" t="0" r="0" b="0"/>
                      <wp:wrapNone/>
                      <wp:docPr id="8" name="Frame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2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left"/>
                              <w:rPr/>
                            </w:pPr>
                            <w:r>
                              <w:rPr/>
                              <w:t>​</w:t>
                            </w:r>
                          </w:p>
                        </w:txbxContent>
                      </v:textbox>
                      <w10:wrap type="none"/>
                    </v:rect>
                  </w:pict>
                </mc:Fallback>
              </mc:AlternateContent>
            </w:r>
          </w:p>
        </w:tc>
        <w:tc>
          <w:tcPr>
            <w:tcW w:w="2311" w:type="dxa"/>
            <w:tcBorders>
              <w:top w:val="single" w:sz="8" w:space="0" w:color="000000"/>
            </w:tcBorders>
            <w:tcMar>
              <w:top w:w="28" w:type="dxa"/>
            </w:tcMar>
            <w:vAlign w:val="center"/>
          </w:tcPr>
          <w:p>
            <w:pPr>
              <w:pStyle w:val="TableContents"/>
              <w:bidi w:val="0"/>
              <w:spacing w:before="0" w:after="40"/>
              <w:ind w:left="0" w:right="0" w:hanging="0"/>
              <w:jc w:val="center"/>
              <w:rPr>
                <w:rFonts w:ascii="Arial;Helvetica;sans-serif" w:hAnsi="Arial;Helvetica;sans-serif"/>
                <w:sz w:val="18"/>
              </w:rPr>
            </w:pPr>
            <w:r>
              <w:rPr>
                <w:rFonts w:ascii="Arial;Helvetica;sans-serif" w:hAnsi="Arial;Helvetica;sans-serif"/>
                <w:sz w:val="18"/>
              </w:rPr>
              <w:t>New York Stock Exchange</w:t>
            </w:r>
          </w:p>
        </w:tc>
      </w:tr>
    </w:tbl>
    <w:p>
      <w:pPr>
        <w:pStyle w:val="TextBody"/>
        <w:bidi w:val="0"/>
        <w:spacing w:before="0" w:after="0"/>
        <w:ind w:left="0" w:right="0" w:hanging="0"/>
        <w:jc w:val="left"/>
        <w:rPr/>
      </w:pPr>
      <w:r>
        <w:rPr/>
        <w:t>​</w:t>
      </w:r>
    </w:p>
    <w:p>
      <w:pPr>
        <w:pStyle w:val="TextBody"/>
        <w:bidi w:val="0"/>
        <w:spacing w:before="0" w:after="100"/>
        <w:ind w:left="0" w:right="0" w:hanging="0"/>
        <w:jc w:val="both"/>
        <w:rPr>
          <w:rFonts w:ascii="Arial;Helvetica;sans-serif" w:hAnsi="Arial;Helvetica;sans-serif"/>
          <w:sz w:val="20"/>
        </w:rPr>
      </w:pPr>
      <w:r>
        <w:rPr>
          <w:rFonts w:ascii="Arial;Helvetica;sans-serif" w:hAnsi="Arial;Helvetica;san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Helvetica;sans-serif" w:hAnsi="Arial;Helvetica;sans-serif"/>
          <w:sz w:val="20"/>
        </w:rPr>
        <w:t>☑ </w:t>
      </w:r>
      <w:r>
        <w:rPr>
          <w:rFonts w:ascii="Arial;Helvetica;sans-serif" w:hAnsi="Arial;Helvetica;sans-serif"/>
          <w:sz w:val="18"/>
        </w:rPr>
        <w:t>Yes</w:t>
      </w:r>
      <w:r>
        <w:rPr>
          <w:rFonts w:ascii="Arial;Helvetica;sans-serif" w:hAnsi="Arial;Helvetica;sans-serif"/>
          <w:sz w:val="20"/>
        </w:rPr>
        <w:t xml:space="preserve"> ☐ </w:t>
      </w:r>
      <w:r>
        <w:rPr>
          <w:rFonts w:ascii="Arial;Helvetica;sans-serif" w:hAnsi="Arial;Helvetica;sans-serif"/>
          <w:sz w:val="18"/>
        </w:rPr>
        <w:t>No</w:t>
      </w:r>
    </w:p>
    <w:p>
      <w:pPr>
        <w:pStyle w:val="TextBody"/>
        <w:bidi w:val="0"/>
        <w:spacing w:before="0" w:after="100"/>
        <w:ind w:left="0" w:right="0" w:hanging="0"/>
        <w:jc w:val="both"/>
        <w:rPr>
          <w:rFonts w:ascii="Arial;Helvetica;sans-serif" w:hAnsi="Arial;Helvetica;sans-serif"/>
          <w:sz w:val="20"/>
        </w:rPr>
      </w:pPr>
      <w:r>
        <w:rPr>
          <w:rFonts w:ascii="Arial;Helvetica;sans-serif" w:hAnsi="Arial;Helvetica;san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Arial;Helvetica;sans-serif" w:hAnsi="Arial;Helvetica;sans-serif"/>
          <w:sz w:val="20"/>
        </w:rPr>
        <w:t>☑ </w:t>
      </w:r>
      <w:r>
        <w:rPr>
          <w:rFonts w:ascii="Arial;Helvetica;sans-serif" w:hAnsi="Arial;Helvetica;sans-serif"/>
          <w:sz w:val="18"/>
        </w:rPr>
        <w:t>Yes</w:t>
      </w:r>
      <w:r>
        <w:rPr>
          <w:rFonts w:ascii="Arial;Helvetica;sans-serif" w:hAnsi="Arial;Helvetica;sans-serif"/>
          <w:sz w:val="20"/>
        </w:rPr>
        <w:t xml:space="preserve"> ☐ </w:t>
      </w:r>
      <w:r>
        <w:rPr>
          <w:rFonts w:ascii="Arial;Helvetica;sans-serif" w:hAnsi="Arial;Helvetica;sans-serif"/>
          <w:sz w:val="18"/>
        </w:rPr>
        <w:t>No</w:t>
      </w:r>
    </w:p>
    <w:p>
      <w:pPr>
        <w:pStyle w:val="TextBody"/>
        <w:bidi w:val="0"/>
        <w:spacing w:before="0" w:after="0"/>
        <w:ind w:left="0" w:right="0" w:hanging="0"/>
        <w:jc w:val="both"/>
        <w:rPr>
          <w:rFonts w:ascii="Arial;Helvetica;sans-serif" w:hAnsi="Arial;Helvetica;sans-serif"/>
          <w:sz w:val="18"/>
        </w:rPr>
      </w:pPr>
      <w:r>
        <w:rPr>
          <w:rFonts w:ascii="Arial;Helvetica;sans-serif" w:hAnsi="Arial;Helvetica;san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028"/>
        <w:gridCol w:w="1554"/>
        <w:gridCol w:w="1944"/>
        <w:gridCol w:w="2322"/>
        <w:gridCol w:w="2357"/>
      </w:tblGrid>
      <w:tr>
        <w:trPr/>
        <w:tc>
          <w:tcPr>
            <w:tcW w:w="2028" w:type="dxa"/>
            <w:tcBorders/>
            <w:vAlign w:val="center"/>
          </w:tcPr>
          <w:p>
            <w:pPr>
              <w:pStyle w:val="TableContents"/>
              <w:bidi w:val="0"/>
              <w:spacing w:before="0" w:after="0"/>
              <w:ind w:left="0" w:right="0" w:hanging="0"/>
              <w:jc w:val="left"/>
              <w:rPr/>
            </w:pPr>
            <w:r>
              <w:rPr/>
              <w:t>​</w:t>
            </w:r>
          </w:p>
        </w:tc>
        <w:tc>
          <w:tcPr>
            <w:tcW w:w="1554" w:type="dxa"/>
            <w:tcBorders/>
            <w:vAlign w:val="center"/>
          </w:tcPr>
          <w:p>
            <w:pPr>
              <w:pStyle w:val="TableContents"/>
              <w:bidi w:val="0"/>
              <w:spacing w:before="0" w:after="0"/>
              <w:ind w:left="0" w:right="0" w:hanging="0"/>
              <w:jc w:val="left"/>
              <w:rPr/>
            </w:pPr>
            <w:r>
              <w:rPr/>
              <w:t>​</w:t>
            </w:r>
          </w:p>
        </w:tc>
        <w:tc>
          <w:tcPr>
            <w:tcW w:w="1944" w:type="dxa"/>
            <w:tcBorders/>
            <w:vAlign w:val="center"/>
          </w:tcPr>
          <w:p>
            <w:pPr>
              <w:pStyle w:val="TableContents"/>
              <w:bidi w:val="0"/>
              <w:spacing w:before="0" w:after="0"/>
              <w:ind w:left="0" w:right="0" w:hanging="0"/>
              <w:jc w:val="left"/>
              <w:rPr/>
            </w:pPr>
            <w:r>
              <w:rPr/>
              <w:t>​</w:t>
            </w:r>
          </w:p>
        </w:tc>
        <w:tc>
          <w:tcPr>
            <w:tcW w:w="2322" w:type="dxa"/>
            <w:tcBorders/>
            <w:vAlign w:val="center"/>
          </w:tcPr>
          <w:p>
            <w:pPr>
              <w:pStyle w:val="TableContents"/>
              <w:bidi w:val="0"/>
              <w:spacing w:before="0" w:after="0"/>
              <w:ind w:left="0" w:right="0" w:hanging="0"/>
              <w:jc w:val="left"/>
              <w:rPr/>
            </w:pPr>
            <w:r>
              <w:rPr/>
              <w:t>​</w:t>
            </w:r>
          </w:p>
        </w:tc>
        <w:tc>
          <w:tcPr>
            <w:tcW w:w="2357" w:type="dxa"/>
            <w:tcBorders/>
            <w:vAlign w:val="center"/>
          </w:tcPr>
          <w:p>
            <w:pPr>
              <w:pStyle w:val="TableContents"/>
              <w:bidi w:val="0"/>
              <w:spacing w:before="0" w:after="0"/>
              <w:ind w:left="0" w:right="0" w:hanging="0"/>
              <w:jc w:val="left"/>
              <w:rPr/>
            </w:pPr>
            <w:r>
              <w:rPr/>
              <w:t>​</w:t>
            </w:r>
          </w:p>
        </w:tc>
      </w:tr>
      <w:tr>
        <w:trPr/>
        <w:tc>
          <w:tcPr>
            <w:tcW w:w="2028"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18"/>
              </w:rPr>
              <w:t>Large accelerated filer</w:t>
            </w:r>
            <w:r>
              <w:rPr>
                <w:rFonts w:ascii="Arial;Helvetica;sans-serif" w:hAnsi="Arial;Helvetica;sans-serif"/>
                <w:sz w:val="20"/>
              </w:rPr>
              <w:t> ☑</w:t>
            </w:r>
          </w:p>
        </w:tc>
        <w:tc>
          <w:tcPr>
            <w:tcW w:w="1554"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Accelerated filer ☐</w:t>
            </w:r>
          </w:p>
        </w:tc>
        <w:tc>
          <w:tcPr>
            <w:tcW w:w="1944"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Non-accelerated filer ☐</w:t>
            </w:r>
          </w:p>
        </w:tc>
        <w:tc>
          <w:tcPr>
            <w:tcW w:w="232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18"/>
              </w:rPr>
              <w:t>Smaller reporting company </w:t>
            </w:r>
            <w:r>
              <w:rPr>
                <w:rFonts w:ascii="Arial;Helvetica;sans-serif" w:hAnsi="Arial;Helvetica;sans-serif"/>
                <w:sz w:val="20"/>
              </w:rPr>
              <w:t>☐</w:t>
            </w:r>
          </w:p>
        </w:tc>
        <w:tc>
          <w:tcPr>
            <w:tcW w:w="235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18"/>
              </w:rPr>
              <w:t>Emerging growth company </w:t>
            </w:r>
            <w:r>
              <w:rPr>
                <w:rFonts w:ascii="Arial;Helvetica;sans-serif" w:hAnsi="Arial;Helvetica;sans-serif"/>
                <w:sz w:val="20"/>
              </w:rPr>
              <w:t>☐</w:t>
            </w:r>
          </w:p>
        </w:tc>
      </w:tr>
    </w:tbl>
    <w:p>
      <w:pPr>
        <w:pStyle w:val="TextBody"/>
        <w:bidi w:val="0"/>
        <w:spacing w:before="0" w:after="0"/>
        <w:ind w:left="0" w:right="0" w:hanging="0"/>
        <w:jc w:val="left"/>
        <w:rPr/>
      </w:pPr>
      <w:r>
        <w:rPr/>
        <w:t>​</w:t>
      </w:r>
    </w:p>
    <w:p>
      <w:pPr>
        <w:pStyle w:val="TextBody"/>
        <w:bidi w:val="0"/>
        <w:spacing w:before="0" w:after="100"/>
        <w:ind w:left="0" w:right="0" w:hanging="0"/>
        <w:jc w:val="both"/>
        <w:rPr>
          <w:rFonts w:ascii="Arial;Helvetica;sans-serif" w:hAnsi="Arial;Helvetica;sans-serif"/>
          <w:sz w:val="18"/>
        </w:rPr>
      </w:pPr>
      <w:r>
        <w:rPr>
          <w:rFonts w:ascii="Arial;Helvetica;sans-serif" w:hAnsi="Arial;Helvetica;san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00"/>
        <w:ind w:left="0" w:right="0" w:hanging="0"/>
        <w:jc w:val="both"/>
        <w:rPr>
          <w:rFonts w:ascii="Arial;Helvetica;sans-serif" w:hAnsi="Arial;Helvetica;sans-serif"/>
          <w:sz w:val="20"/>
        </w:rPr>
      </w:pPr>
      <w:r>
        <w:rPr>
          <w:rFonts w:ascii="Arial;Helvetica;sans-serif" w:hAnsi="Arial;Helvetica;sans-serif"/>
          <w:sz w:val="18"/>
        </w:rPr>
        <w:t>Indicate by check mark whether the registrant is a shell company (as defined in Rule 12b-2 of the Exchange Act).  </w:t>
      </w:r>
      <w:r>
        <w:rPr>
          <w:rFonts w:ascii="Arial;Helvetica;sans-serif" w:hAnsi="Arial;Helvetica;sans-serif"/>
          <w:sz w:val="20"/>
        </w:rPr>
        <w:t>☐ </w:t>
      </w:r>
      <w:r>
        <w:rPr>
          <w:rFonts w:ascii="Arial;Helvetica;sans-serif" w:hAnsi="Arial;Helvetica;sans-serif"/>
          <w:sz w:val="18"/>
        </w:rPr>
        <w:t xml:space="preserve">Yes </w:t>
      </w:r>
      <w:r>
        <w:rPr>
          <w:rFonts w:ascii="Arial;Helvetica;sans-serif" w:hAnsi="Arial;Helvetica;sans-serif"/>
          <w:sz w:val="20"/>
        </w:rPr>
        <w:t>☑ </w:t>
      </w:r>
      <w:r>
        <w:rPr>
          <w:rFonts w:ascii="Arial;Helvetica;sans-serif" w:hAnsi="Arial;Helvetica;sans-serif"/>
          <w:sz w:val="18"/>
        </w:rPr>
        <w:t>No</w:t>
      </w:r>
    </w:p>
    <w:p>
      <w:pPr>
        <w:pStyle w:val="TextBody"/>
        <w:bidi w:val="0"/>
        <w:spacing w:before="0" w:after="0"/>
        <w:ind w:left="0" w:right="0" w:firstLine="720"/>
        <w:jc w:val="center"/>
        <w:rPr>
          <w:rFonts w:ascii="Arial;Helvetica;sans-serif" w:hAnsi="Arial;Helvetica;sans-serif"/>
          <w:sz w:val="18"/>
        </w:rPr>
      </w:pPr>
      <w:r>
        <w:rPr>
          <w:rFonts w:ascii="Arial;Helvetica;sans-serif" w:hAnsi="Arial;Helvetica;sans-serif"/>
          <w:sz w:val="18"/>
        </w:rPr>
        <w:t>As of July 22, 2024, 152,052,989 shares of common stock were outstanding.</w:t>
      </w:r>
    </w:p>
    <w:p>
      <w:pPr>
        <w:pStyle w:val="TextBody"/>
        <w:bidi w:val="0"/>
        <w:spacing w:before="0" w:after="240"/>
        <w:ind w:left="0" w:right="0" w:hanging="0"/>
        <w:jc w:val="center"/>
        <w:rPr/>
      </w:pPr>
      <w:r>
        <w:rPr/>
        <w:t>​</w:t>
      </w:r>
    </w:p>
    <w:p>
      <w:pPr>
        <w:pStyle w:val="TextBody"/>
        <w:pBdr>
          <w:top w:val="single" w:sz="8" w:space="1" w:color="000000"/>
          <w:bottom w:val="single" w:sz="24" w:space="1" w:color="000000"/>
        </w:pBdr>
        <w:bidi w:val="0"/>
        <w:spacing w:before="0" w:after="240"/>
        <w:ind w:left="0" w:right="0" w:hanging="0"/>
        <w:jc w:val="center"/>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caps/>
        </w:rPr>
      </w:pPr>
      <w:r>
        <w:rPr>
          <w:caps/>
        </w:rPr>
        <w:t>​</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23" w:name="_9c7b66dc_f797_41df_ab62_29facf128aba"/>
      <w:bookmarkStart w:id="24" w:name="TOC"/>
      <w:bookmarkEnd w:id="23"/>
      <w:bookmarkEnd w:id="24"/>
      <w:r>
        <w:rPr>
          <w:rFonts w:ascii="Arial;Helvetica;sans-serif" w:hAnsi="Arial;Helvetica;sans-serif"/>
          <w:b/>
          <w:sz w:val="20"/>
        </w:rPr>
        <w:t>TABLE OF CONTENTS</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815"/>
        <w:gridCol w:w="109"/>
        <w:gridCol w:w="8574"/>
        <w:gridCol w:w="707"/>
      </w:tblGrid>
      <w:tr>
        <w:trPr/>
        <w:tc>
          <w:tcPr>
            <w:tcW w:w="81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574" w:type="dxa"/>
            <w:tcBorders/>
            <w:vAlign w:val="center"/>
          </w:tcPr>
          <w:p>
            <w:pPr>
              <w:pStyle w:val="TableContents"/>
              <w:bidi w:val="0"/>
              <w:spacing w:before="0" w:after="0"/>
              <w:ind w:left="0" w:right="0" w:hanging="0"/>
              <w:jc w:val="left"/>
              <w:rPr/>
            </w:pPr>
            <w:r>
              <w:rPr/>
              <w:t>​</w:t>
            </w:r>
          </w:p>
        </w:tc>
        <w:tc>
          <w:tcPr>
            <w:tcW w:w="707" w:type="dxa"/>
            <w:tcBorders/>
            <w:vAlign w:val="center"/>
          </w:tcPr>
          <w:p>
            <w:pPr>
              <w:pStyle w:val="TableContents"/>
              <w:bidi w:val="0"/>
              <w:spacing w:before="0" w:after="0"/>
              <w:ind w:left="0" w:right="0" w:hanging="0"/>
              <w:jc w:val="left"/>
              <w:rPr/>
            </w:pPr>
            <w:r>
              <w:rPr/>
              <w:t>​</w:t>
            </w:r>
          </w:p>
        </w:tc>
      </w:tr>
      <w:tr>
        <w:trPr/>
        <w:tc>
          <w:tcPr>
            <w:tcW w:w="815" w:type="dxa"/>
            <w:tcBorders/>
            <w:vAlign w:val="center"/>
          </w:tcPr>
          <w:p>
            <w:pPr>
              <w:pStyle w:val="TableContents"/>
              <w:bidi w:val="0"/>
              <w:spacing w:before="0" w:after="0"/>
              <w:ind w:left="0" w:right="0" w:hanging="0"/>
              <w:jc w:val="left"/>
              <w:rPr/>
            </w:pPr>
            <w:hyperlink w:anchor="PARTIFINANCIALINFORMATION_665355">
              <w:r>
                <w:rPr>
                  <w:rStyle w:val="InternetLink"/>
                  <w:rFonts w:ascii="Arial;Helvetica;sans-serif" w:hAnsi="Arial;Helvetica;sans-serif"/>
                  <w:b/>
                  <w:i w:val="false"/>
                  <w:caps w:val="false"/>
                  <w:smallCaps w:val="false"/>
                  <w:sz w:val="20"/>
                </w:rPr>
                <w:t>PART I.</w:t>
              </w:r>
            </w:hyperlink>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0"/>
              <w:ind w:left="0" w:right="0" w:hanging="0"/>
              <w:jc w:val="left"/>
              <w:rPr/>
            </w:pPr>
            <w:hyperlink w:anchor="PARTIFINANCIALINFORMATION_665355">
              <w:r>
                <w:rPr>
                  <w:rStyle w:val="InternetLink"/>
                  <w:rFonts w:ascii="Arial;Helvetica;sans-serif" w:hAnsi="Arial;Helvetica;sans-serif"/>
                  <w:b/>
                  <w:i w:val="false"/>
                  <w:caps w:val="false"/>
                  <w:smallCaps w:val="false"/>
                  <w:sz w:val="20"/>
                </w:rPr>
                <w:t>FINANCIAL INFORMATION</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PAGE</w:t>
            </w:r>
          </w:p>
        </w:tc>
      </w:tr>
      <w:tr>
        <w:trPr/>
        <w:tc>
          <w:tcPr>
            <w:tcW w:w="815"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left"/>
              <w:rPr/>
            </w:pPr>
            <w:r>
              <w:rPr/>
              <w:t>​</w:t>
            </w:r>
          </w:p>
        </w:tc>
      </w:tr>
      <w:tr>
        <w:trPr/>
        <w:tc>
          <w:tcPr>
            <w:tcW w:w="815" w:type="dxa"/>
            <w:tcBorders/>
            <w:vAlign w:val="center"/>
          </w:tcPr>
          <w:p>
            <w:pPr>
              <w:pStyle w:val="TableContents"/>
              <w:bidi w:val="0"/>
              <w:spacing w:before="0" w:after="0"/>
              <w:ind w:left="0" w:right="0" w:hanging="0"/>
              <w:jc w:val="left"/>
              <w:rPr/>
            </w:pPr>
            <w:hyperlink w:anchor="Item1FinancialStatements_284324">
              <w:r>
                <w:rPr>
                  <w:rStyle w:val="InternetLink"/>
                  <w:rFonts w:ascii="Arial;Helvetica;sans-serif" w:hAnsi="Arial;Helvetica;sans-serif"/>
                  <w:b w:val="false"/>
                  <w:i w:val="false"/>
                  <w:caps w:val="false"/>
                  <w:smallCaps w:val="false"/>
                  <w:sz w:val="20"/>
                </w:rPr>
                <w:t>Item 1.</w:t>
              </w:r>
            </w:hyperlink>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0"/>
              <w:ind w:left="0" w:right="0" w:hanging="0"/>
              <w:jc w:val="left"/>
              <w:rPr/>
            </w:pPr>
            <w:hyperlink w:anchor="Item1FinancialStatements_284324">
              <w:r>
                <w:rPr>
                  <w:rStyle w:val="InternetLink"/>
                  <w:rFonts w:ascii="Arial;Helvetica;sans-serif" w:hAnsi="Arial;Helvetica;sans-serif"/>
                  <w:b w:val="false"/>
                  <w:i w:val="false"/>
                  <w:caps w:val="false"/>
                  <w:smallCaps w:val="false"/>
                  <w:sz w:val="20"/>
                </w:rPr>
                <w:t>Financial Statements:</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r>
      <w:tr>
        <w:trPr/>
        <w:tc>
          <w:tcPr>
            <w:tcW w:w="815"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0"/>
              <w:ind w:left="0" w:right="0" w:hanging="0"/>
              <w:jc w:val="left"/>
              <w:rPr/>
            </w:pPr>
            <w:hyperlink w:anchor="CONDENSEDCONSOLIDATEDBALANCESHEETS_97543">
              <w:r>
                <w:rPr>
                  <w:rStyle w:val="InternetLink"/>
                  <w:rFonts w:ascii="Arial;Helvetica;sans-serif" w:hAnsi="Arial;Helvetica;sans-serif"/>
                  <w:b w:val="false"/>
                  <w:i w:val="false"/>
                  <w:caps w:val="false"/>
                  <w:smallCaps w:val="false"/>
                  <w:sz w:val="20"/>
                </w:rPr>
                <w:t>Condensed Consolidated Balance Sheets – June 30, 2024 (Unaudited) and December 31, 2023</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r>
      <w:tr>
        <w:trPr/>
        <w:tc>
          <w:tcPr>
            <w:tcW w:w="815"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15"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0"/>
              <w:ind w:left="0" w:right="0" w:hanging="0"/>
              <w:jc w:val="left"/>
              <w:rPr/>
            </w:pPr>
            <w:hyperlink w:anchor="CONDENSEDCONSOLIDATEDSTATEMENTSOFOPERATI">
              <w:r>
                <w:rPr>
                  <w:rStyle w:val="InternetLink"/>
                  <w:rFonts w:ascii="Arial;Helvetica;sans-serif" w:hAnsi="Arial;Helvetica;sans-serif"/>
                  <w:b w:val="false"/>
                  <w:i w:val="false"/>
                  <w:caps w:val="false"/>
                  <w:smallCaps w:val="false"/>
                  <w:sz w:val="20"/>
                </w:rPr>
                <w:t>Condensed Consolidated Statements of Operations (Unaudited) – Three and six months ended June 30, 2024 and 2023</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w:t>
            </w:r>
          </w:p>
        </w:tc>
      </w:tr>
      <w:tr>
        <w:trPr/>
        <w:tc>
          <w:tcPr>
            <w:tcW w:w="815"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15"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0"/>
              <w:ind w:left="0" w:right="0" w:hanging="0"/>
              <w:jc w:val="left"/>
              <w:rPr/>
            </w:pPr>
            <w:hyperlink w:anchor="CONDENSEDCONSOLIDATEDSTATEMENTSOFCOMPREH">
              <w:r>
                <w:rPr>
                  <w:rStyle w:val="InternetLink"/>
                  <w:rFonts w:ascii="Arial;Helvetica;sans-serif" w:hAnsi="Arial;Helvetica;sans-serif"/>
                  <w:b w:val="false"/>
                  <w:i w:val="false"/>
                  <w:caps w:val="false"/>
                  <w:smallCaps w:val="false"/>
                  <w:sz w:val="20"/>
                </w:rPr>
                <w:t>Condensed Consolidated Statements of Comprehensive Income (Loss) (Unaudited) – Three and six months ended June 30, 2024 and 2023</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w:t>
            </w:r>
          </w:p>
        </w:tc>
      </w:tr>
      <w:tr>
        <w:trPr/>
        <w:tc>
          <w:tcPr>
            <w:tcW w:w="815"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15"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0"/>
              <w:ind w:left="0" w:right="0" w:hanging="0"/>
              <w:jc w:val="left"/>
              <w:rPr/>
            </w:pPr>
            <w:hyperlink w:anchor="CONDENSEDCONSOLIDATEDSTATEMENTSOFSEQTD">
              <w:r>
                <w:rPr>
                  <w:rStyle w:val="InternetLink"/>
                  <w:rFonts w:ascii="Arial;Helvetica;sans-serif" w:hAnsi="Arial;Helvetica;sans-serif"/>
                  <w:b w:val="false"/>
                  <w:i w:val="false"/>
                  <w:caps w:val="false"/>
                  <w:smallCaps w:val="false"/>
                  <w:sz w:val="20"/>
                </w:rPr>
                <w:t>Condensed Consolidated Statements of Shareholders’ Equity (Unaudited) – Three and six months ended June 30, 2024 and 2023</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w:t>
            </w:r>
          </w:p>
        </w:tc>
      </w:tr>
      <w:tr>
        <w:trPr/>
        <w:tc>
          <w:tcPr>
            <w:tcW w:w="815"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15"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0"/>
              <w:ind w:left="0" w:right="0" w:hanging="0"/>
              <w:jc w:val="left"/>
              <w:rPr/>
            </w:pPr>
            <w:hyperlink w:anchor="CONDENSEDCONSOLIDATEDSTATEMENTSOFCASHFLO">
              <w:r>
                <w:rPr>
                  <w:rStyle w:val="InternetLink"/>
                  <w:rFonts w:ascii="Arial;Helvetica;sans-serif" w:hAnsi="Arial;Helvetica;sans-serif"/>
                  <w:b w:val="false"/>
                  <w:i w:val="false"/>
                  <w:caps w:val="false"/>
                  <w:smallCaps w:val="false"/>
                  <w:sz w:val="20"/>
                </w:rPr>
                <w:t>Condensed Consolidated Statements of Cash Flows (Unaudited) – Six months ended June 30, 2024 and 2023</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w:t>
            </w:r>
          </w:p>
        </w:tc>
      </w:tr>
      <w:tr>
        <w:trPr/>
        <w:tc>
          <w:tcPr>
            <w:tcW w:w="815"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15"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0"/>
              <w:ind w:left="0" w:right="0" w:hanging="0"/>
              <w:jc w:val="left"/>
              <w:rPr/>
            </w:pPr>
            <w:hyperlink w:anchor="NOTESTOCONDENSEDCONSOLIDATEDFINANCIALSTA">
              <w:r>
                <w:rPr>
                  <w:rStyle w:val="InternetLink"/>
                  <w:rFonts w:ascii="Arial;Helvetica;sans-serif" w:hAnsi="Arial;Helvetica;sans-serif"/>
                  <w:b w:val="false"/>
                  <w:i w:val="false"/>
                  <w:caps w:val="false"/>
                  <w:smallCaps w:val="false"/>
                  <w:sz w:val="20"/>
                </w:rPr>
                <w:t>Notes to Condensed Consolidated Financial Statements (Unaudited)</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w:t>
            </w:r>
          </w:p>
        </w:tc>
      </w:tr>
      <w:tr>
        <w:trPr/>
        <w:tc>
          <w:tcPr>
            <w:tcW w:w="815"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15" w:type="dxa"/>
            <w:tcBorders/>
            <w:vAlign w:val="center"/>
          </w:tcPr>
          <w:p>
            <w:pPr>
              <w:pStyle w:val="TableContents"/>
              <w:bidi w:val="0"/>
              <w:spacing w:before="0" w:after="0"/>
              <w:ind w:left="0" w:right="0" w:hanging="0"/>
              <w:jc w:val="left"/>
              <w:rPr/>
            </w:pPr>
            <w:hyperlink w:anchor="Item2ManagementsDiscussionandAnalysisofF">
              <w:r>
                <w:rPr>
                  <w:rStyle w:val="InternetLink"/>
                  <w:rFonts w:ascii="Arial;Helvetica;sans-serif" w:hAnsi="Arial;Helvetica;sans-serif"/>
                  <w:b w:val="false"/>
                  <w:i w:val="false"/>
                  <w:caps w:val="false"/>
                  <w:smallCaps w:val="false"/>
                  <w:sz w:val="20"/>
                </w:rPr>
                <w:t>Item 2.</w:t>
              </w:r>
            </w:hyperlink>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0"/>
              <w:ind w:left="0" w:right="0" w:hanging="0"/>
              <w:jc w:val="left"/>
              <w:rPr/>
            </w:pPr>
            <w:hyperlink w:anchor="Item2ManagementsDiscussionandAnalysisofF">
              <w:r>
                <w:rPr>
                  <w:rStyle w:val="InternetLink"/>
                  <w:rFonts w:ascii="Arial;Helvetica;sans-serif" w:hAnsi="Arial;Helvetica;sans-serif"/>
                  <w:b w:val="false"/>
                  <w:i w:val="false"/>
                  <w:caps w:val="false"/>
                  <w:smallCaps w:val="false"/>
                  <w:sz w:val="20"/>
                </w:rPr>
                <w:t>Management’s Discussion and Analysis of Financial Condition and Results of Operations</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w:t>
            </w:r>
          </w:p>
        </w:tc>
      </w:tr>
      <w:tr>
        <w:trPr/>
        <w:tc>
          <w:tcPr>
            <w:tcW w:w="815"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15" w:type="dxa"/>
            <w:tcBorders/>
            <w:vAlign w:val="center"/>
          </w:tcPr>
          <w:p>
            <w:pPr>
              <w:pStyle w:val="TableContents"/>
              <w:bidi w:val="0"/>
              <w:spacing w:before="0" w:after="0"/>
              <w:ind w:left="0" w:right="0" w:hanging="0"/>
              <w:jc w:val="left"/>
              <w:rPr/>
            </w:pPr>
            <w:hyperlink w:anchor="Item3QuantitativeandQualitativeDisclosur">
              <w:r>
                <w:rPr>
                  <w:rStyle w:val="InternetLink"/>
                  <w:rFonts w:ascii="Arial;Helvetica;sans-serif" w:hAnsi="Arial;Helvetica;sans-serif"/>
                  <w:b w:val="false"/>
                  <w:i w:val="false"/>
                  <w:caps w:val="false"/>
                  <w:smallCaps w:val="false"/>
                  <w:sz w:val="20"/>
                </w:rPr>
                <w:t>Item 3.</w:t>
              </w:r>
            </w:hyperlink>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0"/>
              <w:ind w:left="0" w:right="0" w:hanging="0"/>
              <w:jc w:val="left"/>
              <w:rPr/>
            </w:pPr>
            <w:hyperlink w:anchor="Item3QuantitativeandQualitativeDisclosur">
              <w:r>
                <w:rPr>
                  <w:rStyle w:val="InternetLink"/>
                  <w:rFonts w:ascii="Arial;Helvetica;sans-serif" w:hAnsi="Arial;Helvetica;sans-serif"/>
                  <w:b w:val="false"/>
                  <w:i w:val="false"/>
                  <w:caps w:val="false"/>
                  <w:smallCaps w:val="false"/>
                  <w:sz w:val="20"/>
                </w:rPr>
                <w:t>Quantitative and Qualitative Disclosures About Market Risk</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w:t>
            </w:r>
          </w:p>
        </w:tc>
      </w:tr>
      <w:tr>
        <w:trPr/>
        <w:tc>
          <w:tcPr>
            <w:tcW w:w="815"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15" w:type="dxa"/>
            <w:tcBorders/>
            <w:vAlign w:val="center"/>
          </w:tcPr>
          <w:p>
            <w:pPr>
              <w:pStyle w:val="TableContents"/>
              <w:bidi w:val="0"/>
              <w:spacing w:before="0" w:after="0"/>
              <w:ind w:left="0" w:right="0" w:hanging="0"/>
              <w:jc w:val="left"/>
              <w:rPr/>
            </w:pPr>
            <w:hyperlink w:anchor="Item4ControlsandProcedures_957871">
              <w:r>
                <w:rPr>
                  <w:rStyle w:val="InternetLink"/>
                  <w:rFonts w:ascii="Arial;Helvetica;sans-serif" w:hAnsi="Arial;Helvetica;sans-serif"/>
                  <w:b w:val="false"/>
                  <w:i w:val="false"/>
                  <w:caps w:val="false"/>
                  <w:smallCaps w:val="false"/>
                  <w:sz w:val="20"/>
                </w:rPr>
                <w:t>Item 4.</w:t>
              </w:r>
            </w:hyperlink>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0"/>
              <w:ind w:left="0" w:right="0" w:hanging="0"/>
              <w:jc w:val="left"/>
              <w:rPr/>
            </w:pPr>
            <w:hyperlink w:anchor="Item4ControlsandProcedures_957871">
              <w:r>
                <w:rPr>
                  <w:rStyle w:val="InternetLink"/>
                  <w:rFonts w:ascii="Arial;Helvetica;sans-serif" w:hAnsi="Arial;Helvetica;sans-serif"/>
                  <w:b w:val="false"/>
                  <w:i w:val="false"/>
                  <w:caps w:val="false"/>
                  <w:smallCaps w:val="false"/>
                  <w:sz w:val="20"/>
                </w:rPr>
                <w:t>Controls and Procedures</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w:t>
            </w:r>
          </w:p>
        </w:tc>
      </w:tr>
      <w:tr>
        <w:trPr/>
        <w:tc>
          <w:tcPr>
            <w:tcW w:w="815"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15" w:type="dxa"/>
            <w:tcBorders/>
            <w:vAlign w:val="center"/>
          </w:tcPr>
          <w:p>
            <w:pPr>
              <w:pStyle w:val="TableContents"/>
              <w:bidi w:val="0"/>
              <w:spacing w:before="0" w:after="0"/>
              <w:ind w:left="0" w:right="0" w:hanging="0"/>
              <w:jc w:val="left"/>
              <w:rPr/>
            </w:pPr>
            <w:hyperlink w:anchor="PartIIOTHERINFORMATION_832834">
              <w:r>
                <w:rPr>
                  <w:rStyle w:val="InternetLink"/>
                  <w:rFonts w:ascii="Arial;Helvetica;sans-serif" w:hAnsi="Arial;Helvetica;sans-serif"/>
                  <w:b/>
                  <w:i w:val="false"/>
                  <w:caps w:val="false"/>
                  <w:smallCaps w:val="false"/>
                  <w:sz w:val="20"/>
                </w:rPr>
                <w:t>PART II.</w:t>
              </w:r>
            </w:hyperlink>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0"/>
              <w:ind w:left="0" w:right="0" w:hanging="0"/>
              <w:jc w:val="left"/>
              <w:rPr/>
            </w:pPr>
            <w:hyperlink w:anchor="PartIIOTHERINFORMATION_832834">
              <w:r>
                <w:rPr>
                  <w:rStyle w:val="InternetLink"/>
                  <w:rFonts w:ascii="Arial;Helvetica;sans-serif" w:hAnsi="Arial;Helvetica;sans-serif"/>
                  <w:b/>
                  <w:i w:val="false"/>
                  <w:caps w:val="false"/>
                  <w:smallCaps w:val="false"/>
                  <w:sz w:val="20"/>
                </w:rPr>
                <w:t>OTHER INFORMATION</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w:t>
            </w:r>
          </w:p>
        </w:tc>
      </w:tr>
      <w:tr>
        <w:trPr/>
        <w:tc>
          <w:tcPr>
            <w:tcW w:w="815"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15" w:type="dxa"/>
            <w:tcBorders/>
            <w:vAlign w:val="center"/>
          </w:tcPr>
          <w:p>
            <w:pPr>
              <w:pStyle w:val="TableContents"/>
              <w:bidi w:val="0"/>
              <w:spacing w:before="0" w:after="0"/>
              <w:ind w:left="0" w:right="0" w:hanging="0"/>
              <w:jc w:val="left"/>
              <w:rPr/>
            </w:pPr>
            <w:hyperlink w:anchor="Item1LegalProceedings_634382">
              <w:r>
                <w:rPr>
                  <w:rStyle w:val="InternetLink"/>
                  <w:rFonts w:ascii="Arial;Helvetica;sans-serif" w:hAnsi="Arial;Helvetica;sans-serif"/>
                  <w:b w:val="false"/>
                  <w:i w:val="false"/>
                  <w:caps w:val="false"/>
                  <w:smallCaps w:val="false"/>
                  <w:sz w:val="20"/>
                </w:rPr>
                <w:t>Item 1.</w:t>
              </w:r>
            </w:hyperlink>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0"/>
              <w:ind w:left="0" w:right="0" w:hanging="0"/>
              <w:jc w:val="left"/>
              <w:rPr/>
            </w:pPr>
            <w:hyperlink w:anchor="Item1LegalProceedings_634382">
              <w:r>
                <w:rPr>
                  <w:rStyle w:val="InternetLink"/>
                  <w:rFonts w:ascii="Arial;Helvetica;sans-serif" w:hAnsi="Arial;Helvetica;sans-serif"/>
                  <w:b w:val="false"/>
                  <w:i w:val="false"/>
                  <w:caps w:val="false"/>
                  <w:smallCaps w:val="false"/>
                  <w:sz w:val="20"/>
                </w:rPr>
                <w:t>Legal Proceedings</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w:t>
            </w:r>
          </w:p>
        </w:tc>
      </w:tr>
      <w:tr>
        <w:trPr/>
        <w:tc>
          <w:tcPr>
            <w:tcW w:w="815"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15" w:type="dxa"/>
            <w:tcBorders/>
            <w:vAlign w:val="center"/>
          </w:tcPr>
          <w:p>
            <w:pPr>
              <w:pStyle w:val="TableContents"/>
              <w:bidi w:val="0"/>
              <w:spacing w:before="0" w:after="0"/>
              <w:ind w:left="0" w:right="0" w:hanging="0"/>
              <w:jc w:val="left"/>
              <w:rPr/>
            </w:pPr>
            <w:hyperlink w:anchor="Item1ARiskFactors">
              <w:r>
                <w:rPr>
                  <w:rStyle w:val="InternetLink"/>
                  <w:rFonts w:ascii="Arial;Helvetica;sans-serif" w:hAnsi="Arial;Helvetica;sans-serif"/>
                  <w:b w:val="false"/>
                  <w:i w:val="false"/>
                  <w:caps w:val="false"/>
                  <w:smallCaps w:val="false"/>
                  <w:sz w:val="20"/>
                </w:rPr>
                <w:t>Item 1A.</w:t>
              </w:r>
            </w:hyperlink>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0"/>
              <w:ind w:left="0" w:right="0" w:hanging="0"/>
              <w:jc w:val="left"/>
              <w:rPr/>
            </w:pPr>
            <w:hyperlink w:anchor="Item1ARiskFactors">
              <w:r>
                <w:rPr>
                  <w:rStyle w:val="InternetLink"/>
                  <w:rFonts w:ascii="Arial;Helvetica;sans-serif" w:hAnsi="Arial;Helvetica;sans-serif"/>
                  <w:b w:val="false"/>
                  <w:i w:val="false"/>
                  <w:caps w:val="false"/>
                  <w:smallCaps w:val="false"/>
                  <w:sz w:val="20"/>
                </w:rPr>
                <w:t>Risk Factors</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w:t>
            </w:r>
          </w:p>
        </w:tc>
      </w:tr>
      <w:tr>
        <w:trPr/>
        <w:tc>
          <w:tcPr>
            <w:tcW w:w="815"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15" w:type="dxa"/>
            <w:tcBorders/>
            <w:vAlign w:val="center"/>
          </w:tcPr>
          <w:p>
            <w:pPr>
              <w:pStyle w:val="TableContents"/>
              <w:bidi w:val="0"/>
              <w:spacing w:before="0" w:after="0"/>
              <w:ind w:left="0" w:right="0" w:hanging="0"/>
              <w:jc w:val="left"/>
              <w:rPr/>
            </w:pPr>
            <w:hyperlink w:anchor="Item2UnregisteredSalesofEquitySecurities">
              <w:r>
                <w:rPr>
                  <w:rStyle w:val="InternetLink"/>
                  <w:rFonts w:ascii="Arial;Helvetica;sans-serif" w:hAnsi="Arial;Helvetica;sans-serif"/>
                  <w:b w:val="false"/>
                  <w:i w:val="false"/>
                  <w:caps w:val="false"/>
                  <w:smallCaps w:val="false"/>
                  <w:sz w:val="20"/>
                </w:rPr>
                <w:t>Item 2.</w:t>
              </w:r>
            </w:hyperlink>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0"/>
              <w:ind w:left="0" w:right="0" w:hanging="0"/>
              <w:jc w:val="left"/>
              <w:rPr/>
            </w:pPr>
            <w:hyperlink w:anchor="Item2UnregisteredSalesofEquitySecurities">
              <w:r>
                <w:rPr>
                  <w:rStyle w:val="InternetLink"/>
                  <w:rFonts w:ascii="Arial;Helvetica;sans-serif" w:hAnsi="Arial;Helvetica;sans-serif"/>
                  <w:b w:val="false"/>
                  <w:i w:val="false"/>
                  <w:caps w:val="false"/>
                  <w:smallCaps w:val="false"/>
                  <w:sz w:val="20"/>
                </w:rPr>
                <w:t>Unregistered Sales of Equity Securities and Use of Proceeds</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w:t>
            </w:r>
          </w:p>
        </w:tc>
      </w:tr>
      <w:tr>
        <w:trPr/>
        <w:tc>
          <w:tcPr>
            <w:tcW w:w="815"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15" w:type="dxa"/>
            <w:tcBorders/>
            <w:vAlign w:val="center"/>
          </w:tcPr>
          <w:p>
            <w:pPr>
              <w:pStyle w:val="TableContents"/>
              <w:bidi w:val="0"/>
              <w:spacing w:before="0" w:after="0"/>
              <w:ind w:left="0" w:right="0" w:hanging="0"/>
              <w:jc w:val="left"/>
              <w:rPr/>
            </w:pPr>
            <w:hyperlink w:anchor="Item3DefaultsUponSeniorSecurities">
              <w:r>
                <w:rPr>
                  <w:rStyle w:val="InternetLink"/>
                  <w:rFonts w:ascii="Arial;Helvetica;sans-serif" w:hAnsi="Arial;Helvetica;sans-serif"/>
                  <w:b w:val="false"/>
                  <w:i w:val="false"/>
                  <w:caps w:val="false"/>
                  <w:smallCaps w:val="false"/>
                  <w:sz w:val="20"/>
                </w:rPr>
                <w:t>Item 3.</w:t>
              </w:r>
            </w:hyperlink>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0"/>
              <w:ind w:left="0" w:right="0" w:hanging="0"/>
              <w:jc w:val="left"/>
              <w:rPr/>
            </w:pPr>
            <w:hyperlink w:anchor="Item3DefaultsUponSeniorSecurities">
              <w:r>
                <w:rPr>
                  <w:rStyle w:val="InternetLink"/>
                  <w:rFonts w:ascii="Arial;Helvetica;sans-serif" w:hAnsi="Arial;Helvetica;sans-serif"/>
                  <w:b w:val="false"/>
                  <w:i w:val="false"/>
                  <w:caps w:val="false"/>
                  <w:smallCaps w:val="false"/>
                  <w:sz w:val="20"/>
                </w:rPr>
                <w:t>Defaults Upon Senior Securities</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w:t>
            </w:r>
          </w:p>
        </w:tc>
      </w:tr>
      <w:tr>
        <w:trPr/>
        <w:tc>
          <w:tcPr>
            <w:tcW w:w="815"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15" w:type="dxa"/>
            <w:tcBorders/>
            <w:vAlign w:val="center"/>
          </w:tcPr>
          <w:p>
            <w:pPr>
              <w:pStyle w:val="TableContents"/>
              <w:bidi w:val="0"/>
              <w:spacing w:before="0" w:after="0"/>
              <w:ind w:left="0" w:right="0" w:hanging="0"/>
              <w:jc w:val="left"/>
              <w:rPr/>
            </w:pPr>
            <w:hyperlink w:anchor="Item4MineSafetyDisclosures">
              <w:r>
                <w:rPr>
                  <w:rStyle w:val="InternetLink"/>
                  <w:rFonts w:ascii="Arial;Helvetica;sans-serif" w:hAnsi="Arial;Helvetica;sans-serif"/>
                  <w:b w:val="false"/>
                  <w:i w:val="false"/>
                  <w:caps w:val="false"/>
                  <w:smallCaps w:val="false"/>
                  <w:sz w:val="20"/>
                </w:rPr>
                <w:t>Item 4.</w:t>
              </w:r>
            </w:hyperlink>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0"/>
              <w:ind w:left="0" w:right="0" w:hanging="0"/>
              <w:jc w:val="left"/>
              <w:rPr/>
            </w:pPr>
            <w:hyperlink w:anchor="Item4MineSafetyDisclosures">
              <w:r>
                <w:rPr>
                  <w:rStyle w:val="InternetLink"/>
                  <w:rFonts w:ascii="Arial;Helvetica;sans-serif" w:hAnsi="Arial;Helvetica;sans-serif"/>
                  <w:b w:val="false"/>
                  <w:i w:val="false"/>
                  <w:caps w:val="false"/>
                  <w:smallCaps w:val="false"/>
                  <w:sz w:val="20"/>
                </w:rPr>
                <w:t>Mine Safety Disclosures</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w:t>
            </w:r>
          </w:p>
        </w:tc>
      </w:tr>
      <w:tr>
        <w:trPr/>
        <w:tc>
          <w:tcPr>
            <w:tcW w:w="815"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15" w:type="dxa"/>
            <w:tcBorders/>
            <w:vAlign w:val="center"/>
          </w:tcPr>
          <w:p>
            <w:pPr>
              <w:pStyle w:val="TableContents"/>
              <w:bidi w:val="0"/>
              <w:spacing w:before="0" w:after="0"/>
              <w:ind w:left="0" w:right="0" w:hanging="0"/>
              <w:jc w:val="left"/>
              <w:rPr/>
            </w:pPr>
            <w:hyperlink w:anchor="Item5OtherInformation">
              <w:r>
                <w:rPr>
                  <w:rStyle w:val="InternetLink"/>
                  <w:rFonts w:ascii="Arial;Helvetica;sans-serif" w:hAnsi="Arial;Helvetica;sans-serif"/>
                  <w:b w:val="false"/>
                  <w:i w:val="false"/>
                  <w:caps w:val="false"/>
                  <w:smallCaps w:val="false"/>
                  <w:sz w:val="20"/>
                </w:rPr>
                <w:t>Item 5.</w:t>
              </w:r>
            </w:hyperlink>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0"/>
              <w:ind w:left="0" w:right="0" w:hanging="0"/>
              <w:jc w:val="left"/>
              <w:rPr/>
            </w:pPr>
            <w:hyperlink w:anchor="Item5OtherInformation">
              <w:r>
                <w:rPr>
                  <w:rStyle w:val="InternetLink"/>
                  <w:rFonts w:ascii="Arial;Helvetica;sans-serif" w:hAnsi="Arial;Helvetica;sans-serif"/>
                  <w:b w:val="false"/>
                  <w:i w:val="false"/>
                  <w:caps w:val="false"/>
                  <w:smallCaps w:val="false"/>
                  <w:sz w:val="20"/>
                </w:rPr>
                <w:t>Other Information</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w:t>
            </w:r>
          </w:p>
        </w:tc>
      </w:tr>
      <w:tr>
        <w:trPr/>
        <w:tc>
          <w:tcPr>
            <w:tcW w:w="815"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15" w:type="dxa"/>
            <w:tcBorders/>
            <w:vAlign w:val="center"/>
          </w:tcPr>
          <w:p>
            <w:pPr>
              <w:pStyle w:val="TableContents"/>
              <w:bidi w:val="0"/>
              <w:spacing w:before="0" w:after="0"/>
              <w:ind w:left="0" w:right="0" w:hanging="0"/>
              <w:jc w:val="left"/>
              <w:rPr/>
            </w:pPr>
            <w:hyperlink w:anchor="Item6Exhibits_967042">
              <w:r>
                <w:rPr>
                  <w:rStyle w:val="InternetLink"/>
                  <w:rFonts w:ascii="Arial;Helvetica;sans-serif" w:hAnsi="Arial;Helvetica;sans-serif"/>
                  <w:b w:val="false"/>
                  <w:i w:val="false"/>
                  <w:caps w:val="false"/>
                  <w:smallCaps w:val="false"/>
                  <w:sz w:val="20"/>
                </w:rPr>
                <w:t>Item 6.</w:t>
              </w:r>
            </w:hyperlink>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0"/>
              <w:ind w:left="0" w:right="0" w:hanging="0"/>
              <w:jc w:val="left"/>
              <w:rPr/>
            </w:pPr>
            <w:hyperlink w:anchor="Item6Exhibits_967042">
              <w:r>
                <w:rPr>
                  <w:rStyle w:val="InternetLink"/>
                  <w:rFonts w:ascii="Arial;Helvetica;sans-serif" w:hAnsi="Arial;Helvetica;sans-serif"/>
                  <w:b w:val="false"/>
                  <w:i w:val="false"/>
                  <w:caps w:val="false"/>
                  <w:smallCaps w:val="false"/>
                  <w:sz w:val="20"/>
                </w:rPr>
                <w:t>Exhibits</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w:t>
            </w:r>
          </w:p>
        </w:tc>
      </w:tr>
      <w:tr>
        <w:trPr/>
        <w:tc>
          <w:tcPr>
            <w:tcW w:w="815"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15"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74" w:type="dxa"/>
            <w:tcBorders/>
            <w:vAlign w:val="center"/>
          </w:tcPr>
          <w:p>
            <w:pPr>
              <w:pStyle w:val="TableContents"/>
              <w:bidi w:val="0"/>
              <w:spacing w:before="0" w:after="0"/>
              <w:ind w:left="0" w:right="0" w:hanging="0"/>
              <w:jc w:val="left"/>
              <w:rPr/>
            </w:pPr>
            <w:hyperlink w:anchor="SIGNATURES_810600">
              <w:r>
                <w:rPr>
                  <w:rStyle w:val="InternetLink"/>
                  <w:rFonts w:ascii="Arial;Helvetica;sans-serif" w:hAnsi="Arial;Helvetica;sans-serif"/>
                  <w:b w:val="false"/>
                  <w:i w:val="false"/>
                  <w:caps w:val="false"/>
                  <w:smallCaps w:val="false"/>
                  <w:sz w:val="20"/>
                </w:rPr>
                <w:t>Signatures</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Arial;Helvetica;sans-serif" w:hAnsi="Arial;Helvetica;sans-serif"/>
          <w:b/>
          <w:sz w:val="20"/>
        </w:rPr>
      </w:pPr>
      <w:bookmarkStart w:id="25" w:name="PARTIFINANCIALINFORMATION_665355"/>
      <w:bookmarkStart w:id="26" w:name="_cf1f9388_cce7_4973_9e52_5784fc748a3f"/>
      <w:bookmarkEnd w:id="25"/>
      <w:bookmarkEnd w:id="26"/>
      <w:r>
        <w:rPr>
          <w:rFonts w:ascii="Arial;Helvetica;sans-serif" w:hAnsi="Arial;Helvetica;sans-serif"/>
          <w:b/>
          <w:sz w:val="20"/>
        </w:rPr>
        <w:t>PART I. FINANCIAL INFORMATION</w:t>
      </w:r>
    </w:p>
    <w:p>
      <w:pPr>
        <w:pStyle w:val="TextBody"/>
        <w:bidi w:val="0"/>
        <w:spacing w:before="0" w:after="240"/>
        <w:ind w:left="0" w:right="0" w:hanging="0"/>
        <w:jc w:val="left"/>
        <w:rPr>
          <w:rFonts w:ascii="Arial;Helvetica;sans-serif" w:hAnsi="Arial;Helvetica;sans-serif"/>
          <w:b/>
          <w:sz w:val="20"/>
        </w:rPr>
      </w:pPr>
      <w:bookmarkStart w:id="27" w:name="Item1FinancialStatements_284324"/>
      <w:bookmarkEnd w:id="27"/>
      <w:r>
        <w:rPr>
          <w:rFonts w:ascii="Arial;Helvetica;sans-serif" w:hAnsi="Arial;Helvetica;sans-serif"/>
          <w:b/>
          <w:sz w:val="20"/>
        </w:rPr>
        <w:t>Item 1. Financial Statements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HELIX ENERGY SOLUTIONS GROUP, INC. AND SUBSIDIARIES</w:t>
      </w:r>
    </w:p>
    <w:p>
      <w:pPr>
        <w:pStyle w:val="TextBody"/>
        <w:bidi w:val="0"/>
        <w:spacing w:before="0" w:after="0"/>
        <w:ind w:left="0" w:right="0" w:hanging="0"/>
        <w:jc w:val="center"/>
        <w:rPr>
          <w:rFonts w:ascii="Arial;Helvetica;sans-serif" w:hAnsi="Arial;Helvetica;sans-serif"/>
          <w:b/>
          <w:sz w:val="20"/>
        </w:rPr>
      </w:pPr>
      <w:bookmarkStart w:id="28" w:name="CONDENSEDCONSOLIDATEDBALANCESHEETS_97543"/>
      <w:bookmarkEnd w:id="28"/>
      <w:r>
        <w:rPr>
          <w:rFonts w:ascii="Arial;Helvetica;sans-serif" w:hAnsi="Arial;Helvetica;sans-serif"/>
          <w:b/>
          <w:sz w:val="20"/>
        </w:rPr>
        <w:t>CONDENSED CONSOLIDATED BALANCE SHEETS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9" w:name="Tc_X7kmKP3cokG02goWIwvo3Q_36_5"/>
      <w:bookmarkStart w:id="30" w:name="Tc_wO82JheLjEiaPr-Ul_yQQA_36_2"/>
      <w:bookmarkStart w:id="31" w:name="Tc_gpiqGUzoR0Kf2uUY7ooA4w_36_0"/>
      <w:bookmarkStart w:id="32" w:name="Tc_PoznolGVk0CQwMJ3h4Y7Gg_35_0"/>
      <w:bookmarkStart w:id="33" w:name="Tc_-1UR6OS45kyIgwFexnsIzw_34_0"/>
      <w:bookmarkStart w:id="34" w:name="Tc_m5Lwwmi0RkCL09I53wfNsw_33_0"/>
      <w:bookmarkStart w:id="35" w:name="Tc_Z7HSPY6EfU2sqgbxbfT5gQ_32_0"/>
      <w:bookmarkStart w:id="36" w:name="Tc_blF2_-0xW0-u3_Uv0EgF6g_31_0"/>
      <w:bookmarkStart w:id="37" w:name="Tc_aH07T_SaOEyqmq4jZcdLFQ_30_0"/>
      <w:bookmarkStart w:id="38" w:name="Tc_SSdKvHeagkKXFZxFZspLow_29_0"/>
      <w:bookmarkStart w:id="39" w:name="Tc_h899cAYC6kOL-bvEJ3jnxw_28_0"/>
      <w:bookmarkStart w:id="40" w:name="Tc_XDByCjSd5UOTS7keRYGzlg_27_0"/>
      <w:bookmarkStart w:id="41" w:name="Tc_TkONNjTu1UiYKVjSQLMgAw_26_0"/>
      <w:bookmarkStart w:id="42" w:name="Tc_rD_qqhBtJ02wJ3xVAZE4Uw_25_0"/>
      <w:bookmarkStart w:id="43" w:name="Tc_E5oaLZlsckmySFdU-IbEKg_24_0"/>
      <w:bookmarkStart w:id="44" w:name="Tc_Be9cK6ZVj0We62VdimqBZw_23_0"/>
      <w:bookmarkStart w:id="45" w:name="Tc_3LmwTL9bZE-0Iq8gz5pMVQ_22_0"/>
      <w:bookmarkStart w:id="46" w:name="Tc_bQgqd5Bx10259Hl8ZCK9jw_21_0"/>
      <w:bookmarkStart w:id="47" w:name="Tc_XIbRkDzBV0-e5ISGh-9RTg_20_5"/>
      <w:bookmarkStart w:id="48" w:name="Tc_aIxsq9KmO0aBnzKwtH3uiA_20_2"/>
      <w:bookmarkStart w:id="49" w:name="Tc_patqi27GAkCFOEPhyB93Ig_20_0"/>
      <w:bookmarkStart w:id="50" w:name="Tc_mj0XGF8Ut0--XXOaeoCPcw_19_0"/>
      <w:bookmarkStart w:id="51" w:name="Tc_Cqexmd_rFEm-jD0xybjRYg_18_0"/>
      <w:bookmarkStart w:id="52" w:name="Tc_J2oseTgfgUex0wURZhN35w_16_5"/>
      <w:bookmarkStart w:id="53" w:name="Tc_0UI9TOOCaUmh1ucNfXhjYA_16_2"/>
      <w:bookmarkStart w:id="54" w:name="Tc_c4S43oLZs0-2O3wJH5c1IQ_16_0"/>
      <w:bookmarkStart w:id="55" w:name="Tc_CPphctAEOUKTSoptKl4hOQ_15_0"/>
      <w:bookmarkStart w:id="56" w:name="Tc_Y6xy_t_soE6L250Pxy0E5w_14_0"/>
      <w:bookmarkStart w:id="57" w:name="Tc_BdThImKESU6yYyCsYB0_nw_13_0"/>
      <w:bookmarkStart w:id="58" w:name="Tc_1DcxKR7Xl0u8Nf_Mh9I6Bg_12_0"/>
      <w:bookmarkStart w:id="59" w:name="Tc_b4enSNiKpEaKMt61fsRXSA_11_0"/>
      <w:bookmarkStart w:id="60" w:name="Tc_Ak9nZIZJxUaCnKCDOqHLsA_10_0"/>
      <w:bookmarkStart w:id="61" w:name="Tc_cTPy1oGqe0CQwIg5Q8EdqQ_9_0"/>
      <w:bookmarkStart w:id="62" w:name="Tc_PsHkCNJBc0er_SecQ-6Qxg_8_0"/>
      <w:bookmarkStart w:id="63" w:name="Tc_BoSlKfKAN0KnWjKnxVJV3g_7_0"/>
      <w:bookmarkStart w:id="64" w:name="Tc_yDslsb6CDkaQn_ri2ocUag_6_5"/>
      <w:bookmarkStart w:id="65" w:name="Tc_3-xP6AIwF0mD2IDNyz-s8w_6_2"/>
      <w:bookmarkStart w:id="66" w:name="Tc_oQvPlujPfUWyFO99ELluqg_6_0"/>
      <w:bookmarkStart w:id="67" w:name="Tc_ovCjtVfSUEGlsxzwrFoLQA_5_0"/>
      <w:bookmarkStart w:id="68" w:name="Tc_CNd4UGljkUucJfUEgmD-8Q_4_0"/>
      <w:bookmarkStart w:id="69" w:name="Tc_0bKzV2-YTUSOhXibUqPe5Q_3_2"/>
      <w:bookmarkStart w:id="70" w:name="Tc_ssTEg_rjHUKlI3MLhbD9Sw_2_5"/>
      <w:bookmarkStart w:id="71" w:name="Tc_HRXQSL29ckywAxxB6SX2vA_2_2"/>
      <w:bookmarkStart w:id="72" w:name="Tc_95r5YbwbBU2m2jSrj_D7dQ_1_5"/>
      <w:bookmarkStart w:id="73" w:name="Tc_8MbzCUtys0KbAhq_s9tX2Q_1_2"/>
      <w:bookmarkStart w:id="74" w:name="_1139da40_b06a_4abb_9cd0_3ed0317a70c5"/>
      <w:bookmarkStart w:id="75" w:name="Tc_X7kmKP3cokG02goWIwvo3Q_36_5"/>
      <w:bookmarkStart w:id="76" w:name="Tc_wO82JheLjEiaPr-Ul_yQQA_36_2"/>
      <w:bookmarkStart w:id="77" w:name="Tc_gpiqGUzoR0Kf2uUY7ooA4w_36_0"/>
      <w:bookmarkStart w:id="78" w:name="Tc_PoznolGVk0CQwMJ3h4Y7Gg_35_0"/>
      <w:bookmarkStart w:id="79" w:name="Tc_-1UR6OS45kyIgwFexnsIzw_34_0"/>
      <w:bookmarkStart w:id="80" w:name="Tc_m5Lwwmi0RkCL09I53wfNsw_33_0"/>
      <w:bookmarkStart w:id="81" w:name="Tc_Z7HSPY6EfU2sqgbxbfT5gQ_32_0"/>
      <w:bookmarkStart w:id="82" w:name="Tc_blF2_-0xW0-u3_Uv0EgF6g_31_0"/>
      <w:bookmarkStart w:id="83" w:name="Tc_aH07T_SaOEyqmq4jZcdLFQ_30_0"/>
      <w:bookmarkStart w:id="84" w:name="Tc_SSdKvHeagkKXFZxFZspLow_29_0"/>
      <w:bookmarkStart w:id="85" w:name="Tc_h899cAYC6kOL-bvEJ3jnxw_28_0"/>
      <w:bookmarkStart w:id="86" w:name="Tc_XDByCjSd5UOTS7keRYGzlg_27_0"/>
      <w:bookmarkStart w:id="87" w:name="Tc_TkONNjTu1UiYKVjSQLMgAw_26_0"/>
      <w:bookmarkStart w:id="88" w:name="Tc_rD_qqhBtJ02wJ3xVAZE4Uw_25_0"/>
      <w:bookmarkStart w:id="89" w:name="Tc_E5oaLZlsckmySFdU-IbEKg_24_0"/>
      <w:bookmarkStart w:id="90" w:name="Tc_Be9cK6ZVj0We62VdimqBZw_23_0"/>
      <w:bookmarkStart w:id="91" w:name="Tc_3LmwTL9bZE-0Iq8gz5pMVQ_22_0"/>
      <w:bookmarkStart w:id="92" w:name="Tc_bQgqd5Bx10259Hl8ZCK9jw_21_0"/>
      <w:bookmarkStart w:id="93" w:name="Tc_XIbRkDzBV0-e5ISGh-9RTg_20_5"/>
      <w:bookmarkStart w:id="94" w:name="Tc_aIxsq9KmO0aBnzKwtH3uiA_20_2"/>
      <w:bookmarkStart w:id="95" w:name="Tc_patqi27GAkCFOEPhyB93Ig_20_0"/>
      <w:bookmarkStart w:id="96" w:name="Tc_mj0XGF8Ut0--XXOaeoCPcw_19_0"/>
      <w:bookmarkStart w:id="97" w:name="Tc_Cqexmd_rFEm-jD0xybjRYg_18_0"/>
      <w:bookmarkStart w:id="98" w:name="Tc_J2oseTgfgUex0wURZhN35w_16_5"/>
      <w:bookmarkStart w:id="99" w:name="Tc_0UI9TOOCaUmh1ucNfXhjYA_16_2"/>
      <w:bookmarkStart w:id="100" w:name="Tc_c4S43oLZs0-2O3wJH5c1IQ_16_0"/>
      <w:bookmarkStart w:id="101" w:name="Tc_CPphctAEOUKTSoptKl4hOQ_15_0"/>
      <w:bookmarkStart w:id="102" w:name="Tc_Y6xy_t_soE6L250Pxy0E5w_14_0"/>
      <w:bookmarkStart w:id="103" w:name="Tc_BdThImKESU6yYyCsYB0_nw_13_0"/>
      <w:bookmarkStart w:id="104" w:name="Tc_1DcxKR7Xl0u8Nf_Mh9I6Bg_12_0"/>
      <w:bookmarkStart w:id="105" w:name="Tc_b4enSNiKpEaKMt61fsRXSA_11_0"/>
      <w:bookmarkStart w:id="106" w:name="Tc_Ak9nZIZJxUaCnKCDOqHLsA_10_0"/>
      <w:bookmarkStart w:id="107" w:name="Tc_cTPy1oGqe0CQwIg5Q8EdqQ_9_0"/>
      <w:bookmarkStart w:id="108" w:name="Tc_PsHkCNJBc0er_SecQ-6Qxg_8_0"/>
      <w:bookmarkStart w:id="109" w:name="Tc_BoSlKfKAN0KnWjKnxVJV3g_7_0"/>
      <w:bookmarkStart w:id="110" w:name="Tc_yDslsb6CDkaQn_ri2ocUag_6_5"/>
      <w:bookmarkStart w:id="111" w:name="Tc_3-xP6AIwF0mD2IDNyz-s8w_6_2"/>
      <w:bookmarkStart w:id="112" w:name="Tc_oQvPlujPfUWyFO99ELluqg_6_0"/>
      <w:bookmarkStart w:id="113" w:name="Tc_ovCjtVfSUEGlsxzwrFoLQA_5_0"/>
      <w:bookmarkStart w:id="114" w:name="Tc_CNd4UGljkUucJfUEgmD-8Q_4_0"/>
      <w:bookmarkStart w:id="115" w:name="Tc_0bKzV2-YTUSOhXibUqPe5Q_3_2"/>
      <w:bookmarkStart w:id="116" w:name="Tc_ssTEg_rjHUKlI3MLhbD9Sw_2_5"/>
      <w:bookmarkStart w:id="117" w:name="Tc_HRXQSL29ckywAxxB6SX2vA_2_2"/>
      <w:bookmarkStart w:id="118" w:name="Tc_95r5YbwbBU2m2jSrj_D7dQ_1_5"/>
      <w:bookmarkStart w:id="119" w:name="Tc_8MbzCUtys0KbAhq_s9tX2Q_1_2"/>
      <w:bookmarkStart w:id="120" w:name="_1139da40_b06a_4abb_9cd0_3ed0317a70c5"/>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p>
    <w:tbl>
      <w:tblPr>
        <w:tblW w:w="10205" w:type="dxa"/>
        <w:jc w:val="left"/>
        <w:tblInd w:w="0" w:type="dxa"/>
        <w:tblLayout w:type="fixed"/>
        <w:tblCellMar>
          <w:top w:w="0" w:type="dxa"/>
          <w:left w:w="0" w:type="dxa"/>
          <w:bottom w:w="0" w:type="dxa"/>
          <w:right w:w="0" w:type="dxa"/>
        </w:tblCellMar>
      </w:tblPr>
      <w:tblGrid>
        <w:gridCol w:w="6842"/>
        <w:gridCol w:w="326"/>
        <w:gridCol w:w="211"/>
        <w:gridCol w:w="1063"/>
        <w:gridCol w:w="326"/>
        <w:gridCol w:w="234"/>
        <w:gridCol w:w="1203"/>
      </w:tblGrid>
      <w:tr>
        <w:trPr/>
        <w:tc>
          <w:tcPr>
            <w:tcW w:w="68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4344670" cy="175260"/>
                      <wp:effectExtent l="0" t="0" r="0" b="0"/>
                      <wp:wrapNone/>
                      <wp:docPr id="9" name="Frame8"/>
                      <a:graphic xmlns:a="http://schemas.openxmlformats.org/drawingml/2006/main">
                        <a:graphicData uri="http://schemas.microsoft.com/office/word/2010/wordprocessingShape">
                          <wps:wsp>
                            <wps:cNvSpPr txBox="1"/>
                            <wps:spPr>
                              <a:xfrm>
                                <a:off x="0" y="0"/>
                                <a:ext cx="4344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10" name="Frame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3985" cy="175260"/>
                      <wp:effectExtent l="0" t="0" r="0" b="0"/>
                      <wp:wrapNone/>
                      <wp:docPr id="11" name="Frame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75005" cy="175260"/>
                      <wp:effectExtent l="0" t="0" r="0" b="0"/>
                      <wp:wrapNone/>
                      <wp:docPr id="12" name="Frame11"/>
                      <a:graphic xmlns:a="http://schemas.openxmlformats.org/drawingml/2006/main">
                        <a:graphicData uri="http://schemas.microsoft.com/office/word/2010/wordprocessingShape">
                          <wps:wsp>
                            <wps:cNvSpPr txBox="1"/>
                            <wps:spPr>
                              <a:xfrm>
                                <a:off x="0" y="0"/>
                                <a:ext cx="675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7010" cy="175260"/>
                      <wp:effectExtent l="0" t="0" r="0" b="0"/>
                      <wp:wrapNone/>
                      <wp:docPr id="13"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48590" cy="175260"/>
                      <wp:effectExtent l="0" t="0" r="0" b="0"/>
                      <wp:wrapNone/>
                      <wp:docPr id="14" name="Frame13"/>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763905" cy="175260"/>
                      <wp:effectExtent l="0" t="0" r="0" b="0"/>
                      <wp:wrapNone/>
                      <wp:docPr id="15" name="Frame14"/>
                      <a:graphic xmlns:a="http://schemas.openxmlformats.org/drawingml/2006/main">
                        <a:graphicData uri="http://schemas.microsoft.com/office/word/2010/wordprocessingShape">
                          <wps:wsp>
                            <wps:cNvSpPr txBox="1"/>
                            <wps:spPr>
                              <a:xfrm>
                                <a:off x="0" y="0"/>
                                <a:ext cx="763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84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74"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w:t>
            </w:r>
          </w:p>
        </w:tc>
        <w:tc>
          <w:tcPr>
            <w:tcW w:w="326" w:type="dxa"/>
            <w:tcBorders/>
            <w:vAlign w:val="center"/>
          </w:tcPr>
          <w:p>
            <w:pPr>
              <w:pStyle w:val="TableContents"/>
              <w:bidi w:val="0"/>
              <w:spacing w:before="0" w:after="1"/>
              <w:ind w:left="0" w:right="0" w:hanging="0"/>
              <w:jc w:val="left"/>
              <w:rPr/>
            </w:pPr>
            <w:r>
              <w:rPr/>
              <w:t>​</w:t>
            </w:r>
          </w:p>
        </w:tc>
        <w:tc>
          <w:tcPr>
            <w:tcW w:w="1437"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December 31, </w:t>
            </w:r>
          </w:p>
        </w:tc>
      </w:tr>
      <w:tr>
        <w:trPr/>
        <w:tc>
          <w:tcPr>
            <w:tcW w:w="684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27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326" w:type="dxa"/>
            <w:tcBorders/>
            <w:vAlign w:val="center"/>
          </w:tcPr>
          <w:p>
            <w:pPr>
              <w:pStyle w:val="TableContents"/>
              <w:bidi w:val="0"/>
              <w:spacing w:before="0" w:after="1"/>
              <w:ind w:left="0" w:right="0" w:hanging="0"/>
              <w:jc w:val="center"/>
              <w:rPr/>
            </w:pPr>
            <w:r>
              <w:rPr/>
              <w:t>    </w:t>
            </w:r>
          </w:p>
        </w:tc>
        <w:tc>
          <w:tcPr>
            <w:tcW w:w="14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684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74"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(Unaudited)</w:t>
            </w:r>
          </w:p>
        </w:tc>
        <w:tc>
          <w:tcPr>
            <w:tcW w:w="326" w:type="dxa"/>
            <w:tcBorders/>
            <w:vAlign w:val="center"/>
          </w:tcPr>
          <w:p>
            <w:pPr>
              <w:pStyle w:val="TableContents"/>
              <w:bidi w:val="0"/>
              <w:spacing w:before="0" w:after="1"/>
              <w:ind w:left="0" w:right="0" w:hanging="0"/>
              <w:jc w:val="center"/>
              <w:rPr/>
            </w:pPr>
            <w:r>
              <w:rPr/>
              <w:t>​</w:t>
            </w:r>
          </w:p>
        </w:tc>
        <w:tc>
          <w:tcPr>
            <w:tcW w:w="234" w:type="dxa"/>
            <w:tcBorders/>
            <w:vAlign w:val="center"/>
          </w:tcPr>
          <w:p>
            <w:pPr>
              <w:pStyle w:val="TableContents"/>
              <w:bidi w:val="0"/>
              <w:spacing w:before="0" w:after="1"/>
              <w:ind w:left="0" w:right="0" w:hanging="0"/>
              <w:jc w:val="center"/>
              <w:rPr/>
            </w:pPr>
            <w:r>
              <w:rPr/>
              <w:t>​</w:t>
            </w:r>
          </w:p>
        </w:tc>
        <w:tc>
          <w:tcPr>
            <w:tcW w:w="1203" w:type="dxa"/>
            <w:tcBorders/>
            <w:vAlign w:val="center"/>
          </w:tcPr>
          <w:p>
            <w:pPr>
              <w:pStyle w:val="TableContents"/>
              <w:bidi w:val="0"/>
              <w:spacing w:before="0" w:after="1"/>
              <w:ind w:left="0" w:right="0" w:hanging="0"/>
              <w:jc w:val="center"/>
              <w:rPr/>
            </w:pPr>
            <w:r>
              <w:rPr/>
              <w:t>​</w:t>
            </w:r>
          </w:p>
        </w:tc>
      </w:tr>
      <w:tr>
        <w:trPr/>
        <w:tc>
          <w:tcPr>
            <w:tcW w:w="6842" w:type="dxa"/>
            <w:tcBorders/>
            <w:shd w:fill="CCEEFF" w:val="cle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ASSETS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63"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34" w:type="dxa"/>
            <w:tcBorders/>
            <w:shd w:fill="CCEEFF" w:val="clear"/>
            <w:vAlign w:val="center"/>
          </w:tcPr>
          <w:p>
            <w:pPr>
              <w:pStyle w:val="TableContents"/>
              <w:bidi w:val="0"/>
              <w:spacing w:before="0" w:after="1"/>
              <w:ind w:left="0" w:right="0" w:hanging="0"/>
              <w:jc w:val="left"/>
              <w:rPr/>
            </w:pPr>
            <w:r>
              <w:rPr/>
              <w:t>​</w:t>
            </w:r>
          </w:p>
        </w:tc>
        <w:tc>
          <w:tcPr>
            <w:tcW w:w="1203" w:type="dxa"/>
            <w:tcBorders/>
            <w:shd w:fill="CCEEFF" w:val="clear"/>
            <w:vAlign w:val="center"/>
          </w:tcPr>
          <w:p>
            <w:pPr>
              <w:pStyle w:val="TableContents"/>
              <w:bidi w:val="0"/>
              <w:spacing w:before="0" w:after="1"/>
              <w:ind w:left="0" w:right="0" w:hanging="0"/>
              <w:jc w:val="right"/>
              <w:rPr/>
            </w:pPr>
            <w:r>
              <w:rPr/>
              <w:t>  </w:t>
            </w:r>
          </w:p>
        </w:tc>
      </w:tr>
      <w:tr>
        <w:trPr/>
        <w:tc>
          <w:tcPr>
            <w:tcW w:w="684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Current assets:</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063"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234" w:type="dxa"/>
            <w:tcBorders/>
            <w:vAlign w:val="center"/>
          </w:tcPr>
          <w:p>
            <w:pPr>
              <w:pStyle w:val="TableContents"/>
              <w:bidi w:val="0"/>
              <w:spacing w:before="0" w:after="1"/>
              <w:ind w:left="0" w:right="0" w:hanging="0"/>
              <w:jc w:val="left"/>
              <w:rPr/>
            </w:pPr>
            <w:r>
              <w:rPr/>
              <w:t>​</w:t>
            </w:r>
          </w:p>
        </w:tc>
        <w:tc>
          <w:tcPr>
            <w:tcW w:w="1203" w:type="dxa"/>
            <w:tcBorders/>
            <w:vAlign w:val="center"/>
          </w:tcPr>
          <w:p>
            <w:pPr>
              <w:pStyle w:val="TableContents"/>
              <w:bidi w:val="0"/>
              <w:spacing w:before="0" w:after="1"/>
              <w:ind w:left="0" w:right="0" w:hanging="0"/>
              <w:jc w:val="right"/>
              <w:rPr/>
            </w:pPr>
            <w:r>
              <w:rPr/>
              <w:t>  </w:t>
            </w:r>
          </w:p>
        </w:tc>
      </w:tr>
      <w:tr>
        <w:trPr/>
        <w:tc>
          <w:tcPr>
            <w:tcW w:w="684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6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275,066</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332,191</w:t>
            </w:r>
          </w:p>
        </w:tc>
      </w:tr>
      <w:tr>
        <w:trPr/>
        <w:tc>
          <w:tcPr>
            <w:tcW w:w="684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Accounts receivable, net of allowance for credit losses of $3,836 and $3,407, respectively</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6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283,636</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120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280,427</w:t>
            </w:r>
          </w:p>
        </w:tc>
      </w:tr>
      <w:tr>
        <w:trPr/>
        <w:tc>
          <w:tcPr>
            <w:tcW w:w="684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65,213</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85,223</w:t>
            </w:r>
          </w:p>
        </w:tc>
      </w:tr>
      <w:tr>
        <w:trPr/>
        <w:tc>
          <w:tcPr>
            <w:tcW w:w="684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current assets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6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623,915</w:t>
            </w:r>
          </w:p>
        </w:tc>
        <w:tc>
          <w:tcPr>
            <w:tcW w:w="326" w:type="dxa"/>
            <w:tcBorders/>
            <w:vAlign w:val="center"/>
          </w:tcPr>
          <w:p>
            <w:pPr>
              <w:pStyle w:val="TableContents"/>
              <w:bidi w:val="0"/>
              <w:spacing w:before="0" w:after="1"/>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0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697,841</w:t>
            </w:r>
          </w:p>
        </w:tc>
      </w:tr>
      <w:tr>
        <w:trPr/>
        <w:tc>
          <w:tcPr>
            <w:tcW w:w="684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Property and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6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3,073,582</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 </w:t>
            </w:r>
          </w:p>
        </w:tc>
        <w:tc>
          <w:tcPr>
            <w:tcW w:w="12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3,078,571</w:t>
            </w:r>
          </w:p>
        </w:tc>
      </w:tr>
      <w:tr>
        <w:trPr/>
        <w:tc>
          <w:tcPr>
            <w:tcW w:w="684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accumulated depreciation</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6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(1,572,770)</w:t>
            </w:r>
          </w:p>
        </w:tc>
        <w:tc>
          <w:tcPr>
            <w:tcW w:w="326" w:type="dxa"/>
            <w:tcBorders/>
            <w:vAlign w:val="center"/>
          </w:tcPr>
          <w:p>
            <w:pPr>
              <w:pStyle w:val="TableContents"/>
              <w:bidi w:val="0"/>
              <w:spacing w:before="0" w:after="1"/>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0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(1,505,722)</w:t>
            </w:r>
          </w:p>
        </w:tc>
      </w:tr>
      <w:tr>
        <w:trPr/>
        <w:tc>
          <w:tcPr>
            <w:tcW w:w="684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Property and equipment,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6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1,500,812</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 </w:t>
            </w:r>
          </w:p>
        </w:tc>
        <w:tc>
          <w:tcPr>
            <w:tcW w:w="12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1,572,849</w:t>
            </w:r>
          </w:p>
        </w:tc>
      </w:tr>
      <w:tr>
        <w:trPr/>
        <w:tc>
          <w:tcPr>
            <w:tcW w:w="684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lease right-of-use assets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6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347,608</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120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169,233</w:t>
            </w:r>
          </w:p>
        </w:tc>
      </w:tr>
      <w:tr>
        <w:trPr/>
        <w:tc>
          <w:tcPr>
            <w:tcW w:w="684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Deferred recertification and dry dock costs,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6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78,044</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w:t>
            </w:r>
          </w:p>
        </w:tc>
        <w:tc>
          <w:tcPr>
            <w:tcW w:w="12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71,290</w:t>
            </w:r>
          </w:p>
        </w:tc>
      </w:tr>
      <w:tr>
        <w:trPr/>
        <w:tc>
          <w:tcPr>
            <w:tcW w:w="684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assets, net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6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46,558</w:t>
            </w:r>
          </w:p>
        </w:tc>
        <w:tc>
          <w:tcPr>
            <w:tcW w:w="326" w:type="dxa"/>
            <w:tcBorders/>
            <w:vAlign w:val="center"/>
          </w:tcPr>
          <w:p>
            <w:pPr>
              <w:pStyle w:val="TableContents"/>
              <w:bidi w:val="0"/>
              <w:spacing w:before="0" w:after="1"/>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0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44,823</w:t>
            </w:r>
          </w:p>
        </w:tc>
      </w:tr>
      <w:tr>
        <w:trPr/>
        <w:tc>
          <w:tcPr>
            <w:tcW w:w="684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6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2,596,937</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2,556,036</w:t>
            </w:r>
          </w:p>
        </w:tc>
      </w:tr>
      <w:tr>
        <w:trPr/>
        <w:tc>
          <w:tcPr>
            <w:tcW w:w="684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6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w:t>
            </w:r>
          </w:p>
        </w:tc>
        <w:tc>
          <w:tcPr>
            <w:tcW w:w="1203" w:type="dxa"/>
            <w:tcBorders/>
            <w:vAlign w:val="center"/>
          </w:tcPr>
          <w:p>
            <w:pPr>
              <w:pStyle w:val="TableContents"/>
              <w:bidi w:val="0"/>
              <w:spacing w:before="0" w:after="1"/>
              <w:ind w:left="0" w:right="0" w:hanging="0"/>
              <w:jc w:val="left"/>
              <w:rPr/>
            </w:pPr>
            <w:r>
              <w:rPr/>
              <w:t>​</w:t>
            </w:r>
          </w:p>
        </w:tc>
      </w:tr>
      <w:tr>
        <w:trPr/>
        <w:tc>
          <w:tcPr>
            <w:tcW w:w="6842" w:type="dxa"/>
            <w:tcBorders/>
            <w:shd w:fill="CCEEFF" w:val="cle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LIABILITIES AND SHAREHOLDERS'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63"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 </w:t>
            </w:r>
          </w:p>
        </w:tc>
        <w:tc>
          <w:tcPr>
            <w:tcW w:w="1203" w:type="dxa"/>
            <w:tcBorders/>
            <w:shd w:fill="CCEEFF" w:val="clear"/>
            <w:vAlign w:val="center"/>
          </w:tcPr>
          <w:p>
            <w:pPr>
              <w:pStyle w:val="TableContents"/>
              <w:bidi w:val="0"/>
              <w:spacing w:before="0" w:after="1"/>
              <w:ind w:left="0" w:right="0" w:hanging="0"/>
              <w:jc w:val="right"/>
              <w:rPr/>
            </w:pPr>
            <w:r>
              <w:rPr/>
              <w:t>  </w:t>
            </w:r>
          </w:p>
        </w:tc>
      </w:tr>
      <w:tr>
        <w:trPr/>
        <w:tc>
          <w:tcPr>
            <w:tcW w:w="684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Current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63"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1203" w:type="dxa"/>
            <w:tcBorders/>
            <w:vAlign w:val="center"/>
          </w:tcPr>
          <w:p>
            <w:pPr>
              <w:pStyle w:val="TableContents"/>
              <w:bidi w:val="0"/>
              <w:spacing w:before="0" w:after="1"/>
              <w:ind w:left="0" w:right="0" w:hanging="0"/>
              <w:jc w:val="right"/>
              <w:rPr/>
            </w:pPr>
            <w:r>
              <w:rPr/>
              <w:t>  </w:t>
            </w:r>
          </w:p>
        </w:tc>
      </w:tr>
      <w:tr>
        <w:trPr/>
        <w:tc>
          <w:tcPr>
            <w:tcW w:w="684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Accounts payable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6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144,830</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134,552</w:t>
            </w:r>
          </w:p>
        </w:tc>
      </w:tr>
      <w:tr>
        <w:trPr/>
        <w:tc>
          <w:tcPr>
            <w:tcW w:w="684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Accrued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6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88,662</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120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203,112</w:t>
            </w:r>
          </w:p>
        </w:tc>
      </w:tr>
      <w:tr>
        <w:trPr/>
        <w:tc>
          <w:tcPr>
            <w:tcW w:w="684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Current maturities of long-term debt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6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8,965</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 </w:t>
            </w:r>
          </w:p>
        </w:tc>
        <w:tc>
          <w:tcPr>
            <w:tcW w:w="12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48,292</w:t>
            </w:r>
          </w:p>
        </w:tc>
      </w:tr>
      <w:tr>
        <w:trPr/>
        <w:tc>
          <w:tcPr>
            <w:tcW w:w="684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Current operating lease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6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57,717</w:t>
            </w:r>
          </w:p>
        </w:tc>
        <w:tc>
          <w:tcPr>
            <w:tcW w:w="326" w:type="dxa"/>
            <w:tcBorders/>
            <w:vAlign w:val="center"/>
          </w:tcPr>
          <w:p>
            <w:pPr>
              <w:pStyle w:val="TableContents"/>
              <w:bidi w:val="0"/>
              <w:spacing w:before="0" w:after="1"/>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0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62,662</w:t>
            </w:r>
          </w:p>
        </w:tc>
      </w:tr>
      <w:tr>
        <w:trPr/>
        <w:tc>
          <w:tcPr>
            <w:tcW w:w="684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300,174</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448,618</w:t>
            </w:r>
          </w:p>
        </w:tc>
      </w:tr>
      <w:tr>
        <w:trPr/>
        <w:tc>
          <w:tcPr>
            <w:tcW w:w="684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Long-term debt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6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309,664</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120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313,430</w:t>
            </w:r>
          </w:p>
        </w:tc>
      </w:tr>
      <w:tr>
        <w:trPr/>
        <w:tc>
          <w:tcPr>
            <w:tcW w:w="684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6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302,941</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 </w:t>
            </w:r>
          </w:p>
        </w:tc>
        <w:tc>
          <w:tcPr>
            <w:tcW w:w="12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116,185</w:t>
            </w:r>
          </w:p>
        </w:tc>
      </w:tr>
      <w:tr>
        <w:trPr/>
        <w:tc>
          <w:tcPr>
            <w:tcW w:w="684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Deferred tax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6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120,169</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120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110,555</w:t>
            </w:r>
          </w:p>
        </w:tc>
      </w:tr>
      <w:tr>
        <w:trPr/>
        <w:tc>
          <w:tcPr>
            <w:tcW w:w="684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non-current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67,201</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66,248</w:t>
            </w:r>
          </w:p>
        </w:tc>
      </w:tr>
      <w:tr>
        <w:trPr/>
        <w:tc>
          <w:tcPr>
            <w:tcW w:w="684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6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1,100,149</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120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1,055,036</w:t>
            </w:r>
          </w:p>
        </w:tc>
      </w:tr>
      <w:tr>
        <w:trPr/>
        <w:tc>
          <w:tcPr>
            <w:tcW w:w="684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Commitments and contingencies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6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w:t>
            </w:r>
          </w:p>
        </w:tc>
        <w:tc>
          <w:tcPr>
            <w:tcW w:w="1203" w:type="dxa"/>
            <w:tcBorders/>
            <w:shd w:fill="CCEEFF" w:val="clear"/>
            <w:vAlign w:val="center"/>
          </w:tcPr>
          <w:p>
            <w:pPr>
              <w:pStyle w:val="TableContents"/>
              <w:bidi w:val="0"/>
              <w:spacing w:before="0" w:after="1"/>
              <w:ind w:left="0" w:right="0" w:hanging="0"/>
              <w:jc w:val="right"/>
              <w:rPr/>
            </w:pPr>
            <w:r>
              <w:rPr/>
              <w:t>​</w:t>
            </w:r>
          </w:p>
        </w:tc>
      </w:tr>
      <w:tr>
        <w:trPr/>
        <w:tc>
          <w:tcPr>
            <w:tcW w:w="684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Shareholders’ equity:</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63"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1203" w:type="dxa"/>
            <w:tcBorders/>
            <w:vAlign w:val="center"/>
          </w:tcPr>
          <w:p>
            <w:pPr>
              <w:pStyle w:val="TableContents"/>
              <w:bidi w:val="0"/>
              <w:spacing w:before="0" w:after="1"/>
              <w:ind w:left="0" w:right="0" w:hanging="0"/>
              <w:jc w:val="right"/>
              <w:rPr/>
            </w:pPr>
            <w:r>
              <w:rPr/>
              <w:t>  </w:t>
            </w:r>
          </w:p>
        </w:tc>
      </w:tr>
      <w:tr>
        <w:trPr/>
        <w:tc>
          <w:tcPr>
            <w:tcW w:w="684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Common stock, no par, 240,000 shares authorized, 152,051 and 152,291 shares issued, respectively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6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1,267,768</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 </w:t>
            </w:r>
          </w:p>
        </w:tc>
        <w:tc>
          <w:tcPr>
            <w:tcW w:w="12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1,271,565</w:t>
            </w:r>
          </w:p>
        </w:tc>
      </w:tr>
      <w:tr>
        <w:trPr/>
        <w:tc>
          <w:tcPr>
            <w:tcW w:w="684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Retained earnings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6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318,452</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120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312,450</w:t>
            </w:r>
          </w:p>
        </w:tc>
      </w:tr>
      <w:tr>
        <w:trPr/>
        <w:tc>
          <w:tcPr>
            <w:tcW w:w="684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Accumulated other comprehensive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(89,432)</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(83,015)</w:t>
            </w:r>
          </w:p>
        </w:tc>
      </w:tr>
      <w:tr>
        <w:trPr/>
        <w:tc>
          <w:tcPr>
            <w:tcW w:w="684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shareholders’ equity</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6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1,496,788</w:t>
            </w:r>
          </w:p>
        </w:tc>
        <w:tc>
          <w:tcPr>
            <w:tcW w:w="326" w:type="dxa"/>
            <w:tcBorders/>
            <w:vAlign w:val="center"/>
          </w:tcPr>
          <w:p>
            <w:pPr>
              <w:pStyle w:val="TableContents"/>
              <w:bidi w:val="0"/>
              <w:spacing w:before="0" w:after="1"/>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0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1,501,000</w:t>
            </w:r>
          </w:p>
        </w:tc>
      </w:tr>
      <w:tr>
        <w:trPr/>
        <w:tc>
          <w:tcPr>
            <w:tcW w:w="684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liabilities and shareholders’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6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2,596,937</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03"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2,556,036</w:t>
            </w:r>
          </w:p>
        </w:tc>
      </w:tr>
    </w:tbl>
    <w:p>
      <w:pPr>
        <w:pStyle w:val="TextBody"/>
        <w:bidi w:val="0"/>
        <w:spacing w:before="0" w:after="240"/>
        <w:ind w:left="0" w:right="0" w:hanging="0"/>
        <w:jc w:val="left"/>
        <w:rPr/>
      </w:pPr>
      <w:r>
        <w:rPr/>
        <w: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121" w:name="_30d1f4f5_d01b_48f8_aec3_7d38722d9439"/>
      <w:bookmarkEnd w:id="121"/>
      <w:r>
        <w:rPr>
          <w:rFonts w:ascii="Arial;Helvetica;sans-serif" w:hAnsi="Arial;Helvetica;sans-serif"/>
          <w:b/>
          <w:sz w:val="20"/>
        </w:rPr>
        <w:t>HELIX ENERGY SOLUTIONS GROUP, INC. AND SUBSIDIARIES</w:t>
      </w:r>
    </w:p>
    <w:p>
      <w:pPr>
        <w:pStyle w:val="TextBody"/>
        <w:bidi w:val="0"/>
        <w:spacing w:before="0" w:after="0"/>
        <w:ind w:left="0" w:right="0" w:hanging="0"/>
        <w:jc w:val="center"/>
        <w:rPr>
          <w:rFonts w:ascii="Arial;Helvetica;sans-serif" w:hAnsi="Arial;Helvetica;sans-serif"/>
          <w:b/>
          <w:sz w:val="20"/>
        </w:rPr>
      </w:pPr>
      <w:bookmarkStart w:id="122" w:name="CONDENSEDCONSOLIDATEDSTATEMENTSOFOPERATI"/>
      <w:bookmarkEnd w:id="122"/>
      <w:r>
        <w:rPr>
          <w:rFonts w:ascii="Arial;Helvetica;sans-serif" w:hAnsi="Arial;Helvetica;sans-serif"/>
          <w:b/>
          <w:sz w:val="20"/>
        </w:rPr>
        <w:t>CONDENSED CONSOLIDATED STATEMENTS OF OPERATIONS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 thousands, except per share amounts)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23" w:name="Tc_MHICIoh70USzwTctQDvrhw_26_0"/>
      <w:bookmarkStart w:id="124" w:name="Tc_spCRzsArHkqcnS31rq0Tvw_25_0"/>
      <w:bookmarkStart w:id="125" w:name="Tc_1u6FfTFMY0aFTOrb5E0nnA_24_0"/>
      <w:bookmarkStart w:id="126" w:name="Tc_D34T5cykZkSCAs2iHR23vA_22_11"/>
      <w:bookmarkStart w:id="127" w:name="Tc_U2Flu32GikCPqgOOCQqM6A_22_8"/>
      <w:bookmarkStart w:id="128" w:name="Tc_27FBy-5NQUi3yINGJ6xVwg_22_5"/>
      <w:bookmarkStart w:id="129" w:name="Tc_dN65DuwXwUWiAaYDiuj9OQ_22_2"/>
      <w:bookmarkStart w:id="130" w:name="Tc_f7wlKiFvDkqJR5dl09-W9w_22_0"/>
      <w:bookmarkStart w:id="131" w:name="Tc_iY-wniwcpE6uu8qp4TcxaA_21_11"/>
      <w:bookmarkStart w:id="132" w:name="Tc_Yc3fNwjMe0aCFeF6hijteQ_21_8"/>
      <w:bookmarkStart w:id="133" w:name="Tc_4xDy99BOqUy-7dXvAZ3QRg_21_5"/>
      <w:bookmarkStart w:id="134" w:name="Tc_G7vEyNcKJUqgc-cDUR8Ugg_21_2"/>
      <w:bookmarkStart w:id="135" w:name="Tc__wHEXSbRc0q4qIAmRLsGpQ_21_0"/>
      <w:bookmarkStart w:id="136" w:name="Tc_RHv1nxzxNUOTjNEu3tlL4w_20_0"/>
      <w:bookmarkStart w:id="137" w:name="Tc_cP5tQmsPMU6Q2lV8KlclBg_18_11"/>
      <w:bookmarkStart w:id="138" w:name="Tc_cGfLZ7lb6EyDU-MQ6gjnpw_18_8"/>
      <w:bookmarkStart w:id="139" w:name="Tc_5wRZDw5_ykyZBCmkq6uZ2g_18_5"/>
      <w:bookmarkStart w:id="140" w:name="Tc_ovkpbwOuvUeFQ8nEovmqSg_18_2"/>
      <w:bookmarkStart w:id="141" w:name="Tc_D8I5Q_XKzEGD5D01DrxjSQ_18_0"/>
      <w:bookmarkStart w:id="142" w:name="Tc_5qa1S9hW30iW2N6qi8vfLA_17_0"/>
      <w:bookmarkStart w:id="143" w:name="Tc_bcnaE70CaUumPaXohV7a_w_16_0"/>
      <w:bookmarkStart w:id="144" w:name="Tc_nXhIzcwUTkaC-AQjo6aeUQ_15_0"/>
      <w:bookmarkStart w:id="145" w:name="Tc_i9xAhc3AHkeUVahwGdUCMw_14_0"/>
      <w:bookmarkStart w:id="146" w:name="Tc_Mt3vX9wuQEqPYdr3RttONw_13_12"/>
      <w:bookmarkStart w:id="147" w:name="Tc_wAaV9pfsHEWDBwFhGzqLeQ_13_6"/>
      <w:bookmarkStart w:id="148" w:name="Tc_1N1j0kd6fk2UmCtpcvQUMw_13_3"/>
      <w:bookmarkStart w:id="149" w:name="Tc_Vo4P7zCy-EW1_-KwQUE79g_13_0"/>
      <w:bookmarkStart w:id="150" w:name="Tc_KFB0x8_OUUGLvWXNo8G0bQ_12_0"/>
      <w:bookmarkStart w:id="151" w:name="Tc_xkkXjnfpQUWcYoOXnaYZNA_11_0"/>
      <w:bookmarkStart w:id="152" w:name="Tc_Q7-HxZIMEE-1ap4TCEcntQ_10_0"/>
      <w:bookmarkStart w:id="153" w:name="Tc_f2af8BsqhUekPVShqfwo2Q_9_9"/>
      <w:bookmarkStart w:id="154" w:name="Tc__jayksvuSUiAW5tslOuO8g_9_3"/>
      <w:bookmarkStart w:id="155" w:name="Tc_PwjY_5ny0U-HbTSaIFVuhQ_9_0"/>
      <w:bookmarkStart w:id="156" w:name="Tc_WfBQnab42kyhlL94lF7hJg_8_9"/>
      <w:bookmarkStart w:id="157" w:name="Tc_fXR1IE1M8UGlzBBgAHq0_g_8_3"/>
      <w:bookmarkStart w:id="158" w:name="Tc_TI4Piez5vkWUN2HIzqXk3Q_8_0"/>
      <w:bookmarkStart w:id="159" w:name="Tc_H1N_jn8b7kS3YgMVBk7Y8Q_7_6"/>
      <w:bookmarkStart w:id="160" w:name="Tc_JTwL4BkPw0S5rOcy6ZibvQ_7_3"/>
      <w:bookmarkStart w:id="161" w:name="Tc_bi77CG7l7E6VVhmtgg8QEg_7_0"/>
      <w:bookmarkStart w:id="162" w:name="Tc_WPXU_776MUSBF5QSAszjog_6_0"/>
      <w:bookmarkStart w:id="163" w:name="Tc_M5ixcvrirEibUOx6bE-gBA_5_0"/>
      <w:bookmarkStart w:id="164" w:name="Tc_dWoneunGn0afV_hM47_krA_4_11"/>
      <w:bookmarkStart w:id="165" w:name="Tc_LAvcGzUwrE28hCn2jYiJRA_4_8"/>
      <w:bookmarkStart w:id="166" w:name="Tc_0d_u_RrYlEaHwx3QnBEUpQ_4_5"/>
      <w:bookmarkStart w:id="167" w:name="Tc_4USX2xuiV0S1Q794PNOulw_4_2"/>
      <w:bookmarkStart w:id="168" w:name="Tc_9levUngBLEibUOUOFZirdA_4_0"/>
      <w:bookmarkStart w:id="169" w:name="Tc_kxAoGQdDy0G8-v-6Bjth6g_3_11"/>
      <w:bookmarkStart w:id="170" w:name="Tc_mrmDcOLJ80u6f_9c5Vlw9Q_3_8"/>
      <w:bookmarkStart w:id="171" w:name="Tc_K_8N7PbWP0e2gQtHd61eNw_3_5"/>
      <w:bookmarkStart w:id="172" w:name="Tc_cQrByiO1yk2GvAPqq14Q0w_3_2"/>
      <w:bookmarkStart w:id="173" w:name="Tc_3W4RKHyXTU6wSee-fx059g_2_8"/>
      <w:bookmarkStart w:id="174" w:name="Tc_1r2kl2Serk-pS3NFVo4wSg_2_2"/>
      <w:bookmarkStart w:id="175" w:name="Tc_LDu3n8JdC0WtRvHpM_35aQ_1_8"/>
      <w:bookmarkStart w:id="176" w:name="Tc_myt63dTilUeNyzPCmkTrQA_1_2"/>
      <w:bookmarkStart w:id="177" w:name="_4ce44221_c13a_4a90_bb1b_77a934542557"/>
      <w:bookmarkStart w:id="178" w:name="Tc_MHICIoh70USzwTctQDvrhw_26_0"/>
      <w:bookmarkStart w:id="179" w:name="Tc_spCRzsArHkqcnS31rq0Tvw_25_0"/>
      <w:bookmarkStart w:id="180" w:name="Tc_1u6FfTFMY0aFTOrb5E0nnA_24_0"/>
      <w:bookmarkStart w:id="181" w:name="Tc_D34T5cykZkSCAs2iHR23vA_22_11"/>
      <w:bookmarkStart w:id="182" w:name="Tc_U2Flu32GikCPqgOOCQqM6A_22_8"/>
      <w:bookmarkStart w:id="183" w:name="Tc_27FBy-5NQUi3yINGJ6xVwg_22_5"/>
      <w:bookmarkStart w:id="184" w:name="Tc_dN65DuwXwUWiAaYDiuj9OQ_22_2"/>
      <w:bookmarkStart w:id="185" w:name="Tc_f7wlKiFvDkqJR5dl09-W9w_22_0"/>
      <w:bookmarkStart w:id="186" w:name="Tc_iY-wniwcpE6uu8qp4TcxaA_21_11"/>
      <w:bookmarkStart w:id="187" w:name="Tc_Yc3fNwjMe0aCFeF6hijteQ_21_8"/>
      <w:bookmarkStart w:id="188" w:name="Tc_4xDy99BOqUy-7dXvAZ3QRg_21_5"/>
      <w:bookmarkStart w:id="189" w:name="Tc_G7vEyNcKJUqgc-cDUR8Ugg_21_2"/>
      <w:bookmarkStart w:id="190" w:name="Tc__wHEXSbRc0q4qIAmRLsGpQ_21_0"/>
      <w:bookmarkStart w:id="191" w:name="Tc_RHv1nxzxNUOTjNEu3tlL4w_20_0"/>
      <w:bookmarkStart w:id="192" w:name="Tc_cP5tQmsPMU6Q2lV8KlclBg_18_11"/>
      <w:bookmarkStart w:id="193" w:name="Tc_cGfLZ7lb6EyDU-MQ6gjnpw_18_8"/>
      <w:bookmarkStart w:id="194" w:name="Tc_5wRZDw5_ykyZBCmkq6uZ2g_18_5"/>
      <w:bookmarkStart w:id="195" w:name="Tc_ovkpbwOuvUeFQ8nEovmqSg_18_2"/>
      <w:bookmarkStart w:id="196" w:name="Tc_D8I5Q_XKzEGD5D01DrxjSQ_18_0"/>
      <w:bookmarkStart w:id="197" w:name="Tc_5qa1S9hW30iW2N6qi8vfLA_17_0"/>
      <w:bookmarkStart w:id="198" w:name="Tc_bcnaE70CaUumPaXohV7a_w_16_0"/>
      <w:bookmarkStart w:id="199" w:name="Tc_nXhIzcwUTkaC-AQjo6aeUQ_15_0"/>
      <w:bookmarkStart w:id="200" w:name="Tc_i9xAhc3AHkeUVahwGdUCMw_14_0"/>
      <w:bookmarkStart w:id="201" w:name="Tc_Mt3vX9wuQEqPYdr3RttONw_13_12"/>
      <w:bookmarkStart w:id="202" w:name="Tc_wAaV9pfsHEWDBwFhGzqLeQ_13_6"/>
      <w:bookmarkStart w:id="203" w:name="Tc_1N1j0kd6fk2UmCtpcvQUMw_13_3"/>
      <w:bookmarkStart w:id="204" w:name="Tc_Vo4P7zCy-EW1_-KwQUE79g_13_0"/>
      <w:bookmarkStart w:id="205" w:name="Tc_KFB0x8_OUUGLvWXNo8G0bQ_12_0"/>
      <w:bookmarkStart w:id="206" w:name="Tc_xkkXjnfpQUWcYoOXnaYZNA_11_0"/>
      <w:bookmarkStart w:id="207" w:name="Tc_Q7-HxZIMEE-1ap4TCEcntQ_10_0"/>
      <w:bookmarkStart w:id="208" w:name="Tc_f2af8BsqhUekPVShqfwo2Q_9_9"/>
      <w:bookmarkStart w:id="209" w:name="Tc__jayksvuSUiAW5tslOuO8g_9_3"/>
      <w:bookmarkStart w:id="210" w:name="Tc_PwjY_5ny0U-HbTSaIFVuhQ_9_0"/>
      <w:bookmarkStart w:id="211" w:name="Tc_WfBQnab42kyhlL94lF7hJg_8_9"/>
      <w:bookmarkStart w:id="212" w:name="Tc_fXR1IE1M8UGlzBBgAHq0_g_8_3"/>
      <w:bookmarkStart w:id="213" w:name="Tc_TI4Piez5vkWUN2HIzqXk3Q_8_0"/>
      <w:bookmarkStart w:id="214" w:name="Tc_H1N_jn8b7kS3YgMVBk7Y8Q_7_6"/>
      <w:bookmarkStart w:id="215" w:name="Tc_JTwL4BkPw0S5rOcy6ZibvQ_7_3"/>
      <w:bookmarkStart w:id="216" w:name="Tc_bi77CG7l7E6VVhmtgg8QEg_7_0"/>
      <w:bookmarkStart w:id="217" w:name="Tc_WPXU_776MUSBF5QSAszjog_6_0"/>
      <w:bookmarkStart w:id="218" w:name="Tc_M5ixcvrirEibUOx6bE-gBA_5_0"/>
      <w:bookmarkStart w:id="219" w:name="Tc_dWoneunGn0afV_hM47_krA_4_11"/>
      <w:bookmarkStart w:id="220" w:name="Tc_LAvcGzUwrE28hCn2jYiJRA_4_8"/>
      <w:bookmarkStart w:id="221" w:name="Tc_0d_u_RrYlEaHwx3QnBEUpQ_4_5"/>
      <w:bookmarkStart w:id="222" w:name="Tc_4USX2xuiV0S1Q794PNOulw_4_2"/>
      <w:bookmarkStart w:id="223" w:name="Tc_9levUngBLEibUOUOFZirdA_4_0"/>
      <w:bookmarkStart w:id="224" w:name="Tc_kxAoGQdDy0G8-v-6Bjth6g_3_11"/>
      <w:bookmarkStart w:id="225" w:name="Tc_mrmDcOLJ80u6f_9c5Vlw9Q_3_8"/>
      <w:bookmarkStart w:id="226" w:name="Tc_K_8N7PbWP0e2gQtHd61eNw_3_5"/>
      <w:bookmarkStart w:id="227" w:name="Tc_cQrByiO1yk2GvAPqq14Q0w_3_2"/>
      <w:bookmarkStart w:id="228" w:name="Tc_3W4RKHyXTU6wSee-fx059g_2_8"/>
      <w:bookmarkStart w:id="229" w:name="Tc_1r2kl2Serk-pS3NFVo4wSg_2_2"/>
      <w:bookmarkStart w:id="230" w:name="Tc_LDu3n8JdC0WtRvHpM_35aQ_1_8"/>
      <w:bookmarkStart w:id="231" w:name="Tc_myt63dTilUeNyzPCmkTrQA_1_2"/>
      <w:bookmarkStart w:id="232" w:name="_4ce44221_c13a_4a90_bb1b_77a93454255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p>
    <w:tbl>
      <w:tblPr>
        <w:tblW w:w="9755" w:type="dxa"/>
        <w:jc w:val="left"/>
        <w:tblInd w:w="0" w:type="dxa"/>
        <w:tblLayout w:type="fixed"/>
        <w:tblCellMar>
          <w:top w:w="0" w:type="dxa"/>
          <w:left w:w="0" w:type="dxa"/>
          <w:bottom w:w="0" w:type="dxa"/>
          <w:right w:w="0" w:type="dxa"/>
        </w:tblCellMar>
      </w:tblPr>
      <w:tblGrid>
        <w:gridCol w:w="4261"/>
        <w:gridCol w:w="326"/>
        <w:gridCol w:w="211"/>
        <w:gridCol w:w="811"/>
        <w:gridCol w:w="326"/>
        <w:gridCol w:w="211"/>
        <w:gridCol w:w="811"/>
        <w:gridCol w:w="326"/>
        <w:gridCol w:w="211"/>
        <w:gridCol w:w="811"/>
        <w:gridCol w:w="326"/>
        <w:gridCol w:w="211"/>
        <w:gridCol w:w="913"/>
      </w:tblGrid>
      <w:tr>
        <w:trPr/>
        <w:tc>
          <w:tcPr>
            <w:tcW w:w="4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705735" cy="175260"/>
                      <wp:effectExtent l="0" t="0" r="0" b="0"/>
                      <wp:wrapNone/>
                      <wp:docPr id="16" name="Frame15"/>
                      <a:graphic xmlns:a="http://schemas.openxmlformats.org/drawingml/2006/main">
                        <a:graphicData uri="http://schemas.microsoft.com/office/word/2010/wordprocessingShape">
                          <wps:wsp>
                            <wps:cNvSpPr txBox="1"/>
                            <wps:spPr>
                              <a:xfrm>
                                <a:off x="0" y="0"/>
                                <a:ext cx="2705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7010" cy="175260"/>
                      <wp:effectExtent l="0" t="0" r="0" b="0"/>
                      <wp:wrapNone/>
                      <wp:docPr id="17" name="Frame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33985" cy="175260"/>
                      <wp:effectExtent l="0" t="0" r="0" b="0"/>
                      <wp:wrapNone/>
                      <wp:docPr id="18"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514985" cy="175260"/>
                      <wp:effectExtent l="0" t="0" r="0" b="0"/>
                      <wp:wrapNone/>
                      <wp:docPr id="19" name="Frame18"/>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7010" cy="175260"/>
                      <wp:effectExtent l="0" t="0" r="0" b="0"/>
                      <wp:wrapNone/>
                      <wp:docPr id="20" name="Frame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33985" cy="175260"/>
                      <wp:effectExtent l="0" t="0" r="0" b="0"/>
                      <wp:wrapNone/>
                      <wp:docPr id="21"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514985" cy="175260"/>
                      <wp:effectExtent l="0" t="0" r="0" b="0"/>
                      <wp:wrapNone/>
                      <wp:docPr id="22" name="Frame2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07010" cy="175260"/>
                      <wp:effectExtent l="0" t="0" r="0" b="0"/>
                      <wp:wrapNone/>
                      <wp:docPr id="23" name="Frame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33985" cy="175260"/>
                      <wp:effectExtent l="0" t="0" r="0" b="0"/>
                      <wp:wrapNone/>
                      <wp:docPr id="24" name="Frame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514985" cy="175260"/>
                      <wp:effectExtent l="0" t="0" r="0" b="0"/>
                      <wp:wrapNone/>
                      <wp:docPr id="25" name="Frame24"/>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26" name="Frame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33985" cy="175260"/>
                      <wp:effectExtent l="0" t="0" r="0" b="0"/>
                      <wp:wrapNone/>
                      <wp:docPr id="27" name="Frame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579755" cy="175260"/>
                      <wp:effectExtent l="0" t="0" r="0" b="0"/>
                      <wp:wrapNone/>
                      <wp:docPr id="28" name="Frame27"/>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370"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Three Months Ended </w:t>
            </w:r>
          </w:p>
        </w:tc>
        <w:tc>
          <w:tcPr>
            <w:tcW w:w="326" w:type="dxa"/>
            <w:tcBorders/>
            <w:vAlign w:val="center"/>
          </w:tcPr>
          <w:p>
            <w:pPr>
              <w:pStyle w:val="TableContents"/>
              <w:bidi w:val="0"/>
              <w:spacing w:before="0" w:after="1"/>
              <w:ind w:left="0" w:right="0" w:hanging="0"/>
              <w:jc w:val="center"/>
              <w:rPr/>
            </w:pPr>
            <w:r>
              <w:rPr/>
              <w:t>​</w:t>
            </w:r>
          </w:p>
        </w:tc>
        <w:tc>
          <w:tcPr>
            <w:tcW w:w="2472"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Six Months Ended </w:t>
            </w:r>
          </w:p>
        </w:tc>
      </w:tr>
      <w:tr>
        <w:trPr/>
        <w:tc>
          <w:tcPr>
            <w:tcW w:w="42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37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w:t>
            </w:r>
          </w:p>
        </w:tc>
        <w:tc>
          <w:tcPr>
            <w:tcW w:w="326" w:type="dxa"/>
            <w:tcBorders/>
            <w:vAlign w:val="center"/>
          </w:tcPr>
          <w:p>
            <w:pPr>
              <w:pStyle w:val="TableContents"/>
              <w:bidi w:val="0"/>
              <w:spacing w:before="0" w:after="1"/>
              <w:ind w:left="0" w:right="0" w:hanging="0"/>
              <w:jc w:val="center"/>
              <w:rPr/>
            </w:pPr>
            <w:r>
              <w:rPr/>
              <w:t>​</w:t>
            </w:r>
          </w:p>
        </w:tc>
        <w:tc>
          <w:tcPr>
            <w:tcW w:w="247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w:t>
            </w:r>
          </w:p>
        </w:tc>
      </w:tr>
      <w:tr>
        <w:trPr/>
        <w:tc>
          <w:tcPr>
            <w:tcW w:w="42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326" w:type="dxa"/>
            <w:tcBorders/>
            <w:vAlign w:val="center"/>
          </w:tcPr>
          <w:p>
            <w:pPr>
              <w:pStyle w:val="TableContents"/>
              <w:bidi w:val="0"/>
              <w:spacing w:before="0" w:after="1"/>
              <w:ind w:left="0" w:right="0" w:hanging="0"/>
              <w:jc w:val="center"/>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c>
          <w:tcPr>
            <w:tcW w:w="326" w:type="dxa"/>
            <w:tcBorders/>
            <w:vAlign w:val="center"/>
          </w:tcPr>
          <w:p>
            <w:pPr>
              <w:pStyle w:val="TableContents"/>
              <w:bidi w:val="0"/>
              <w:spacing w:before="0" w:after="1"/>
              <w:ind w:left="0" w:right="0" w:hanging="0"/>
              <w:jc w:val="center"/>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326" w:type="dxa"/>
            <w:tcBorders/>
            <w:vAlign w:val="center"/>
          </w:tcPr>
          <w:p>
            <w:pPr>
              <w:pStyle w:val="TableContents"/>
              <w:bidi w:val="0"/>
              <w:spacing w:before="0" w:after="1"/>
              <w:ind w:left="0" w:right="0" w:hanging="0"/>
              <w:jc w:val="center"/>
              <w:rPr/>
            </w:pPr>
            <w:r>
              <w:rPr/>
              <w:t>    </w:t>
            </w:r>
          </w:p>
        </w:tc>
        <w:tc>
          <w:tcPr>
            <w:tcW w:w="112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426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364,797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308,817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661,008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558,901</w:t>
            </w:r>
          </w:p>
        </w:tc>
      </w:tr>
      <w:tr>
        <w:trPr/>
        <w:tc>
          <w:tcPr>
            <w:tcW w:w="426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Cost of sales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289,311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253,468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565,968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488,368</w:t>
            </w:r>
          </w:p>
        </w:tc>
      </w:tr>
      <w:tr>
        <w:trPr/>
        <w:tc>
          <w:tcPr>
            <w:tcW w:w="426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Gross profit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75,486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55,349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95,040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70,533</w:t>
            </w:r>
          </w:p>
        </w:tc>
      </w:tr>
      <w:tr>
        <w:trPr/>
        <w:tc>
          <w:tcPr>
            <w:tcW w:w="426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Gain (loss) on disposition of assets,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367</w:t>
            </w:r>
          </w:p>
        </w:tc>
      </w:tr>
      <w:tr>
        <w:trPr/>
        <w:tc>
          <w:tcPr>
            <w:tcW w:w="426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Acquisition and integration costs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(540)</w:t>
            </w:r>
          </w:p>
        </w:tc>
      </w:tr>
      <w:tr>
        <w:trPr/>
        <w:tc>
          <w:tcPr>
            <w:tcW w:w="426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Change in fair value of contingent consideration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(10,828)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(14,820)</w:t>
            </w:r>
          </w:p>
        </w:tc>
      </w:tr>
      <w:tr>
        <w:trPr/>
        <w:tc>
          <w:tcPr>
            <w:tcW w:w="426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Selling, general and administrative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(22,293)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(24,007)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(42,973)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(43,638)</w:t>
            </w:r>
          </w:p>
        </w:tc>
      </w:tr>
      <w:tr>
        <w:trPr/>
        <w:tc>
          <w:tcPr>
            <w:tcW w:w="426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Income from operations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53,193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20,205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51,917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11,902</w:t>
            </w:r>
          </w:p>
        </w:tc>
      </w:tr>
      <w:tr>
        <w:trPr/>
        <w:tc>
          <w:tcPr>
            <w:tcW w:w="426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(5,891)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(4,228)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(11,368)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(8,415)</w:t>
            </w:r>
          </w:p>
        </w:tc>
      </w:tr>
      <w:tr>
        <w:trPr/>
        <w:tc>
          <w:tcPr>
            <w:tcW w:w="426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Losses related to convertible senior notes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(20,922)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3" w:type="dxa"/>
            <w:tcBorders/>
            <w:vAlign w:val="center"/>
          </w:tcPr>
          <w:p>
            <w:pPr>
              <w:pStyle w:val="TableContents"/>
              <w:bidi w:val="0"/>
              <w:spacing w:before="0" w:after="1"/>
              <w:ind w:left="0" w:right="0" w:hanging="0"/>
              <w:jc w:val="right"/>
              <w:rPr/>
            </w:pPr>
            <w:r>
              <w:rPr/>
              <w:t>—</w:t>
            </w:r>
          </w:p>
        </w:tc>
      </w:tr>
      <w:tr>
        <w:trPr/>
        <w:tc>
          <w:tcPr>
            <w:tcW w:w="426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expense,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(5,740)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(2,598)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(2,296)</w:t>
            </w:r>
          </w:p>
        </w:tc>
      </w:tr>
      <w:tr>
        <w:trPr/>
        <w:tc>
          <w:tcPr>
            <w:tcW w:w="426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Royalty income and other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2,000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2,038</w:t>
            </w:r>
          </w:p>
        </w:tc>
      </w:tr>
      <w:tr>
        <w:trPr/>
        <w:tc>
          <w:tcPr>
            <w:tcW w:w="426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Income before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47,014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10,412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19,029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3,229</w:t>
            </w:r>
          </w:p>
        </w:tc>
      </w:tr>
      <w:tr>
        <w:trPr/>
        <w:tc>
          <w:tcPr>
            <w:tcW w:w="426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Income tax provision</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14,725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3,312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13,027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1,294</w:t>
            </w:r>
          </w:p>
        </w:tc>
      </w:tr>
      <w:tr>
        <w:trPr/>
        <w:tc>
          <w:tcPr>
            <w:tcW w:w="426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32,289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7,100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6,002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1,935</w:t>
            </w:r>
          </w:p>
        </w:tc>
      </w:tr>
      <w:tr>
        <w:trPr/>
        <w:tc>
          <w:tcPr>
            <w:tcW w:w="42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left"/>
              <w:rPr/>
            </w:pPr>
            <w:r>
              <w:rPr/>
              <w:t>​</w:t>
            </w:r>
          </w:p>
        </w:tc>
      </w:tr>
      <w:tr>
        <w:trPr/>
        <w:tc>
          <w:tcPr>
            <w:tcW w:w="426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Earnings per share of common stock:</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3" w:type="dxa"/>
            <w:tcBorders/>
            <w:shd w:fill="CCEEFF" w:val="clear"/>
            <w:vAlign w:val="center"/>
          </w:tcPr>
          <w:p>
            <w:pPr>
              <w:pStyle w:val="TableContents"/>
              <w:bidi w:val="0"/>
              <w:spacing w:before="0" w:after="1"/>
              <w:ind w:left="0" w:right="0" w:hanging="0"/>
              <w:jc w:val="right"/>
              <w:rPr/>
            </w:pPr>
            <w:r>
              <w:rPr/>
              <w:t>  </w:t>
            </w:r>
          </w:p>
        </w:tc>
      </w:tr>
      <w:tr>
        <w:trPr/>
        <w:tc>
          <w:tcPr>
            <w:tcW w:w="426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Basic</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0.21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0.05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0.04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0.01</w:t>
            </w:r>
          </w:p>
        </w:tc>
      </w:tr>
      <w:tr>
        <w:trPr/>
        <w:tc>
          <w:tcPr>
            <w:tcW w:w="426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Diluted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0.21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0.05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0.04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0.01</w:t>
            </w:r>
          </w:p>
        </w:tc>
      </w:tr>
      <w:tr>
        <w:trPr/>
        <w:tc>
          <w:tcPr>
            <w:tcW w:w="42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left"/>
              <w:rPr/>
            </w:pPr>
            <w:r>
              <w:rPr/>
              <w:t>​</w:t>
            </w:r>
          </w:p>
        </w:tc>
      </w:tr>
      <w:tr>
        <w:trPr/>
        <w:tc>
          <w:tcPr>
            <w:tcW w:w="426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Weighted average common shares outstanding:</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3" w:type="dxa"/>
            <w:tcBorders/>
            <w:shd w:fill="CCEEFF" w:val="clear"/>
            <w:vAlign w:val="center"/>
          </w:tcPr>
          <w:p>
            <w:pPr>
              <w:pStyle w:val="TableContents"/>
              <w:bidi w:val="0"/>
              <w:spacing w:before="0" w:after="1"/>
              <w:ind w:left="0" w:right="0" w:hanging="0"/>
              <w:jc w:val="right"/>
              <w:rPr/>
            </w:pPr>
            <w:r>
              <w:rPr/>
              <w:t>  </w:t>
            </w:r>
          </w:p>
        </w:tc>
      </w:tr>
      <w:tr>
        <w:trPr/>
        <w:tc>
          <w:tcPr>
            <w:tcW w:w="426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Basic</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152,234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150,791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152,301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913"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151,275</w:t>
            </w:r>
          </w:p>
        </w:tc>
      </w:tr>
      <w:tr>
        <w:trPr/>
        <w:tc>
          <w:tcPr>
            <w:tcW w:w="426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Diluted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155,024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153,404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155,072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3"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153,873</w:t>
            </w:r>
          </w:p>
        </w:tc>
      </w:tr>
    </w:tbl>
    <w:p>
      <w:pPr>
        <w:pStyle w:val="TextBody"/>
        <w:bidi w:val="0"/>
        <w:spacing w:before="0" w:after="240"/>
        <w:ind w:left="0" w:right="0" w:hanging="0"/>
        <w:jc w:val="left"/>
        <w:rPr/>
      </w:pPr>
      <w:r>
        <w:rPr/>
        <w: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accompanying notes are an integral part of these condensed consolidated financial statements.</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Arial;Helvetica;sans-serif" w:hAnsi="Arial;Helvetica;sans-serif"/>
          <w:b/>
          <w:sz w:val="20"/>
        </w:rPr>
      </w:pPr>
      <w:bookmarkStart w:id="233" w:name="_aa6588cc_eb96_436c_b585_c63f12739c93"/>
      <w:bookmarkEnd w:id="233"/>
      <w:r>
        <w:rPr>
          <w:rFonts w:ascii="Arial;Helvetica;sans-serif" w:hAnsi="Arial;Helvetica;sans-serif"/>
          <w:b/>
          <w:sz w:val="20"/>
        </w:rPr>
        <w:t>HELIX ENERGY SOLUTIONS GROUP, INC. AND SUBSIDIARIES</w:t>
      </w:r>
    </w:p>
    <w:p>
      <w:pPr>
        <w:pStyle w:val="TextBody"/>
        <w:bidi w:val="0"/>
        <w:spacing w:before="0" w:after="0"/>
        <w:ind w:left="0" w:right="0" w:hanging="0"/>
        <w:jc w:val="center"/>
        <w:rPr>
          <w:rFonts w:ascii="Arial;Helvetica;sans-serif" w:hAnsi="Arial;Helvetica;sans-serif"/>
          <w:b/>
          <w:sz w:val="20"/>
        </w:rPr>
      </w:pPr>
      <w:bookmarkStart w:id="234" w:name="CONDENSEDCONSOLIDATEDSTATEMENTSOFCOMPREH"/>
      <w:bookmarkEnd w:id="234"/>
      <w:r>
        <w:rPr>
          <w:rFonts w:ascii="Arial;Helvetica;sans-serif" w:hAnsi="Arial;Helvetica;sans-serif"/>
          <w:b/>
          <w:sz w:val="20"/>
        </w:rPr>
        <w:t>CONDENSED CONSOLIDATED STATEMENTS OF COMPREHENSIVE INCOME (LOSS)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35" w:name="Tc_3P_pxMH_PUKHtF0LjY0Q8g_8_11"/>
      <w:bookmarkStart w:id="236" w:name="Tc_02j1kRetsUCPRZLkHVFXbg_8_8"/>
      <w:bookmarkStart w:id="237" w:name="Tc_bLMfEdrlFkOYgh58lQJyAg_8_5"/>
      <w:bookmarkStart w:id="238" w:name="Tc_UzEbZhTzuUGqQCyDOykzTw_8_2"/>
      <w:bookmarkStart w:id="239" w:name="Tc_PrR888MaxkeomdIeoO87Pw_8_0"/>
      <w:bookmarkStart w:id="240" w:name="Tc_Bj2-Fs5Zy0GLWNlh3NDVcQ_7_0"/>
      <w:bookmarkStart w:id="241" w:name="Tc_CRiT38LDN0u3iM0yCGeVkg_6_0"/>
      <w:bookmarkStart w:id="242" w:name="Tc_zCxNbwpfu0GGYhIoNtl6_A_5_0"/>
      <w:bookmarkStart w:id="243" w:name="Tc_AP_XNWWutE2ZxztR7pZ2rg_4_11"/>
      <w:bookmarkStart w:id="244" w:name="Tc_izoLty_HS0akkUFV8kNQRw_4_8"/>
      <w:bookmarkStart w:id="245" w:name="Tc_c-JLzWkPLkO1ZSWsVu9HLw_4_5"/>
      <w:bookmarkStart w:id="246" w:name="Tc_72V5SL4bkUmCxIiLLOJWcQ_4_2"/>
      <w:bookmarkStart w:id="247" w:name="Tc_PpWtHJTKr0GfN7IeD-530w_4_0"/>
      <w:bookmarkStart w:id="248" w:name="Tc_KcaZFoeUEEmPG-l-HnfPEw_3_11"/>
      <w:bookmarkStart w:id="249" w:name="Tc_EbJrUxdI8kmFq8VpPggu5w_3_8"/>
      <w:bookmarkStart w:id="250" w:name="Tc_yxPsbngFdEawsn30VGQrQA_3_5"/>
      <w:bookmarkStart w:id="251" w:name="Tc_f30Z2bEHi0CD4IHqFFz3Cg_3_2"/>
      <w:bookmarkStart w:id="252" w:name="Tc_AvCro5CPREuV3sNrfGazRQ_2_8"/>
      <w:bookmarkStart w:id="253" w:name="Tc_SRGts-EBnEuznRNXyeE14A_2_2"/>
      <w:bookmarkStart w:id="254" w:name="Tc_3Y_k8PjH0UaCVPySUZ3eVg_1_8"/>
      <w:bookmarkStart w:id="255" w:name="Tc_1aDb34r8-EmPcqteZz3fRA_1_2"/>
      <w:bookmarkStart w:id="256" w:name="_07b7a4fb_949a_435a_b975_527a98038a6a"/>
      <w:bookmarkStart w:id="257" w:name="Tc_3P_pxMH_PUKHtF0LjY0Q8g_8_11"/>
      <w:bookmarkStart w:id="258" w:name="Tc_02j1kRetsUCPRZLkHVFXbg_8_8"/>
      <w:bookmarkStart w:id="259" w:name="Tc_bLMfEdrlFkOYgh58lQJyAg_8_5"/>
      <w:bookmarkStart w:id="260" w:name="Tc_UzEbZhTzuUGqQCyDOykzTw_8_2"/>
      <w:bookmarkStart w:id="261" w:name="Tc_PrR888MaxkeomdIeoO87Pw_8_0"/>
      <w:bookmarkStart w:id="262" w:name="Tc_Bj2-Fs5Zy0GLWNlh3NDVcQ_7_0"/>
      <w:bookmarkStart w:id="263" w:name="Tc_CRiT38LDN0u3iM0yCGeVkg_6_0"/>
      <w:bookmarkStart w:id="264" w:name="Tc_zCxNbwpfu0GGYhIoNtl6_A_5_0"/>
      <w:bookmarkStart w:id="265" w:name="Tc_AP_XNWWutE2ZxztR7pZ2rg_4_11"/>
      <w:bookmarkStart w:id="266" w:name="Tc_izoLty_HS0akkUFV8kNQRw_4_8"/>
      <w:bookmarkStart w:id="267" w:name="Tc_c-JLzWkPLkO1ZSWsVu9HLw_4_5"/>
      <w:bookmarkStart w:id="268" w:name="Tc_72V5SL4bkUmCxIiLLOJWcQ_4_2"/>
      <w:bookmarkStart w:id="269" w:name="Tc_PpWtHJTKr0GfN7IeD-530w_4_0"/>
      <w:bookmarkStart w:id="270" w:name="Tc_KcaZFoeUEEmPG-l-HnfPEw_3_11"/>
      <w:bookmarkStart w:id="271" w:name="Tc_EbJrUxdI8kmFq8VpPggu5w_3_8"/>
      <w:bookmarkStart w:id="272" w:name="Tc_yxPsbngFdEawsn30VGQrQA_3_5"/>
      <w:bookmarkStart w:id="273" w:name="Tc_f30Z2bEHi0CD4IHqFFz3Cg_3_2"/>
      <w:bookmarkStart w:id="274" w:name="Tc_AvCro5CPREuV3sNrfGazRQ_2_8"/>
      <w:bookmarkStart w:id="275" w:name="Tc_SRGts-EBnEuznRNXyeE14A_2_2"/>
      <w:bookmarkStart w:id="276" w:name="Tc_3Y_k8PjH0UaCVPySUZ3eVg_1_8"/>
      <w:bookmarkStart w:id="277" w:name="Tc_1aDb34r8-EmPcqteZz3fRA_1_2"/>
      <w:bookmarkStart w:id="278" w:name="_07b7a4fb_949a_435a_b975_527a98038a6a"/>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tbl>
      <w:tblPr>
        <w:tblW w:w="9043" w:type="dxa"/>
        <w:jc w:val="left"/>
        <w:tblInd w:w="0" w:type="dxa"/>
        <w:tblLayout w:type="fixed"/>
        <w:tblCellMar>
          <w:top w:w="0" w:type="dxa"/>
          <w:left w:w="0" w:type="dxa"/>
          <w:bottom w:w="0" w:type="dxa"/>
          <w:right w:w="0" w:type="dxa"/>
        </w:tblCellMar>
      </w:tblPr>
      <w:tblGrid>
        <w:gridCol w:w="4216"/>
        <w:gridCol w:w="326"/>
        <w:gridCol w:w="211"/>
        <w:gridCol w:w="691"/>
        <w:gridCol w:w="326"/>
        <w:gridCol w:w="211"/>
        <w:gridCol w:w="691"/>
        <w:gridCol w:w="109"/>
        <w:gridCol w:w="211"/>
        <w:gridCol w:w="706"/>
        <w:gridCol w:w="326"/>
        <w:gridCol w:w="211"/>
        <w:gridCol w:w="808"/>
      </w:tblGrid>
      <w:tr>
        <w:trPr/>
        <w:tc>
          <w:tcPr>
            <w:tcW w:w="42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9" name="Frame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33985" cy="175260"/>
                      <wp:effectExtent l="0" t="0" r="0" b="0"/>
                      <wp:wrapNone/>
                      <wp:docPr id="30" name="Frame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438785" cy="175260"/>
                      <wp:effectExtent l="0" t="0" r="0" b="0"/>
                      <wp:wrapNone/>
                      <wp:docPr id="31" name="Frame3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32" name="Frame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33985" cy="175260"/>
                      <wp:effectExtent l="0" t="0" r="0" b="0"/>
                      <wp:wrapNone/>
                      <wp:docPr id="33" name="Frame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438785" cy="175260"/>
                      <wp:effectExtent l="0" t="0" r="0" b="0"/>
                      <wp:wrapNone/>
                      <wp:docPr id="34" name="Frame3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9215" cy="175260"/>
                      <wp:effectExtent l="0" t="0" r="0" b="0"/>
                      <wp:wrapNone/>
                      <wp:docPr id="35" name="Frame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33985" cy="175260"/>
                      <wp:effectExtent l="0" t="0" r="0" b="0"/>
                      <wp:wrapNone/>
                      <wp:docPr id="36" name="Frame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48310" cy="175260"/>
                      <wp:effectExtent l="0" t="0" r="0" b="0"/>
                      <wp:wrapNone/>
                      <wp:docPr id="37" name="Frame36"/>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8" name="Frame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33985" cy="175260"/>
                      <wp:effectExtent l="0" t="0" r="0" b="0"/>
                      <wp:wrapNone/>
                      <wp:docPr id="39" name="Frame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513080" cy="175260"/>
                      <wp:effectExtent l="0" t="0" r="0" b="0"/>
                      <wp:wrapNone/>
                      <wp:docPr id="40" name="Frame39"/>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30"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Three Months Ended </w:t>
            </w:r>
          </w:p>
        </w:tc>
        <w:tc>
          <w:tcPr>
            <w:tcW w:w="109" w:type="dxa"/>
            <w:tcBorders/>
            <w:vAlign w:val="center"/>
          </w:tcPr>
          <w:p>
            <w:pPr>
              <w:pStyle w:val="TableContents"/>
              <w:bidi w:val="0"/>
              <w:spacing w:before="0" w:after="1"/>
              <w:ind w:left="0" w:right="0" w:hanging="0"/>
              <w:jc w:val="center"/>
              <w:rPr/>
            </w:pPr>
            <w:r>
              <w:rPr/>
              <w:t>​</w:t>
            </w:r>
          </w:p>
        </w:tc>
        <w:tc>
          <w:tcPr>
            <w:tcW w:w="2262"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Six Months Ended </w:t>
            </w:r>
          </w:p>
        </w:tc>
      </w:tr>
      <w:tr>
        <w:trPr/>
        <w:tc>
          <w:tcPr>
            <w:tcW w:w="42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w:t>
            </w:r>
          </w:p>
        </w:tc>
        <w:tc>
          <w:tcPr>
            <w:tcW w:w="109" w:type="dxa"/>
            <w:tcBorders/>
            <w:vAlign w:val="center"/>
          </w:tcPr>
          <w:p>
            <w:pPr>
              <w:pStyle w:val="TableContents"/>
              <w:bidi w:val="0"/>
              <w:spacing w:before="0" w:after="1"/>
              <w:ind w:left="0" w:right="0" w:hanging="0"/>
              <w:jc w:val="center"/>
              <w:rPr/>
            </w:pPr>
            <w:r>
              <w:rPr/>
              <w:t>​</w:t>
            </w:r>
          </w:p>
        </w:tc>
        <w:tc>
          <w:tcPr>
            <w:tcW w:w="226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w:t>
            </w:r>
          </w:p>
        </w:tc>
      </w:tr>
      <w:tr>
        <w:trPr/>
        <w:tc>
          <w:tcPr>
            <w:tcW w:w="42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326" w:type="dxa"/>
            <w:tcBorders/>
            <w:vAlign w:val="center"/>
          </w:tcPr>
          <w:p>
            <w:pPr>
              <w:pStyle w:val="TableContents"/>
              <w:bidi w:val="0"/>
              <w:spacing w:before="0" w:after="1"/>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c>
          <w:tcPr>
            <w:tcW w:w="109" w:type="dxa"/>
            <w:tcBorders/>
            <w:vAlign w:val="center"/>
          </w:tcPr>
          <w:p>
            <w:pPr>
              <w:pStyle w:val="TableContents"/>
              <w:bidi w:val="0"/>
              <w:spacing w:before="0" w:after="1"/>
              <w:ind w:left="0" w:right="0" w:hanging="0"/>
              <w:jc w:val="center"/>
              <w:rPr/>
            </w:pPr>
            <w:r>
              <w:rPr/>
              <w:t>​</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326" w:type="dxa"/>
            <w:tcBorders/>
            <w:vAlign w:val="center"/>
          </w:tcPr>
          <w:p>
            <w:pPr>
              <w:pStyle w:val="TableContents"/>
              <w:bidi w:val="0"/>
              <w:spacing w:before="0" w:after="1"/>
              <w:ind w:left="0" w:right="0" w:hanging="0"/>
              <w:jc w:val="center"/>
              <w:rPr/>
            </w:pPr>
            <w:r>
              <w:rPr/>
              <w:t>    </w:t>
            </w:r>
          </w:p>
        </w:tc>
        <w:tc>
          <w:tcPr>
            <w:tcW w:w="10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42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32,289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7,100</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6,002</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1,935</w:t>
            </w:r>
          </w:p>
        </w:tc>
      </w:tr>
      <w:tr>
        <w:trPr/>
        <w:tc>
          <w:tcPr>
            <w:tcW w:w="421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comprehensive income (loss), net of tax:</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right"/>
              <w:rPr/>
            </w:pPr>
            <w:r>
              <w:rPr/>
              <w:t>  </w:t>
            </w:r>
          </w:p>
        </w:tc>
      </w:tr>
      <w:tr>
        <w:trPr/>
        <w:tc>
          <w:tcPr>
            <w:tcW w:w="42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Foreign currency translation gain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12,285</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(6,417)</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20,717</w:t>
            </w:r>
          </w:p>
        </w:tc>
      </w:tr>
      <w:tr>
        <w:trPr/>
        <w:tc>
          <w:tcPr>
            <w:tcW w:w="421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comprehensive income (loss), net of tax</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12,285</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(6,417)</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20,717</w:t>
            </w:r>
          </w:p>
        </w:tc>
      </w:tr>
      <w:tr>
        <w:trPr/>
        <w:tc>
          <w:tcPr>
            <w:tcW w:w="42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Comprehensive income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32,555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19,385</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(415)</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22,652</w:t>
            </w:r>
          </w:p>
        </w:tc>
      </w:tr>
    </w:tbl>
    <w:p>
      <w:pPr>
        <w:pStyle w:val="TextBody"/>
        <w:bidi w:val="0"/>
        <w:spacing w:before="0" w:after="240"/>
        <w:ind w:left="0" w:right="0" w:hanging="0"/>
        <w:jc w:val="left"/>
        <w:rPr/>
      </w:pPr>
      <w:r>
        <w:rPr/>
        <w: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279" w:name="_bb6a0f0e_cb76_4666_a7bf_48cc3456c527"/>
      <w:bookmarkEnd w:id="279"/>
      <w:r>
        <w:rPr>
          <w:rFonts w:ascii="Arial;Helvetica;sans-serif" w:hAnsi="Arial;Helvetica;sans-serif"/>
          <w:b/>
          <w:sz w:val="20"/>
        </w:rPr>
        <w:t>HELIX ENERGY SOLUTIONS GROUP, INC. AND SUBSIDIARIES</w:t>
      </w:r>
    </w:p>
    <w:p>
      <w:pPr>
        <w:pStyle w:val="TextBody"/>
        <w:bidi w:val="0"/>
        <w:spacing w:before="0" w:after="0"/>
        <w:ind w:left="0" w:right="0" w:hanging="0"/>
        <w:jc w:val="center"/>
        <w:rPr>
          <w:rFonts w:ascii="Arial;Helvetica;sans-serif" w:hAnsi="Arial;Helvetica;sans-serif"/>
          <w:b/>
          <w:sz w:val="20"/>
        </w:rPr>
      </w:pPr>
      <w:bookmarkStart w:id="280" w:name="CONDENSEDCONSOLIDATEDSTATEMENTSOFSEQTD"/>
      <w:bookmarkEnd w:id="280"/>
      <w:r>
        <w:rPr>
          <w:rFonts w:ascii="Arial;Helvetica;sans-serif" w:hAnsi="Arial;Helvetica;sans-serif"/>
          <w:b/>
          <w:sz w:val="20"/>
        </w:rPr>
        <w:t>CONDENSED CONSOLIDATED STATEMENTS OF SHAREHOLDERS’ EQUITY</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81" w:name="Tc_I6cYtngjR0mHnPUi1XtEEg_19_13"/>
      <w:bookmarkStart w:id="282" w:name="Tc_IyAuaVclG02VBPfLQJ0aEw_19_10"/>
      <w:bookmarkStart w:id="283" w:name="Tc_6Lkg25OfMkSm170kHvULQA_19_7"/>
      <w:bookmarkStart w:id="284" w:name="Tc_K0gbA4O5YkOPxz7RmyhU-w_19_4"/>
      <w:bookmarkStart w:id="285" w:name="Tc_lzcAAsKS2UGRJJ2V06VajQ_19_0"/>
      <w:bookmarkStart w:id="286" w:name="Tc_hqV_ssuC9k2AwYxqMb20iA_18_11"/>
      <w:bookmarkStart w:id="287" w:name="Tc_VZv_LEVKm0CzFT1ViEzOHQ_18_8"/>
      <w:bookmarkStart w:id="288" w:name="Tc_HWZKRhGlqEWo6e6AyBDxHQ_18_2"/>
      <w:bookmarkStart w:id="289" w:name="Tc_QPbTdNsXgUasNc8hL9ybyA_18_0"/>
      <w:bookmarkStart w:id="290" w:name="Tc_fYv-JLkdmkeuTRxKeNKBeA_17_11"/>
      <w:bookmarkStart w:id="291" w:name="Tc_DrRHnyyaJEOVFdCcCbKGsw_17_8"/>
      <w:bookmarkStart w:id="292" w:name="Tc_edUsC6SeaE2phvL7cWsDqA_17_0"/>
      <w:bookmarkStart w:id="293" w:name="Tc_tMdSjjLBW02KcV1iuTvGvQ_16_11"/>
      <w:bookmarkStart w:id="294" w:name="Tc_ROn4Ok26gkKRfBmHujhmVQ_16_8"/>
      <w:bookmarkStart w:id="295" w:name="Tc_4xH6n4yvhUGGo6PvGrrQfw_16_0"/>
      <w:bookmarkStart w:id="296" w:name="Tc_iWN2lk_eE0un3H7uMZA01w_15_8"/>
      <w:bookmarkStart w:id="297" w:name="Tc_UVoEs5SV10qjYiuU1MO7jg_15_5"/>
      <w:bookmarkStart w:id="298" w:name="Tc_IP_cemN9pEKLZAEgwkBKfA_15_2"/>
      <w:bookmarkStart w:id="299" w:name="Tc_agKS2oohEE2B-HD-dlb7PA_15_0"/>
      <w:bookmarkStart w:id="300" w:name="Tc_tW_vGI8Z2kW-kWaB2JHVJg_14_11"/>
      <w:bookmarkStart w:id="301" w:name="Tc_QTIl3_bFQUW5ZMsKnY9liw_14_5"/>
      <w:bookmarkStart w:id="302" w:name="Tc_b5Y8gkGjkkitlS7WLzhhHw_14_2"/>
      <w:bookmarkStart w:id="303" w:name="Tc_Ro1Jjg_w7kyqIgxJNmPDCg_14_0"/>
      <w:bookmarkStart w:id="304" w:name="Tc_JMuOQX_DpEmZ0HnZV0X0oQ_13_13"/>
      <w:bookmarkStart w:id="305" w:name="Tc_9pQ1E4LqZUuiJY3b34qVlw_13_10"/>
      <w:bookmarkStart w:id="306" w:name="Tc_pS1m6tTIxEix3pz0BbPzUw_13_7"/>
      <w:bookmarkStart w:id="307" w:name="Tc_9oe-Ewpsp0GLjCSnJTUXZw_13_4"/>
      <w:bookmarkStart w:id="308" w:name="Tc_Xo7ddgaXnk21IMPhLGNKgw_13_0"/>
      <w:bookmarkStart w:id="309" w:name="Tc_QQMi4w6KzkmFkRywnLF32Q_11_13"/>
      <w:bookmarkStart w:id="310" w:name="Tc_jC2sM0PTz0iPO_uOnHzlfg_11_10"/>
      <w:bookmarkStart w:id="311" w:name="Tc_u7pqhKvCwUaYV7uPacNjsg_11_7"/>
      <w:bookmarkStart w:id="312" w:name="Tc_6-y9D81icU-X4bB8LFvqGw_11_4"/>
      <w:bookmarkStart w:id="313" w:name="Tc_SgLcBB9KDk2qug1o2r7GCg_11_0"/>
      <w:bookmarkStart w:id="314" w:name="Tc_aOmWxR3Ll0CSBbk01Zy_Ww_10_11"/>
      <w:bookmarkStart w:id="315" w:name="Tc_OjEZuLqcZEK76-KMeCCwhg_10_8"/>
      <w:bookmarkStart w:id="316" w:name="Tc_5i3qj7XzeE2CrLGAUGwJXw_10_2"/>
      <w:bookmarkStart w:id="317" w:name="Tc_Ux613idN806JkqkA5CL45Q_10_0"/>
      <w:bookmarkStart w:id="318" w:name="Tc_gwIeQ6hq9EGE4_xi79uhNg_9_11"/>
      <w:bookmarkStart w:id="319" w:name="Tc_9SGEnPgh30yG_n7JDRhyOg_9_8"/>
      <w:bookmarkStart w:id="320" w:name="Tc_U8nNdODm50unEH_3S9_hvg_9_0"/>
      <w:bookmarkStart w:id="321" w:name="Tc_02OzqHH6cky6b-_2m3D7RQ_8_11"/>
      <w:bookmarkStart w:id="322" w:name="Tc_dPo3KWBpY0afKOw3NqOsvw_8_8"/>
      <w:bookmarkStart w:id="323" w:name="Tc_Pva_wXFlxUWDcvwpUZyZWQ_8_0"/>
      <w:bookmarkStart w:id="324" w:name="Tc_gmKhG74W2EaBOPvMzYwFvg_7_8"/>
      <w:bookmarkStart w:id="325" w:name="Tc_lnwFVcfQ80G975EeKO6ZiA_7_5"/>
      <w:bookmarkStart w:id="326" w:name="Tc_Mmf26CXmQkyhtLPLkqXgVw_7_2"/>
      <w:bookmarkStart w:id="327" w:name="Tc_cGsj3tCLuEWyE0k4CWPJng_7_0"/>
      <w:bookmarkStart w:id="328" w:name="Tc_9nBlszN4g0OCxnLQWz3BOQ_6_11"/>
      <w:bookmarkStart w:id="329" w:name="Tc_Lg_98u7OsE6gvhEFyoubwg_6_5"/>
      <w:bookmarkStart w:id="330" w:name="Tc_gUTQNeexqUGssbwncht5nw_6_2"/>
      <w:bookmarkStart w:id="331" w:name="Tc_g-dXyhSaNkuUkgjIwjDM6w_6_0"/>
      <w:bookmarkStart w:id="332" w:name="Tc_jaa2lX8AKEu1RLx5egeEqA_5_13"/>
      <w:bookmarkStart w:id="333" w:name="Tc_4stzWdOts0q_eKbdhrceKA_5_10"/>
      <w:bookmarkStart w:id="334" w:name="Tc_P_p2R2ZlMUanbBlOXDpGKg_5_7"/>
      <w:bookmarkStart w:id="335" w:name="Tc_vT0ZzbzVNE-IY5QF5dYBIQ_5_4"/>
      <w:bookmarkStart w:id="336" w:name="Tc_uJuuY5h7q0qgeAWfOVyXWQ_5_0"/>
      <w:bookmarkStart w:id="337" w:name="Tc_-NYOtgIWnEudrJWlTG8YSw_4_13"/>
      <w:bookmarkStart w:id="338" w:name="Tc_Apr3j0DCrEKLJa2cwwJaWQ_4_10"/>
      <w:bookmarkStart w:id="339" w:name="Tc_YZW8G3mzYkOEaqkGidRR6g_4_7"/>
      <w:bookmarkStart w:id="340" w:name="Tc_08AuN_h1IUqWmVxgJJCnrg_4_4"/>
      <w:bookmarkStart w:id="341" w:name="Tc_ZrpF6TgzrkKv5l-EnO8RzQ_4_2"/>
      <w:bookmarkStart w:id="342" w:name="Tc_AVI190FHD0Odc9Yi954TgQ_3_13"/>
      <w:bookmarkStart w:id="343" w:name="Tc_L2uLFFgKOEac3y6dTF6pFA_3_10"/>
      <w:bookmarkStart w:id="344" w:name="Tc_FlM2vsn3fkWVqfUs9b7cTg_3_7"/>
      <w:bookmarkStart w:id="345" w:name="Tc_ZpHMg5mu2UCec8QyFGCwRA_3_2"/>
      <w:bookmarkStart w:id="346" w:name="Tc_UUyglFyINkqgk40LWPgpAA_2_13"/>
      <w:bookmarkStart w:id="347" w:name="Tc_M_BLI7B0lE637Dk5XXL1_Q_2_10"/>
      <w:bookmarkStart w:id="348" w:name="Tc_bvKaTKXQwE63r3ruxnpKnw_1_10"/>
      <w:bookmarkStart w:id="349" w:name="_96adb381_4b49_47a8_8380_c252feec2259"/>
      <w:bookmarkStart w:id="350" w:name="Tc_I6cYtngjR0mHnPUi1XtEEg_19_13"/>
      <w:bookmarkStart w:id="351" w:name="Tc_IyAuaVclG02VBPfLQJ0aEw_19_10"/>
      <w:bookmarkStart w:id="352" w:name="Tc_6Lkg25OfMkSm170kHvULQA_19_7"/>
      <w:bookmarkStart w:id="353" w:name="Tc_K0gbA4O5YkOPxz7RmyhU-w_19_4"/>
      <w:bookmarkStart w:id="354" w:name="Tc_lzcAAsKS2UGRJJ2V06VajQ_19_0"/>
      <w:bookmarkStart w:id="355" w:name="Tc_hqV_ssuC9k2AwYxqMb20iA_18_11"/>
      <w:bookmarkStart w:id="356" w:name="Tc_VZv_LEVKm0CzFT1ViEzOHQ_18_8"/>
      <w:bookmarkStart w:id="357" w:name="Tc_HWZKRhGlqEWo6e6AyBDxHQ_18_2"/>
      <w:bookmarkStart w:id="358" w:name="Tc_QPbTdNsXgUasNc8hL9ybyA_18_0"/>
      <w:bookmarkStart w:id="359" w:name="Tc_fYv-JLkdmkeuTRxKeNKBeA_17_11"/>
      <w:bookmarkStart w:id="360" w:name="Tc_DrRHnyyaJEOVFdCcCbKGsw_17_8"/>
      <w:bookmarkStart w:id="361" w:name="Tc_edUsC6SeaE2phvL7cWsDqA_17_0"/>
      <w:bookmarkStart w:id="362" w:name="Tc_tMdSjjLBW02KcV1iuTvGvQ_16_11"/>
      <w:bookmarkStart w:id="363" w:name="Tc_ROn4Ok26gkKRfBmHujhmVQ_16_8"/>
      <w:bookmarkStart w:id="364" w:name="Tc_4xH6n4yvhUGGo6PvGrrQfw_16_0"/>
      <w:bookmarkStart w:id="365" w:name="Tc_iWN2lk_eE0un3H7uMZA01w_15_8"/>
      <w:bookmarkStart w:id="366" w:name="Tc_UVoEs5SV10qjYiuU1MO7jg_15_5"/>
      <w:bookmarkStart w:id="367" w:name="Tc_IP_cemN9pEKLZAEgwkBKfA_15_2"/>
      <w:bookmarkStart w:id="368" w:name="Tc_agKS2oohEE2B-HD-dlb7PA_15_0"/>
      <w:bookmarkStart w:id="369" w:name="Tc_tW_vGI8Z2kW-kWaB2JHVJg_14_11"/>
      <w:bookmarkStart w:id="370" w:name="Tc_QTIl3_bFQUW5ZMsKnY9liw_14_5"/>
      <w:bookmarkStart w:id="371" w:name="Tc_b5Y8gkGjkkitlS7WLzhhHw_14_2"/>
      <w:bookmarkStart w:id="372" w:name="Tc_Ro1Jjg_w7kyqIgxJNmPDCg_14_0"/>
      <w:bookmarkStart w:id="373" w:name="Tc_JMuOQX_DpEmZ0HnZV0X0oQ_13_13"/>
      <w:bookmarkStart w:id="374" w:name="Tc_9pQ1E4LqZUuiJY3b34qVlw_13_10"/>
      <w:bookmarkStart w:id="375" w:name="Tc_pS1m6tTIxEix3pz0BbPzUw_13_7"/>
      <w:bookmarkStart w:id="376" w:name="Tc_9oe-Ewpsp0GLjCSnJTUXZw_13_4"/>
      <w:bookmarkStart w:id="377" w:name="Tc_Xo7ddgaXnk21IMPhLGNKgw_13_0"/>
      <w:bookmarkStart w:id="378" w:name="Tc_QQMi4w6KzkmFkRywnLF32Q_11_13"/>
      <w:bookmarkStart w:id="379" w:name="Tc_jC2sM0PTz0iPO_uOnHzlfg_11_10"/>
      <w:bookmarkStart w:id="380" w:name="Tc_u7pqhKvCwUaYV7uPacNjsg_11_7"/>
      <w:bookmarkStart w:id="381" w:name="Tc_6-y9D81icU-X4bB8LFvqGw_11_4"/>
      <w:bookmarkStart w:id="382" w:name="Tc_SgLcBB9KDk2qug1o2r7GCg_11_0"/>
      <w:bookmarkStart w:id="383" w:name="Tc_aOmWxR3Ll0CSBbk01Zy_Ww_10_11"/>
      <w:bookmarkStart w:id="384" w:name="Tc_OjEZuLqcZEK76-KMeCCwhg_10_8"/>
      <w:bookmarkStart w:id="385" w:name="Tc_5i3qj7XzeE2CrLGAUGwJXw_10_2"/>
      <w:bookmarkStart w:id="386" w:name="Tc_Ux613idN806JkqkA5CL45Q_10_0"/>
      <w:bookmarkStart w:id="387" w:name="Tc_gwIeQ6hq9EGE4_xi79uhNg_9_11"/>
      <w:bookmarkStart w:id="388" w:name="Tc_9SGEnPgh30yG_n7JDRhyOg_9_8"/>
      <w:bookmarkStart w:id="389" w:name="Tc_U8nNdODm50unEH_3S9_hvg_9_0"/>
      <w:bookmarkStart w:id="390" w:name="Tc_02OzqHH6cky6b-_2m3D7RQ_8_11"/>
      <w:bookmarkStart w:id="391" w:name="Tc_dPo3KWBpY0afKOw3NqOsvw_8_8"/>
      <w:bookmarkStart w:id="392" w:name="Tc_Pva_wXFlxUWDcvwpUZyZWQ_8_0"/>
      <w:bookmarkStart w:id="393" w:name="Tc_gmKhG74W2EaBOPvMzYwFvg_7_8"/>
      <w:bookmarkStart w:id="394" w:name="Tc_lnwFVcfQ80G975EeKO6ZiA_7_5"/>
      <w:bookmarkStart w:id="395" w:name="Tc_Mmf26CXmQkyhtLPLkqXgVw_7_2"/>
      <w:bookmarkStart w:id="396" w:name="Tc_cGsj3tCLuEWyE0k4CWPJng_7_0"/>
      <w:bookmarkStart w:id="397" w:name="Tc_9nBlszN4g0OCxnLQWz3BOQ_6_11"/>
      <w:bookmarkStart w:id="398" w:name="Tc_Lg_98u7OsE6gvhEFyoubwg_6_5"/>
      <w:bookmarkStart w:id="399" w:name="Tc_gUTQNeexqUGssbwncht5nw_6_2"/>
      <w:bookmarkStart w:id="400" w:name="Tc_g-dXyhSaNkuUkgjIwjDM6w_6_0"/>
      <w:bookmarkStart w:id="401" w:name="Tc_jaa2lX8AKEu1RLx5egeEqA_5_13"/>
      <w:bookmarkStart w:id="402" w:name="Tc_4stzWdOts0q_eKbdhrceKA_5_10"/>
      <w:bookmarkStart w:id="403" w:name="Tc_P_p2R2ZlMUanbBlOXDpGKg_5_7"/>
      <w:bookmarkStart w:id="404" w:name="Tc_vT0ZzbzVNE-IY5QF5dYBIQ_5_4"/>
      <w:bookmarkStart w:id="405" w:name="Tc_uJuuY5h7q0qgeAWfOVyXWQ_5_0"/>
      <w:bookmarkStart w:id="406" w:name="Tc_-NYOtgIWnEudrJWlTG8YSw_4_13"/>
      <w:bookmarkStart w:id="407" w:name="Tc_Apr3j0DCrEKLJa2cwwJaWQ_4_10"/>
      <w:bookmarkStart w:id="408" w:name="Tc_YZW8G3mzYkOEaqkGidRR6g_4_7"/>
      <w:bookmarkStart w:id="409" w:name="Tc_08AuN_h1IUqWmVxgJJCnrg_4_4"/>
      <w:bookmarkStart w:id="410" w:name="Tc_ZrpF6TgzrkKv5l-EnO8RzQ_4_2"/>
      <w:bookmarkStart w:id="411" w:name="Tc_AVI190FHD0Odc9Yi954TgQ_3_13"/>
      <w:bookmarkStart w:id="412" w:name="Tc_L2uLFFgKOEac3y6dTF6pFA_3_10"/>
      <w:bookmarkStart w:id="413" w:name="Tc_FlM2vsn3fkWVqfUs9b7cTg_3_7"/>
      <w:bookmarkStart w:id="414" w:name="Tc_ZpHMg5mu2UCec8QyFGCwRA_3_2"/>
      <w:bookmarkStart w:id="415" w:name="Tc_UUyglFyINkqgk40LWPgpAA_2_13"/>
      <w:bookmarkStart w:id="416" w:name="Tc_M_BLI7B0lE637Dk5XXL1_Q_2_10"/>
      <w:bookmarkStart w:id="417" w:name="Tc_bvKaTKXQwE63r3ruxnpKnw_1_10"/>
      <w:bookmarkStart w:id="418" w:name="_96adb381_4b49_47a8_8380_c252feec225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p>
    <w:tbl>
      <w:tblPr>
        <w:tblW w:w="10205" w:type="dxa"/>
        <w:jc w:val="left"/>
        <w:tblInd w:w="0" w:type="dxa"/>
        <w:tblLayout w:type="fixed"/>
        <w:tblCellMar>
          <w:top w:w="0" w:type="dxa"/>
          <w:left w:w="0" w:type="dxa"/>
          <w:bottom w:w="0" w:type="dxa"/>
          <w:right w:w="0" w:type="dxa"/>
        </w:tblCellMar>
      </w:tblPr>
      <w:tblGrid>
        <w:gridCol w:w="2616"/>
        <w:gridCol w:w="326"/>
        <w:gridCol w:w="796"/>
        <w:gridCol w:w="326"/>
        <w:gridCol w:w="211"/>
        <w:gridCol w:w="961"/>
        <w:gridCol w:w="326"/>
        <w:gridCol w:w="211"/>
        <w:gridCol w:w="796"/>
        <w:gridCol w:w="326"/>
        <w:gridCol w:w="341"/>
        <w:gridCol w:w="1220"/>
        <w:gridCol w:w="326"/>
        <w:gridCol w:w="232"/>
        <w:gridCol w:w="1191"/>
      </w:tblGrid>
      <w:tr>
        <w:trPr/>
        <w:tc>
          <w:tcPr>
            <w:tcW w:w="26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41"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05460" cy="175260"/>
                      <wp:effectExtent l="0" t="0" r="0" b="0"/>
                      <wp:wrapNone/>
                      <wp:docPr id="42" name="Frame4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43"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33985" cy="175260"/>
                      <wp:effectExtent l="0" t="0" r="0" b="0"/>
                      <wp:wrapNone/>
                      <wp:docPr id="44" name="Frame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10235" cy="175260"/>
                      <wp:effectExtent l="0" t="0" r="0" b="0"/>
                      <wp:wrapNone/>
                      <wp:docPr id="45" name="Frame44"/>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7010" cy="175260"/>
                      <wp:effectExtent l="0" t="0" r="0" b="0"/>
                      <wp:wrapNone/>
                      <wp:docPr id="46" name="Frame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33985" cy="175260"/>
                      <wp:effectExtent l="0" t="0" r="0" b="0"/>
                      <wp:wrapNone/>
                      <wp:docPr id="47" name="Frame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505460" cy="175260"/>
                      <wp:effectExtent l="0" t="0" r="0" b="0"/>
                      <wp:wrapNone/>
                      <wp:docPr id="48" name="Frame4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9" name="Frame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6535" cy="175260"/>
                      <wp:effectExtent l="0" t="0" r="0" b="0"/>
                      <wp:wrapNone/>
                      <wp:docPr id="50" name="Frame49"/>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774700" cy="175260"/>
                      <wp:effectExtent l="0" t="0" r="0" b="0"/>
                      <wp:wrapNone/>
                      <wp:docPr id="51" name="Frame50"/>
                      <a:graphic xmlns:a="http://schemas.openxmlformats.org/drawingml/2006/main">
                        <a:graphicData uri="http://schemas.microsoft.com/office/word/2010/wordprocessingShape">
                          <wps:wsp>
                            <wps:cNvSpPr txBox="1"/>
                            <wps:spPr>
                              <a:xfrm>
                                <a:off x="0" y="0"/>
                                <a:ext cx="774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52"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47320" cy="175260"/>
                      <wp:effectExtent l="0" t="0" r="0" b="0"/>
                      <wp:wrapNone/>
                      <wp:docPr id="53" name="Frame52"/>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756285" cy="175260"/>
                      <wp:effectExtent l="0" t="0" r="0" b="0"/>
                      <wp:wrapNone/>
                      <wp:docPr id="54" name="Frame53"/>
                      <a:graphic xmlns:a="http://schemas.openxmlformats.org/drawingml/2006/main">
                        <a:graphicData uri="http://schemas.microsoft.com/office/word/2010/wordprocessingShape">
                          <wps:wsp>
                            <wps:cNvSpPr txBox="1"/>
                            <wps:spPr>
                              <a:xfrm>
                                <a:off x="0" y="0"/>
                                <a:ext cx="756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561" w:type="dxa"/>
            <w:gridSpan w:val="2"/>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b/>
                <w:sz w:val="20"/>
              </w:rPr>
              <w:t>Accumulated</w:t>
            </w:r>
            <w:r>
              <w:rPr>
                <w:rFonts w:ascii="Arial;Helvetica;sans-serif" w:hAnsi="Arial;Helvetica;sans-serif"/>
                <w:sz w:val="20"/>
              </w:rPr>
              <w:t xml:space="preserve"> </w:t>
            </w:r>
          </w:p>
        </w:tc>
        <w:tc>
          <w:tcPr>
            <w:tcW w:w="326" w:type="dxa"/>
            <w:tcBorders/>
            <w:vAlign w:val="center"/>
          </w:tcPr>
          <w:p>
            <w:pPr>
              <w:pStyle w:val="TableContents"/>
              <w:bidi w:val="0"/>
              <w:spacing w:before="0" w:after="1"/>
              <w:ind w:left="0" w:right="0" w:hanging="0"/>
              <w:jc w:val="center"/>
              <w:rPr/>
            </w:pPr>
            <w:r>
              <w:rPr/>
              <w:t>​</w:t>
            </w:r>
          </w:p>
        </w:tc>
        <w:tc>
          <w:tcPr>
            <w:tcW w:w="232" w:type="dxa"/>
            <w:tcBorders/>
            <w:vAlign w:val="center"/>
          </w:tcPr>
          <w:p>
            <w:pPr>
              <w:pStyle w:val="TableContents"/>
              <w:bidi w:val="0"/>
              <w:spacing w:before="0" w:after="1"/>
              <w:ind w:left="0" w:right="0" w:hanging="0"/>
              <w:jc w:val="left"/>
              <w:rPr/>
            </w:pPr>
            <w:r>
              <w:rPr/>
              <w:t>​</w:t>
            </w:r>
          </w:p>
        </w:tc>
        <w:tc>
          <w:tcPr>
            <w:tcW w:w="1191" w:type="dxa"/>
            <w:tcBorders/>
            <w:vAlign w:val="center"/>
          </w:tcPr>
          <w:p>
            <w:pPr>
              <w:pStyle w:val="TableContents"/>
              <w:bidi w:val="0"/>
              <w:spacing w:before="0" w:after="1"/>
              <w:ind w:left="0" w:right="0" w:hanging="0"/>
              <w:jc w:val="center"/>
              <w:rPr/>
            </w:pPr>
            <w:r>
              <w:rPr/>
              <w:t>​</w:t>
            </w:r>
          </w:p>
        </w:tc>
      </w:tr>
      <w:tr>
        <w:trPr/>
        <w:tc>
          <w:tcPr>
            <w:tcW w:w="26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561"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Other</w:t>
            </w:r>
          </w:p>
        </w:tc>
        <w:tc>
          <w:tcPr>
            <w:tcW w:w="326" w:type="dxa"/>
            <w:tcBorders/>
            <w:vAlign w:val="center"/>
          </w:tcPr>
          <w:p>
            <w:pPr>
              <w:pStyle w:val="TableContents"/>
              <w:bidi w:val="0"/>
              <w:spacing w:before="0" w:after="1"/>
              <w:ind w:left="0" w:right="0" w:hanging="0"/>
              <w:jc w:val="center"/>
              <w:rPr/>
            </w:pPr>
            <w:r>
              <w:rPr/>
              <w:t>​</w:t>
            </w:r>
          </w:p>
        </w:tc>
        <w:tc>
          <w:tcPr>
            <w:tcW w:w="1423"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Total</w:t>
            </w:r>
          </w:p>
        </w:tc>
      </w:tr>
      <w:tr>
        <w:trPr/>
        <w:tc>
          <w:tcPr>
            <w:tcW w:w="26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29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Common Stock</w:t>
            </w:r>
          </w:p>
        </w:tc>
        <w:tc>
          <w:tcPr>
            <w:tcW w:w="326" w:type="dxa"/>
            <w:tcBorders/>
            <w:vAlign w:val="center"/>
          </w:tcPr>
          <w:p>
            <w:pPr>
              <w:pStyle w:val="TableContents"/>
              <w:bidi w:val="0"/>
              <w:spacing w:before="0" w:after="1"/>
              <w:ind w:left="0" w:right="0" w:hanging="0"/>
              <w:jc w:val="center"/>
              <w:rPr/>
            </w:pPr>
            <w:r>
              <w:rPr/>
              <w:t>​</w:t>
            </w:r>
          </w:p>
        </w:tc>
        <w:tc>
          <w:tcPr>
            <w:tcW w:w="1007"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Retained</w:t>
            </w:r>
          </w:p>
        </w:tc>
        <w:tc>
          <w:tcPr>
            <w:tcW w:w="326" w:type="dxa"/>
            <w:tcBorders/>
            <w:vAlign w:val="center"/>
          </w:tcPr>
          <w:p>
            <w:pPr>
              <w:pStyle w:val="TableContents"/>
              <w:bidi w:val="0"/>
              <w:spacing w:before="0" w:after="1"/>
              <w:ind w:left="0" w:right="0" w:hanging="0"/>
              <w:jc w:val="center"/>
              <w:rPr/>
            </w:pPr>
            <w:r>
              <w:rPr/>
              <w:t>​</w:t>
            </w:r>
          </w:p>
        </w:tc>
        <w:tc>
          <w:tcPr>
            <w:tcW w:w="1561"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Comprehensive</w:t>
            </w:r>
          </w:p>
        </w:tc>
        <w:tc>
          <w:tcPr>
            <w:tcW w:w="326" w:type="dxa"/>
            <w:tcBorders/>
            <w:vAlign w:val="center"/>
          </w:tcPr>
          <w:p>
            <w:pPr>
              <w:pStyle w:val="TableContents"/>
              <w:bidi w:val="0"/>
              <w:spacing w:before="0" w:after="1"/>
              <w:ind w:left="0" w:right="0" w:hanging="0"/>
              <w:jc w:val="center"/>
              <w:rPr/>
            </w:pPr>
            <w:r>
              <w:rPr/>
              <w:t>​</w:t>
            </w:r>
          </w:p>
        </w:tc>
        <w:tc>
          <w:tcPr>
            <w:tcW w:w="1423"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Shareholders’</w:t>
            </w:r>
          </w:p>
        </w:tc>
      </w:tr>
      <w:tr>
        <w:trPr/>
        <w:tc>
          <w:tcPr>
            <w:tcW w:w="26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Shares</w:t>
            </w:r>
          </w:p>
        </w:tc>
        <w:tc>
          <w:tcPr>
            <w:tcW w:w="326" w:type="dxa"/>
            <w:tcBorders/>
            <w:vAlign w:val="center"/>
          </w:tcPr>
          <w:p>
            <w:pPr>
              <w:pStyle w:val="TableContents"/>
              <w:bidi w:val="0"/>
              <w:spacing w:before="0" w:after="1"/>
              <w:ind w:left="0" w:right="0" w:hanging="0"/>
              <w:jc w:val="center"/>
              <w:rPr/>
            </w:pPr>
            <w:r>
              <w:rPr/>
              <w:t>    </w:t>
            </w:r>
          </w:p>
        </w:tc>
        <w:tc>
          <w:tcPr>
            <w:tcW w:w="11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Amount</w:t>
            </w:r>
          </w:p>
        </w:tc>
        <w:tc>
          <w:tcPr>
            <w:tcW w:w="326" w:type="dxa"/>
            <w:tcBorders/>
            <w:vAlign w:val="center"/>
          </w:tcPr>
          <w:p>
            <w:pPr>
              <w:pStyle w:val="TableContents"/>
              <w:bidi w:val="0"/>
              <w:spacing w:before="0" w:after="1"/>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Earnings</w:t>
            </w:r>
          </w:p>
        </w:tc>
        <w:tc>
          <w:tcPr>
            <w:tcW w:w="326" w:type="dxa"/>
            <w:tcBorders/>
            <w:vAlign w:val="center"/>
          </w:tcPr>
          <w:p>
            <w:pPr>
              <w:pStyle w:val="TableContents"/>
              <w:bidi w:val="0"/>
              <w:spacing w:before="0" w:after="1"/>
              <w:ind w:left="0" w:right="0" w:hanging="0"/>
              <w:jc w:val="center"/>
              <w:rPr/>
            </w:pPr>
            <w:r>
              <w:rPr/>
              <w:t>    </w:t>
            </w:r>
          </w:p>
        </w:tc>
        <w:tc>
          <w:tcPr>
            <w:tcW w:w="15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Loss</w:t>
            </w:r>
          </w:p>
        </w:tc>
        <w:tc>
          <w:tcPr>
            <w:tcW w:w="326" w:type="dxa"/>
            <w:tcBorders/>
            <w:vAlign w:val="center"/>
          </w:tcPr>
          <w:p>
            <w:pPr>
              <w:pStyle w:val="TableContents"/>
              <w:bidi w:val="0"/>
              <w:spacing w:before="0" w:after="1"/>
              <w:ind w:left="0" w:right="0" w:hanging="0"/>
              <w:jc w:val="center"/>
              <w:rPr/>
            </w:pPr>
            <w:r>
              <w:rPr/>
              <w:t>    </w:t>
            </w:r>
          </w:p>
        </w:tc>
        <w:tc>
          <w:tcPr>
            <w:tcW w:w="142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Equity</w:t>
            </w:r>
          </w:p>
        </w:tc>
      </w:tr>
      <w:tr>
        <w:trPr/>
        <w:tc>
          <w:tcPr>
            <w:tcW w:w="26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Balance, March 31, 2024</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152,450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1,270,357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286,163</w:t>
            </w:r>
          </w:p>
        </w:tc>
        <w:tc>
          <w:tcPr>
            <w:tcW w:w="326" w:type="dxa"/>
            <w:tcBorders/>
            <w:shd w:fill="CCEEFF" w:val="clear"/>
            <w:vAlign w:val="center"/>
          </w:tcPr>
          <w:p>
            <w:pPr>
              <w:pStyle w:val="TableContents"/>
              <w:bidi w:val="0"/>
              <w:spacing w:before="0" w:after="1"/>
              <w:ind w:left="0" w:right="0" w:hanging="0"/>
              <w:jc w:val="left"/>
              <w:rPr/>
            </w:pPr>
            <w:r>
              <w:rPr/>
              <w:t>​</w:t>
            </w:r>
          </w:p>
        </w:tc>
        <w:tc>
          <w:tcPr>
            <w:tcW w:w="34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2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(89,698)</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1,466,822</w:t>
            </w:r>
          </w:p>
        </w:tc>
      </w:tr>
      <w:tr>
        <w:trPr/>
        <w:tc>
          <w:tcPr>
            <w:tcW w:w="261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income</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32,289</w:t>
            </w:r>
          </w:p>
        </w:tc>
        <w:tc>
          <w:tcPr>
            <w:tcW w:w="326"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left"/>
              <w:rPr/>
            </w:pPr>
            <w:r>
              <w:rPr/>
              <w:t> </w:t>
            </w:r>
          </w:p>
        </w:tc>
        <w:tc>
          <w:tcPr>
            <w:tcW w:w="122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11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32,289</w:t>
            </w:r>
          </w:p>
        </w:tc>
      </w:tr>
      <w:tr>
        <w:trPr/>
        <w:tc>
          <w:tcPr>
            <w:tcW w:w="26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Foreign currency translation adjustments</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41" w:type="dxa"/>
            <w:tcBorders/>
            <w:shd w:fill="CCEEFF" w:val="clear"/>
            <w:vAlign w:val="center"/>
          </w:tcPr>
          <w:p>
            <w:pPr>
              <w:pStyle w:val="TableContents"/>
              <w:bidi w:val="0"/>
              <w:spacing w:before="0" w:after="1"/>
              <w:ind w:left="0" w:right="0" w:hanging="0"/>
              <w:jc w:val="left"/>
              <w:rPr/>
            </w:pPr>
            <w:r>
              <w:rPr/>
              <w:t> </w:t>
            </w:r>
          </w:p>
        </w:tc>
        <w:tc>
          <w:tcPr>
            <w:tcW w:w="122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266</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11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266</w:t>
            </w:r>
          </w:p>
        </w:tc>
      </w:tr>
      <w:tr>
        <w:trPr/>
        <w:tc>
          <w:tcPr>
            <w:tcW w:w="261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Repurchases of common stock</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(5,186)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left"/>
              <w:rPr/>
            </w:pPr>
            <w:r>
              <w:rPr/>
              <w:t> </w:t>
            </w:r>
          </w:p>
        </w:tc>
        <w:tc>
          <w:tcPr>
            <w:tcW w:w="122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11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(5,186)</w:t>
            </w:r>
          </w:p>
        </w:tc>
      </w:tr>
      <w:tr>
        <w:trPr/>
        <w:tc>
          <w:tcPr>
            <w:tcW w:w="26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Activity in company stock plans, net and other</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769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41" w:type="dxa"/>
            <w:tcBorders/>
            <w:shd w:fill="CCEEFF" w:val="clear"/>
            <w:vAlign w:val="center"/>
          </w:tcPr>
          <w:p>
            <w:pPr>
              <w:pStyle w:val="TableContents"/>
              <w:bidi w:val="0"/>
              <w:spacing w:before="0" w:after="1"/>
              <w:ind w:left="0" w:right="0" w:hanging="0"/>
              <w:jc w:val="left"/>
              <w:rPr/>
            </w:pPr>
            <w:r>
              <w:rPr/>
              <w:t> </w:t>
            </w:r>
          </w:p>
        </w:tc>
        <w:tc>
          <w:tcPr>
            <w:tcW w:w="122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11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769</w:t>
            </w:r>
          </w:p>
        </w:tc>
      </w:tr>
      <w:tr>
        <w:trPr/>
        <w:tc>
          <w:tcPr>
            <w:tcW w:w="261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Share-based compensation</w:t>
            </w:r>
          </w:p>
        </w:tc>
        <w:tc>
          <w:tcPr>
            <w:tcW w:w="32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1,828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4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2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1,828</w:t>
            </w:r>
          </w:p>
        </w:tc>
      </w:tr>
      <w:tr>
        <w:trPr/>
        <w:tc>
          <w:tcPr>
            <w:tcW w:w="26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Balance, June 30, 2024</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152,051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1,267,768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318,452</w:t>
            </w:r>
          </w:p>
        </w:tc>
        <w:tc>
          <w:tcPr>
            <w:tcW w:w="326" w:type="dxa"/>
            <w:tcBorders/>
            <w:shd w:fill="CCEEFF" w:val="clear"/>
            <w:vAlign w:val="center"/>
          </w:tcPr>
          <w:p>
            <w:pPr>
              <w:pStyle w:val="TableContents"/>
              <w:bidi w:val="0"/>
              <w:spacing w:before="0" w:after="1"/>
              <w:ind w:left="0" w:right="0" w:hanging="0"/>
              <w:jc w:val="left"/>
              <w:rPr/>
            </w:pPr>
            <w:r>
              <w:rPr/>
              <w:t>​</w:t>
            </w:r>
          </w:p>
        </w:tc>
        <w:tc>
          <w:tcPr>
            <w:tcW w:w="34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2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(89,432)</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1,496,788</w:t>
            </w:r>
          </w:p>
        </w:tc>
      </w:tr>
      <w:tr>
        <w:trPr/>
        <w:tc>
          <w:tcPr>
            <w:tcW w:w="26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left"/>
              <w:rPr/>
            </w:pPr>
            <w:r>
              <w:rPr/>
              <w:t>​</w:t>
            </w:r>
          </w:p>
        </w:tc>
        <w:tc>
          <w:tcPr>
            <w:tcW w:w="122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1191" w:type="dxa"/>
            <w:tcBorders/>
            <w:vAlign w:val="center"/>
          </w:tcPr>
          <w:p>
            <w:pPr>
              <w:pStyle w:val="TableContents"/>
              <w:bidi w:val="0"/>
              <w:spacing w:before="0" w:after="1"/>
              <w:ind w:left="0" w:right="0" w:hanging="0"/>
              <w:jc w:val="left"/>
              <w:rPr/>
            </w:pPr>
            <w:r>
              <w:rPr/>
              <w:t>​</w:t>
            </w:r>
          </w:p>
        </w:tc>
      </w:tr>
      <w:tr>
        <w:trPr/>
        <w:tc>
          <w:tcPr>
            <w:tcW w:w="26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Balance, March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151,494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1,294,484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318,123</w:t>
            </w:r>
          </w:p>
        </w:tc>
        <w:tc>
          <w:tcPr>
            <w:tcW w:w="326" w:type="dxa"/>
            <w:tcBorders/>
            <w:shd w:fill="CCEEFF" w:val="clear"/>
            <w:vAlign w:val="center"/>
          </w:tcPr>
          <w:p>
            <w:pPr>
              <w:pStyle w:val="TableContents"/>
              <w:bidi w:val="0"/>
              <w:spacing w:before="0" w:after="1"/>
              <w:ind w:left="0" w:right="0" w:hanging="0"/>
              <w:jc w:val="left"/>
              <w:rPr/>
            </w:pPr>
            <w:r>
              <w:rPr/>
              <w:t>​</w:t>
            </w:r>
          </w:p>
        </w:tc>
        <w:tc>
          <w:tcPr>
            <w:tcW w:w="34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2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(96,887)</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1,515,720</w:t>
            </w:r>
          </w:p>
        </w:tc>
      </w:tr>
      <w:tr>
        <w:trPr/>
        <w:tc>
          <w:tcPr>
            <w:tcW w:w="261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income</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7,100</w:t>
            </w:r>
          </w:p>
        </w:tc>
        <w:tc>
          <w:tcPr>
            <w:tcW w:w="326"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left"/>
              <w:rPr/>
            </w:pPr>
            <w:r>
              <w:rPr/>
              <w:t> </w:t>
            </w:r>
          </w:p>
        </w:tc>
        <w:tc>
          <w:tcPr>
            <w:tcW w:w="122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11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7,100</w:t>
            </w:r>
          </w:p>
        </w:tc>
      </w:tr>
      <w:tr>
        <w:trPr/>
        <w:tc>
          <w:tcPr>
            <w:tcW w:w="26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Foreign currency translation adjustments</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41" w:type="dxa"/>
            <w:tcBorders/>
            <w:shd w:fill="CCEEFF" w:val="clear"/>
            <w:vAlign w:val="center"/>
          </w:tcPr>
          <w:p>
            <w:pPr>
              <w:pStyle w:val="TableContents"/>
              <w:bidi w:val="0"/>
              <w:spacing w:before="0" w:after="1"/>
              <w:ind w:left="0" w:right="0" w:hanging="0"/>
              <w:jc w:val="left"/>
              <w:rPr/>
            </w:pPr>
            <w:r>
              <w:rPr/>
              <w:t> </w:t>
            </w:r>
          </w:p>
        </w:tc>
        <w:tc>
          <w:tcPr>
            <w:tcW w:w="122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12,285</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11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12,285</w:t>
            </w:r>
          </w:p>
        </w:tc>
      </w:tr>
      <w:tr>
        <w:trPr/>
        <w:tc>
          <w:tcPr>
            <w:tcW w:w="261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Repurchases of common stock</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(750)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(5,123)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left"/>
              <w:rPr/>
            </w:pPr>
            <w:r>
              <w:rPr/>
              <w:t>​</w:t>
            </w:r>
          </w:p>
        </w:tc>
        <w:tc>
          <w:tcPr>
            <w:tcW w:w="122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11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(5,123)</w:t>
            </w:r>
          </w:p>
        </w:tc>
      </w:tr>
      <w:tr>
        <w:trPr/>
        <w:tc>
          <w:tcPr>
            <w:tcW w:w="26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Activity in company stock plans, net and other</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41" w:type="dxa"/>
            <w:tcBorders/>
            <w:shd w:fill="CCEEFF" w:val="clear"/>
            <w:vAlign w:val="center"/>
          </w:tcPr>
          <w:p>
            <w:pPr>
              <w:pStyle w:val="TableContents"/>
              <w:bidi w:val="0"/>
              <w:spacing w:before="0" w:after="1"/>
              <w:ind w:left="0" w:right="0" w:hanging="0"/>
              <w:jc w:val="left"/>
              <w:rPr/>
            </w:pPr>
            <w:r>
              <w:rPr/>
              <w:t> </w:t>
            </w:r>
          </w:p>
        </w:tc>
        <w:tc>
          <w:tcPr>
            <w:tcW w:w="122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11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446</w:t>
            </w:r>
          </w:p>
        </w:tc>
      </w:tr>
      <w:tr>
        <w:trPr/>
        <w:tc>
          <w:tcPr>
            <w:tcW w:w="261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Share-based compensation</w:t>
            </w:r>
          </w:p>
        </w:tc>
        <w:tc>
          <w:tcPr>
            <w:tcW w:w="32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1,500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4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2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1,500</w:t>
            </w:r>
          </w:p>
        </w:tc>
      </w:tr>
      <w:tr>
        <w:trPr/>
        <w:tc>
          <w:tcPr>
            <w:tcW w:w="26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Balance, June 30, 2023</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150,810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1,291,307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325,223</w:t>
            </w:r>
          </w:p>
        </w:tc>
        <w:tc>
          <w:tcPr>
            <w:tcW w:w="326" w:type="dxa"/>
            <w:tcBorders/>
            <w:shd w:fill="CCEEFF" w:val="clear"/>
            <w:vAlign w:val="center"/>
          </w:tcPr>
          <w:p>
            <w:pPr>
              <w:pStyle w:val="TableContents"/>
              <w:bidi w:val="0"/>
              <w:spacing w:before="0" w:after="1"/>
              <w:ind w:left="0" w:right="0" w:hanging="0"/>
              <w:jc w:val="left"/>
              <w:rPr/>
            </w:pPr>
            <w:r>
              <w:rPr/>
              <w:t>​</w:t>
            </w:r>
          </w:p>
        </w:tc>
        <w:tc>
          <w:tcPr>
            <w:tcW w:w="34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2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(84,602)</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91"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1,531,928</w:t>
            </w:r>
          </w:p>
        </w:tc>
      </w:tr>
    </w:tbl>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419" w:name="Tc_ynvJQgZzAk-Yv2_T0HJZCQ_21_13"/>
      <w:bookmarkStart w:id="420" w:name="Tc_RLafkM5bdkef0_8NPO4hXA_21_10"/>
      <w:bookmarkStart w:id="421" w:name="Tc_U5_bdr_pWEy0Agvvd6pcLw_21_7"/>
      <w:bookmarkStart w:id="422" w:name="Tc_Iuu0Mj_0i0OuKA8FGtDcww_21_4"/>
      <w:bookmarkStart w:id="423" w:name="Tc_wuz1GXRMfUmyHKxNq5tSrg_21_0"/>
      <w:bookmarkStart w:id="424" w:name="Tc_B1hUkmXBdU2mgtk7C-AV4A_20_11"/>
      <w:bookmarkStart w:id="425" w:name="Tc_SRBcQmpMQ0ezN-sfj-dNFQ_20_8"/>
      <w:bookmarkStart w:id="426" w:name="Tc_s-JDelhXPES_CBuh_QcneQ_20_2"/>
      <w:bookmarkStart w:id="427" w:name="Tc_P07VXPqDE0S9amjHlqaGdQ_20_0"/>
      <w:bookmarkStart w:id="428" w:name="Tc_QxOeTB3AlU-UYms1VjdwMg_19_11"/>
      <w:bookmarkStart w:id="429" w:name="Tc_ZArbsaGd9E2dn_pF9KcK2Q_19_8"/>
      <w:bookmarkStart w:id="430" w:name="Tc_mbbOn3KjpkqKxdYzIfgI3Q_19_0"/>
      <w:bookmarkStart w:id="431" w:name="Tc_rppRSAcvoUCQfr_SgCtydg_18_11"/>
      <w:bookmarkStart w:id="432" w:name="Tc_az7TFVGJ8E-gAOSIIPZkKQ_18_8"/>
      <w:bookmarkStart w:id="433" w:name="Tc_r4B7FS8Ou0ClLiPC9_jHpA_18_0"/>
      <w:bookmarkStart w:id="434" w:name="Tc_guKQo3y1qkyQLoR9qcPXpg_17_8"/>
      <w:bookmarkStart w:id="435" w:name="Tc_LwB60spRuk6j1V0oykUHPw_17_5"/>
      <w:bookmarkStart w:id="436" w:name="Tc_xlvNb8E42kaUN4PqWBVeLA_17_2"/>
      <w:bookmarkStart w:id="437" w:name="Tc_enMcvMe55UKGAo5elKpW2Q_17_0"/>
      <w:bookmarkStart w:id="438" w:name="Tc_ifkrKT64wEu8hRHRBtTOLw_16_11"/>
      <w:bookmarkStart w:id="439" w:name="Tc_V3lt0SLrqkSYuzTXd0--xg_16_5"/>
      <w:bookmarkStart w:id="440" w:name="Tc_ZbEfLM3W10iaMlagDfvdfg_16_2"/>
      <w:bookmarkStart w:id="441" w:name="Tc_7fo-qOmlyEmmv1WzpBcZAQ_16_0"/>
      <w:bookmarkStart w:id="442" w:name="Tc_0jnvEpDTnEmuyaCn7Pwt8g_15_13"/>
      <w:bookmarkStart w:id="443" w:name="Tc_6Ws-U3tlpUuWFk3QJtZhvw_15_10"/>
      <w:bookmarkStart w:id="444" w:name="Tc_A7uIfARDqEaomBOSEI0m-g_15_7"/>
      <w:bookmarkStart w:id="445" w:name="Tc_-8QYX9z8S0q0kJalRxHi0w_15_4"/>
      <w:bookmarkStart w:id="446" w:name="Tc_9EvsMeGEA0W59X-AFBDj4w_15_0"/>
      <w:bookmarkStart w:id="447" w:name="Tc_6f8jYnwtZE6cUUY47gJdsQ_13_13"/>
      <w:bookmarkStart w:id="448" w:name="Tc_0FEJYMa9akmx_rOY1_KeNg_13_10"/>
      <w:bookmarkStart w:id="449" w:name="Tc_YBlu9_FCNESEfM-kK62ZVw_13_7"/>
      <w:bookmarkStart w:id="450" w:name="Tc_Tx7kqOv_DEq1EAzZsk68gw_13_4"/>
      <w:bookmarkStart w:id="451" w:name="Tc_7kNnZBaIG06doX72S9UTFw_13_0"/>
      <w:bookmarkStart w:id="452" w:name="Tc_uGK5HOSXLUeZTOaPg7eKWA_12_11"/>
      <w:bookmarkStart w:id="453" w:name="Tc_lPqzwrG6K0KD5w3-IesCtA_12_8"/>
      <w:bookmarkStart w:id="454" w:name="Tc_sVSyDPV1bkmA4kuEyhZGBg_12_2"/>
      <w:bookmarkStart w:id="455" w:name="Tc_nbyjY22H00uVPssJjpu62g_12_0"/>
      <w:bookmarkStart w:id="456" w:name="Tc_8R66iXzerkmDawcCx5Kp5Q_11_11"/>
      <w:bookmarkStart w:id="457" w:name="Tc_AQ_m844DzkmkrJZF-uJzeg_11_8"/>
      <w:bookmarkStart w:id="458" w:name="Tc_TGine5bwXEybUeSbCJJAKQ_11_0"/>
      <w:bookmarkStart w:id="459" w:name="Tc_8GH2GAp-q0Opmpd5IRynhg_10_11"/>
      <w:bookmarkStart w:id="460" w:name="Tc_g8v-ltnlyUCacUkk_6jpdg_10_8"/>
      <w:bookmarkStart w:id="461" w:name="Tc_o6ZC9rQigE6Nc4AF52SZ2Q_10_2"/>
      <w:bookmarkStart w:id="462" w:name="Tc_bqrXrZHhF0-nklRHF53kBA_10_0"/>
      <w:bookmarkStart w:id="463" w:name="Tc_aY35Vo74JUiOFAq1EpzuIA_9_11"/>
      <w:bookmarkStart w:id="464" w:name="Tc_V69xIlblUUyvuADWDTXVQQ_9_8"/>
      <w:bookmarkStart w:id="465" w:name="Tc_IDOz-Cva9ki_jAGLfNqkBQ_9_0"/>
      <w:bookmarkStart w:id="466" w:name="Tc_lKXPFj2X4U-EnWd4sQlAJQ_8_11"/>
      <w:bookmarkStart w:id="467" w:name="Tc_r4ipK6dP6UOg7W-nZcTC5w_8_8"/>
      <w:bookmarkStart w:id="468" w:name="Tc_vigFUh5PAUy2nu4q8rTMMg_8_2"/>
      <w:bookmarkStart w:id="469" w:name="Tc_jf9Zg-uvTEKhRico--eSMQ_8_0"/>
      <w:bookmarkStart w:id="470" w:name="Tc_Y90CtpSugkmuSktfgKdP6Q_7_8"/>
      <w:bookmarkStart w:id="471" w:name="Tc_La25FrBqJUeT80NhgEexkA_7_5"/>
      <w:bookmarkStart w:id="472" w:name="Tc_SYNKIWDw-UiIH9oBRVQmvA_7_2"/>
      <w:bookmarkStart w:id="473" w:name="Tc__n3B6s8oSUazW4uFg2l2_A_7_0"/>
      <w:bookmarkStart w:id="474" w:name="Tc_S3t3gcfcJkm66Sa3KhMgDA_6_11"/>
      <w:bookmarkStart w:id="475" w:name="Tc_dkQKWREIJEafM8U2WnD2Zg_6_5"/>
      <w:bookmarkStart w:id="476" w:name="Tc_n9hzxjzDfU-WxgCSY45ldQ_6_2"/>
      <w:bookmarkStart w:id="477" w:name="Tc_VxRd_MkBWU-5pST8ayVLPw_6_0"/>
      <w:bookmarkStart w:id="478" w:name="Tc_v8mZvFMXC0ageltc7knUyw_5_13"/>
      <w:bookmarkStart w:id="479" w:name="Tc__ulTUfPrZkCHKZtlywTLJA_5_10"/>
      <w:bookmarkStart w:id="480" w:name="Tc_K_VA36Z6p0C8G_8S5FOYZA_5_7"/>
      <w:bookmarkStart w:id="481" w:name="Tc_p6APP0UBFUeRUX4gz9fjuQ_5_4"/>
      <w:bookmarkStart w:id="482" w:name="Tc_ECS8OrVKB0Cj9pmyWALlhg_5_0"/>
      <w:bookmarkStart w:id="483" w:name="Tc_wKSgDlkFbk-XSe8khCdZCQ_4_13"/>
      <w:bookmarkStart w:id="484" w:name="Tc_UI41i-IZqEGgFy1Vee7mjw_4_10"/>
      <w:bookmarkStart w:id="485" w:name="Tc_E6XCLJaEJkyrRxyKxpDSTw_4_7"/>
      <w:bookmarkStart w:id="486" w:name="Tc_ecxAjh9U50eZwWRMOttGkQ_4_4"/>
      <w:bookmarkStart w:id="487" w:name="Tc_h6QnZ6_q-EeaV5smaK-UcQ_4_2"/>
      <w:bookmarkStart w:id="488" w:name="Tc_84sTczB7AES9dpIYKpQgLA_3_13"/>
      <w:bookmarkStart w:id="489" w:name="Tc_8qZU1F3TzUaLRwUZzbCr6w_3_10"/>
      <w:bookmarkStart w:id="490" w:name="Tc_Xb4S0pBhD026Ks7XurjbeA_3_7"/>
      <w:bookmarkStart w:id="491" w:name="Tc_p40YIbltSEyLzlz1F_xqFw_3_2"/>
      <w:bookmarkStart w:id="492" w:name="Tc_HM3SYICfn0ada_NK0344fw_2_13"/>
      <w:bookmarkStart w:id="493" w:name="Tc_BDaOrwmGLE6LEpFd89NnoA_2_10"/>
      <w:bookmarkStart w:id="494" w:name="Tc_R4oiehVbAkaklBFaJ0voaA_1_10"/>
      <w:bookmarkStart w:id="495" w:name="_3eab777f_da29_4e15_9d61_25b7ae7f3dd3"/>
      <w:bookmarkStart w:id="496" w:name="Tc_ynvJQgZzAk-Yv2_T0HJZCQ_21_13"/>
      <w:bookmarkStart w:id="497" w:name="Tc_RLafkM5bdkef0_8NPO4hXA_21_10"/>
      <w:bookmarkStart w:id="498" w:name="Tc_U5_bdr_pWEy0Agvvd6pcLw_21_7"/>
      <w:bookmarkStart w:id="499" w:name="Tc_Iuu0Mj_0i0OuKA8FGtDcww_21_4"/>
      <w:bookmarkStart w:id="500" w:name="Tc_wuz1GXRMfUmyHKxNq5tSrg_21_0"/>
      <w:bookmarkStart w:id="501" w:name="Tc_B1hUkmXBdU2mgtk7C-AV4A_20_11"/>
      <w:bookmarkStart w:id="502" w:name="Tc_SRBcQmpMQ0ezN-sfj-dNFQ_20_8"/>
      <w:bookmarkStart w:id="503" w:name="Tc_s-JDelhXPES_CBuh_QcneQ_20_2"/>
      <w:bookmarkStart w:id="504" w:name="Tc_P07VXPqDE0S9amjHlqaGdQ_20_0"/>
      <w:bookmarkStart w:id="505" w:name="Tc_QxOeTB3AlU-UYms1VjdwMg_19_11"/>
      <w:bookmarkStart w:id="506" w:name="Tc_ZArbsaGd9E2dn_pF9KcK2Q_19_8"/>
      <w:bookmarkStart w:id="507" w:name="Tc_mbbOn3KjpkqKxdYzIfgI3Q_19_0"/>
      <w:bookmarkStart w:id="508" w:name="Tc_rppRSAcvoUCQfr_SgCtydg_18_11"/>
      <w:bookmarkStart w:id="509" w:name="Tc_az7TFVGJ8E-gAOSIIPZkKQ_18_8"/>
      <w:bookmarkStart w:id="510" w:name="Tc_r4B7FS8Ou0ClLiPC9_jHpA_18_0"/>
      <w:bookmarkStart w:id="511" w:name="Tc_guKQo3y1qkyQLoR9qcPXpg_17_8"/>
      <w:bookmarkStart w:id="512" w:name="Tc_LwB60spRuk6j1V0oykUHPw_17_5"/>
      <w:bookmarkStart w:id="513" w:name="Tc_xlvNb8E42kaUN4PqWBVeLA_17_2"/>
      <w:bookmarkStart w:id="514" w:name="Tc_enMcvMe55UKGAo5elKpW2Q_17_0"/>
      <w:bookmarkStart w:id="515" w:name="Tc_ifkrKT64wEu8hRHRBtTOLw_16_11"/>
      <w:bookmarkStart w:id="516" w:name="Tc_V3lt0SLrqkSYuzTXd0--xg_16_5"/>
      <w:bookmarkStart w:id="517" w:name="Tc_ZbEfLM3W10iaMlagDfvdfg_16_2"/>
      <w:bookmarkStart w:id="518" w:name="Tc_7fo-qOmlyEmmv1WzpBcZAQ_16_0"/>
      <w:bookmarkStart w:id="519" w:name="Tc_0jnvEpDTnEmuyaCn7Pwt8g_15_13"/>
      <w:bookmarkStart w:id="520" w:name="Tc_6Ws-U3tlpUuWFk3QJtZhvw_15_10"/>
      <w:bookmarkStart w:id="521" w:name="Tc_A7uIfARDqEaomBOSEI0m-g_15_7"/>
      <w:bookmarkStart w:id="522" w:name="Tc_-8QYX9z8S0q0kJalRxHi0w_15_4"/>
      <w:bookmarkStart w:id="523" w:name="Tc_9EvsMeGEA0W59X-AFBDj4w_15_0"/>
      <w:bookmarkStart w:id="524" w:name="Tc_6f8jYnwtZE6cUUY47gJdsQ_13_13"/>
      <w:bookmarkStart w:id="525" w:name="Tc_0FEJYMa9akmx_rOY1_KeNg_13_10"/>
      <w:bookmarkStart w:id="526" w:name="Tc_YBlu9_FCNESEfM-kK62ZVw_13_7"/>
      <w:bookmarkStart w:id="527" w:name="Tc_Tx7kqOv_DEq1EAzZsk68gw_13_4"/>
      <w:bookmarkStart w:id="528" w:name="Tc_7kNnZBaIG06doX72S9UTFw_13_0"/>
      <w:bookmarkStart w:id="529" w:name="Tc_uGK5HOSXLUeZTOaPg7eKWA_12_11"/>
      <w:bookmarkStart w:id="530" w:name="Tc_lPqzwrG6K0KD5w3-IesCtA_12_8"/>
      <w:bookmarkStart w:id="531" w:name="Tc_sVSyDPV1bkmA4kuEyhZGBg_12_2"/>
      <w:bookmarkStart w:id="532" w:name="Tc_nbyjY22H00uVPssJjpu62g_12_0"/>
      <w:bookmarkStart w:id="533" w:name="Tc_8R66iXzerkmDawcCx5Kp5Q_11_11"/>
      <w:bookmarkStart w:id="534" w:name="Tc_AQ_m844DzkmkrJZF-uJzeg_11_8"/>
      <w:bookmarkStart w:id="535" w:name="Tc_TGine5bwXEybUeSbCJJAKQ_11_0"/>
      <w:bookmarkStart w:id="536" w:name="Tc_8GH2GAp-q0Opmpd5IRynhg_10_11"/>
      <w:bookmarkStart w:id="537" w:name="Tc_g8v-ltnlyUCacUkk_6jpdg_10_8"/>
      <w:bookmarkStart w:id="538" w:name="Tc_o6ZC9rQigE6Nc4AF52SZ2Q_10_2"/>
      <w:bookmarkStart w:id="539" w:name="Tc_bqrXrZHhF0-nklRHF53kBA_10_0"/>
      <w:bookmarkStart w:id="540" w:name="Tc_aY35Vo74JUiOFAq1EpzuIA_9_11"/>
      <w:bookmarkStart w:id="541" w:name="Tc_V69xIlblUUyvuADWDTXVQQ_9_8"/>
      <w:bookmarkStart w:id="542" w:name="Tc_IDOz-Cva9ki_jAGLfNqkBQ_9_0"/>
      <w:bookmarkStart w:id="543" w:name="Tc_lKXPFj2X4U-EnWd4sQlAJQ_8_11"/>
      <w:bookmarkStart w:id="544" w:name="Tc_r4ipK6dP6UOg7W-nZcTC5w_8_8"/>
      <w:bookmarkStart w:id="545" w:name="Tc_vigFUh5PAUy2nu4q8rTMMg_8_2"/>
      <w:bookmarkStart w:id="546" w:name="Tc_jf9Zg-uvTEKhRico--eSMQ_8_0"/>
      <w:bookmarkStart w:id="547" w:name="Tc_Y90CtpSugkmuSktfgKdP6Q_7_8"/>
      <w:bookmarkStart w:id="548" w:name="Tc_La25FrBqJUeT80NhgEexkA_7_5"/>
      <w:bookmarkStart w:id="549" w:name="Tc_SYNKIWDw-UiIH9oBRVQmvA_7_2"/>
      <w:bookmarkStart w:id="550" w:name="Tc__n3B6s8oSUazW4uFg2l2_A_7_0"/>
      <w:bookmarkStart w:id="551" w:name="Tc_S3t3gcfcJkm66Sa3KhMgDA_6_11"/>
      <w:bookmarkStart w:id="552" w:name="Tc_dkQKWREIJEafM8U2WnD2Zg_6_5"/>
      <w:bookmarkStart w:id="553" w:name="Tc_n9hzxjzDfU-WxgCSY45ldQ_6_2"/>
      <w:bookmarkStart w:id="554" w:name="Tc_VxRd_MkBWU-5pST8ayVLPw_6_0"/>
      <w:bookmarkStart w:id="555" w:name="Tc_v8mZvFMXC0ageltc7knUyw_5_13"/>
      <w:bookmarkStart w:id="556" w:name="Tc__ulTUfPrZkCHKZtlywTLJA_5_10"/>
      <w:bookmarkStart w:id="557" w:name="Tc_K_VA36Z6p0C8G_8S5FOYZA_5_7"/>
      <w:bookmarkStart w:id="558" w:name="Tc_p6APP0UBFUeRUX4gz9fjuQ_5_4"/>
      <w:bookmarkStart w:id="559" w:name="Tc_ECS8OrVKB0Cj9pmyWALlhg_5_0"/>
      <w:bookmarkStart w:id="560" w:name="Tc_wKSgDlkFbk-XSe8khCdZCQ_4_13"/>
      <w:bookmarkStart w:id="561" w:name="Tc_UI41i-IZqEGgFy1Vee7mjw_4_10"/>
      <w:bookmarkStart w:id="562" w:name="Tc_E6XCLJaEJkyrRxyKxpDSTw_4_7"/>
      <w:bookmarkStart w:id="563" w:name="Tc_ecxAjh9U50eZwWRMOttGkQ_4_4"/>
      <w:bookmarkStart w:id="564" w:name="Tc_h6QnZ6_q-EeaV5smaK-UcQ_4_2"/>
      <w:bookmarkStart w:id="565" w:name="Tc_84sTczB7AES9dpIYKpQgLA_3_13"/>
      <w:bookmarkStart w:id="566" w:name="Tc_8qZU1F3TzUaLRwUZzbCr6w_3_10"/>
      <w:bookmarkStart w:id="567" w:name="Tc_Xb4S0pBhD026Ks7XurjbeA_3_7"/>
      <w:bookmarkStart w:id="568" w:name="Tc_p40YIbltSEyLzlz1F_xqFw_3_2"/>
      <w:bookmarkStart w:id="569" w:name="Tc_HM3SYICfn0ada_NK0344fw_2_13"/>
      <w:bookmarkStart w:id="570" w:name="Tc_BDaOrwmGLE6LEpFd89NnoA_2_10"/>
      <w:bookmarkStart w:id="571" w:name="Tc_R4oiehVbAkaklBFaJ0voaA_1_10"/>
      <w:bookmarkStart w:id="572" w:name="_3eab777f_da29_4e15_9d61_25b7ae7f3dd3"/>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tbl>
      <w:tblPr>
        <w:tblW w:w="10205" w:type="dxa"/>
        <w:jc w:val="left"/>
        <w:tblInd w:w="0" w:type="dxa"/>
        <w:tblLayout w:type="fixed"/>
        <w:tblCellMar>
          <w:top w:w="0" w:type="dxa"/>
          <w:left w:w="0" w:type="dxa"/>
          <w:bottom w:w="0" w:type="dxa"/>
          <w:right w:w="0" w:type="dxa"/>
        </w:tblCellMar>
      </w:tblPr>
      <w:tblGrid>
        <w:gridCol w:w="2616"/>
        <w:gridCol w:w="326"/>
        <w:gridCol w:w="796"/>
        <w:gridCol w:w="326"/>
        <w:gridCol w:w="211"/>
        <w:gridCol w:w="961"/>
        <w:gridCol w:w="326"/>
        <w:gridCol w:w="211"/>
        <w:gridCol w:w="796"/>
        <w:gridCol w:w="326"/>
        <w:gridCol w:w="308"/>
        <w:gridCol w:w="1253"/>
        <w:gridCol w:w="326"/>
        <w:gridCol w:w="232"/>
        <w:gridCol w:w="1191"/>
      </w:tblGrid>
      <w:tr>
        <w:trPr/>
        <w:tc>
          <w:tcPr>
            <w:tcW w:w="26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7010" cy="175260"/>
                      <wp:effectExtent l="0" t="0" r="0" b="0"/>
                      <wp:wrapNone/>
                      <wp:docPr id="55" name="Frame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505460" cy="175260"/>
                      <wp:effectExtent l="0" t="0" r="0" b="0"/>
                      <wp:wrapNone/>
                      <wp:docPr id="56" name="Frame5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57" name="Frame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33985" cy="175260"/>
                      <wp:effectExtent l="0" t="0" r="0" b="0"/>
                      <wp:wrapNone/>
                      <wp:docPr id="58" name="Frame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10235" cy="175260"/>
                      <wp:effectExtent l="0" t="0" r="0" b="0"/>
                      <wp:wrapNone/>
                      <wp:docPr id="59" name="Frame58"/>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60" name="Frame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33985" cy="175260"/>
                      <wp:effectExtent l="0" t="0" r="0" b="0"/>
                      <wp:wrapNone/>
                      <wp:docPr id="61" name="Frame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505460" cy="175260"/>
                      <wp:effectExtent l="0" t="0" r="0" b="0"/>
                      <wp:wrapNone/>
                      <wp:docPr id="62" name="Frame6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63" name="Frame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95580" cy="175260"/>
                      <wp:effectExtent l="0" t="0" r="0" b="0"/>
                      <wp:wrapNone/>
                      <wp:docPr id="64" name="Frame63"/>
                      <a:graphic xmlns:a="http://schemas.openxmlformats.org/drawingml/2006/main">
                        <a:graphicData uri="http://schemas.microsoft.com/office/word/2010/wordprocessingShape">
                          <wps:wsp>
                            <wps:cNvSpPr txBox="1"/>
                            <wps:spPr>
                              <a:xfrm>
                                <a:off x="0" y="0"/>
                                <a:ext cx="195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795655" cy="175260"/>
                      <wp:effectExtent l="0" t="0" r="0" b="0"/>
                      <wp:wrapNone/>
                      <wp:docPr id="65" name="Frame64"/>
                      <a:graphic xmlns:a="http://schemas.openxmlformats.org/drawingml/2006/main">
                        <a:graphicData uri="http://schemas.microsoft.com/office/word/2010/wordprocessingShape">
                          <wps:wsp>
                            <wps:cNvSpPr txBox="1"/>
                            <wps:spPr>
                              <a:xfrm>
                                <a:off x="0" y="0"/>
                                <a:ext cx="795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66" name="Frame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47320" cy="175260"/>
                      <wp:effectExtent l="0" t="0" r="0" b="0"/>
                      <wp:wrapNone/>
                      <wp:docPr id="67" name="Frame66"/>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756285" cy="175260"/>
                      <wp:effectExtent l="0" t="0" r="0" b="0"/>
                      <wp:wrapNone/>
                      <wp:docPr id="68" name="Frame67"/>
                      <a:graphic xmlns:a="http://schemas.openxmlformats.org/drawingml/2006/main">
                        <a:graphicData uri="http://schemas.microsoft.com/office/word/2010/wordprocessingShape">
                          <wps:wsp>
                            <wps:cNvSpPr txBox="1"/>
                            <wps:spPr>
                              <a:xfrm>
                                <a:off x="0" y="0"/>
                                <a:ext cx="756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561" w:type="dxa"/>
            <w:gridSpan w:val="2"/>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b/>
                <w:sz w:val="20"/>
              </w:rPr>
              <w:t>Accumulated</w:t>
            </w:r>
            <w:r>
              <w:rPr>
                <w:rFonts w:ascii="Arial;Helvetica;sans-serif" w:hAnsi="Arial;Helvetica;sans-serif"/>
                <w:sz w:val="20"/>
              </w:rPr>
              <w:t xml:space="preserve"> </w:t>
            </w:r>
          </w:p>
        </w:tc>
        <w:tc>
          <w:tcPr>
            <w:tcW w:w="326" w:type="dxa"/>
            <w:tcBorders/>
            <w:vAlign w:val="center"/>
          </w:tcPr>
          <w:p>
            <w:pPr>
              <w:pStyle w:val="TableContents"/>
              <w:bidi w:val="0"/>
              <w:spacing w:before="0" w:after="1"/>
              <w:ind w:left="0" w:right="0" w:hanging="0"/>
              <w:jc w:val="center"/>
              <w:rPr/>
            </w:pPr>
            <w:r>
              <w:rPr/>
              <w:t>​</w:t>
            </w:r>
          </w:p>
        </w:tc>
        <w:tc>
          <w:tcPr>
            <w:tcW w:w="232" w:type="dxa"/>
            <w:tcBorders/>
            <w:vAlign w:val="center"/>
          </w:tcPr>
          <w:p>
            <w:pPr>
              <w:pStyle w:val="TableContents"/>
              <w:bidi w:val="0"/>
              <w:spacing w:before="0" w:after="1"/>
              <w:ind w:left="0" w:right="0" w:hanging="0"/>
              <w:jc w:val="left"/>
              <w:rPr/>
            </w:pPr>
            <w:r>
              <w:rPr/>
              <w:t>​</w:t>
            </w:r>
          </w:p>
        </w:tc>
        <w:tc>
          <w:tcPr>
            <w:tcW w:w="1191" w:type="dxa"/>
            <w:tcBorders/>
            <w:vAlign w:val="center"/>
          </w:tcPr>
          <w:p>
            <w:pPr>
              <w:pStyle w:val="TableContents"/>
              <w:bidi w:val="0"/>
              <w:spacing w:before="0" w:after="1"/>
              <w:ind w:left="0" w:right="0" w:hanging="0"/>
              <w:jc w:val="center"/>
              <w:rPr/>
            </w:pPr>
            <w:r>
              <w:rPr/>
              <w:t>​</w:t>
            </w:r>
          </w:p>
        </w:tc>
      </w:tr>
      <w:tr>
        <w:trPr/>
        <w:tc>
          <w:tcPr>
            <w:tcW w:w="26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561"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Other</w:t>
            </w:r>
          </w:p>
        </w:tc>
        <w:tc>
          <w:tcPr>
            <w:tcW w:w="326" w:type="dxa"/>
            <w:tcBorders/>
            <w:vAlign w:val="center"/>
          </w:tcPr>
          <w:p>
            <w:pPr>
              <w:pStyle w:val="TableContents"/>
              <w:bidi w:val="0"/>
              <w:spacing w:before="0" w:after="1"/>
              <w:ind w:left="0" w:right="0" w:hanging="0"/>
              <w:jc w:val="center"/>
              <w:rPr/>
            </w:pPr>
            <w:r>
              <w:rPr/>
              <w:t>​</w:t>
            </w:r>
          </w:p>
        </w:tc>
        <w:tc>
          <w:tcPr>
            <w:tcW w:w="1423"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Total</w:t>
            </w:r>
          </w:p>
        </w:tc>
      </w:tr>
      <w:tr>
        <w:trPr/>
        <w:tc>
          <w:tcPr>
            <w:tcW w:w="26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29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Common Stock</w:t>
            </w:r>
          </w:p>
        </w:tc>
        <w:tc>
          <w:tcPr>
            <w:tcW w:w="326" w:type="dxa"/>
            <w:tcBorders/>
            <w:vAlign w:val="center"/>
          </w:tcPr>
          <w:p>
            <w:pPr>
              <w:pStyle w:val="TableContents"/>
              <w:bidi w:val="0"/>
              <w:spacing w:before="0" w:after="1"/>
              <w:ind w:left="0" w:right="0" w:hanging="0"/>
              <w:jc w:val="center"/>
              <w:rPr/>
            </w:pPr>
            <w:r>
              <w:rPr/>
              <w:t>​</w:t>
            </w:r>
          </w:p>
        </w:tc>
        <w:tc>
          <w:tcPr>
            <w:tcW w:w="1007"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Retained</w:t>
            </w:r>
          </w:p>
        </w:tc>
        <w:tc>
          <w:tcPr>
            <w:tcW w:w="326" w:type="dxa"/>
            <w:tcBorders/>
            <w:vAlign w:val="center"/>
          </w:tcPr>
          <w:p>
            <w:pPr>
              <w:pStyle w:val="TableContents"/>
              <w:bidi w:val="0"/>
              <w:spacing w:before="0" w:after="1"/>
              <w:ind w:left="0" w:right="0" w:hanging="0"/>
              <w:jc w:val="center"/>
              <w:rPr/>
            </w:pPr>
            <w:r>
              <w:rPr/>
              <w:t>​</w:t>
            </w:r>
          </w:p>
        </w:tc>
        <w:tc>
          <w:tcPr>
            <w:tcW w:w="1561"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Comprehensive</w:t>
            </w:r>
          </w:p>
        </w:tc>
        <w:tc>
          <w:tcPr>
            <w:tcW w:w="326" w:type="dxa"/>
            <w:tcBorders/>
            <w:vAlign w:val="center"/>
          </w:tcPr>
          <w:p>
            <w:pPr>
              <w:pStyle w:val="TableContents"/>
              <w:bidi w:val="0"/>
              <w:spacing w:before="0" w:after="1"/>
              <w:ind w:left="0" w:right="0" w:hanging="0"/>
              <w:jc w:val="center"/>
              <w:rPr/>
            </w:pPr>
            <w:r>
              <w:rPr/>
              <w:t>​</w:t>
            </w:r>
          </w:p>
        </w:tc>
        <w:tc>
          <w:tcPr>
            <w:tcW w:w="1423"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Shareholders’</w:t>
            </w:r>
          </w:p>
        </w:tc>
      </w:tr>
      <w:tr>
        <w:trPr/>
        <w:tc>
          <w:tcPr>
            <w:tcW w:w="26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Shares</w:t>
            </w:r>
          </w:p>
        </w:tc>
        <w:tc>
          <w:tcPr>
            <w:tcW w:w="326" w:type="dxa"/>
            <w:tcBorders/>
            <w:vAlign w:val="center"/>
          </w:tcPr>
          <w:p>
            <w:pPr>
              <w:pStyle w:val="TableContents"/>
              <w:bidi w:val="0"/>
              <w:spacing w:before="0" w:after="1"/>
              <w:ind w:left="0" w:right="0" w:hanging="0"/>
              <w:jc w:val="center"/>
              <w:rPr/>
            </w:pPr>
            <w:r>
              <w:rPr/>
              <w:t>    </w:t>
            </w:r>
          </w:p>
        </w:tc>
        <w:tc>
          <w:tcPr>
            <w:tcW w:w="11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Amount</w:t>
            </w:r>
          </w:p>
        </w:tc>
        <w:tc>
          <w:tcPr>
            <w:tcW w:w="326" w:type="dxa"/>
            <w:tcBorders/>
            <w:vAlign w:val="center"/>
          </w:tcPr>
          <w:p>
            <w:pPr>
              <w:pStyle w:val="TableContents"/>
              <w:bidi w:val="0"/>
              <w:spacing w:before="0" w:after="1"/>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Earnings</w:t>
            </w:r>
          </w:p>
        </w:tc>
        <w:tc>
          <w:tcPr>
            <w:tcW w:w="326" w:type="dxa"/>
            <w:tcBorders/>
            <w:vAlign w:val="center"/>
          </w:tcPr>
          <w:p>
            <w:pPr>
              <w:pStyle w:val="TableContents"/>
              <w:bidi w:val="0"/>
              <w:spacing w:before="0" w:after="1"/>
              <w:ind w:left="0" w:right="0" w:hanging="0"/>
              <w:jc w:val="center"/>
              <w:rPr/>
            </w:pPr>
            <w:r>
              <w:rPr/>
              <w:t>    </w:t>
            </w:r>
          </w:p>
        </w:tc>
        <w:tc>
          <w:tcPr>
            <w:tcW w:w="15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Loss</w:t>
            </w:r>
          </w:p>
        </w:tc>
        <w:tc>
          <w:tcPr>
            <w:tcW w:w="326" w:type="dxa"/>
            <w:tcBorders/>
            <w:vAlign w:val="center"/>
          </w:tcPr>
          <w:p>
            <w:pPr>
              <w:pStyle w:val="TableContents"/>
              <w:bidi w:val="0"/>
              <w:spacing w:before="0" w:after="1"/>
              <w:ind w:left="0" w:right="0" w:hanging="0"/>
              <w:jc w:val="center"/>
              <w:rPr/>
            </w:pPr>
            <w:r>
              <w:rPr/>
              <w:t>    </w:t>
            </w:r>
          </w:p>
        </w:tc>
        <w:tc>
          <w:tcPr>
            <w:tcW w:w="142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Equity</w:t>
            </w:r>
          </w:p>
        </w:tc>
      </w:tr>
      <w:tr>
        <w:trPr/>
        <w:tc>
          <w:tcPr>
            <w:tcW w:w="26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Balance, December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152,291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1,271,565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312,450</w:t>
            </w:r>
          </w:p>
        </w:tc>
        <w:tc>
          <w:tcPr>
            <w:tcW w:w="326" w:type="dxa"/>
            <w:tcBorders/>
            <w:shd w:fill="CCEEFF" w:val="clear"/>
            <w:vAlign w:val="center"/>
          </w:tcPr>
          <w:p>
            <w:pPr>
              <w:pStyle w:val="TableContents"/>
              <w:bidi w:val="0"/>
              <w:spacing w:before="0" w:after="1"/>
              <w:ind w:left="0" w:right="0" w:hanging="0"/>
              <w:jc w:val="left"/>
              <w:rPr/>
            </w:pPr>
            <w:r>
              <w:rPr/>
              <w:t>​</w:t>
            </w:r>
          </w:p>
        </w:tc>
        <w:tc>
          <w:tcPr>
            <w:tcW w:w="30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5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(83,015)</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1,501,000</w:t>
            </w:r>
          </w:p>
        </w:tc>
      </w:tr>
      <w:tr>
        <w:trPr/>
        <w:tc>
          <w:tcPr>
            <w:tcW w:w="261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income</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6,002</w:t>
            </w:r>
          </w:p>
        </w:tc>
        <w:tc>
          <w:tcPr>
            <w:tcW w:w="326" w:type="dxa"/>
            <w:tcBorders/>
            <w:vAlign w:val="center"/>
          </w:tcPr>
          <w:p>
            <w:pPr>
              <w:pStyle w:val="TableContents"/>
              <w:bidi w:val="0"/>
              <w:spacing w:before="0" w:after="1"/>
              <w:ind w:left="0" w:right="0" w:hanging="0"/>
              <w:jc w:val="left"/>
              <w:rPr/>
            </w:pPr>
            <w:r>
              <w:rPr/>
              <w:t>​</w:t>
            </w:r>
          </w:p>
        </w:tc>
        <w:tc>
          <w:tcPr>
            <w:tcW w:w="308" w:type="dxa"/>
            <w:tcBorders/>
            <w:vAlign w:val="center"/>
          </w:tcPr>
          <w:p>
            <w:pPr>
              <w:pStyle w:val="TableContents"/>
              <w:bidi w:val="0"/>
              <w:spacing w:before="0" w:after="1"/>
              <w:ind w:left="0" w:right="0" w:hanging="0"/>
              <w:jc w:val="left"/>
              <w:rPr/>
            </w:pPr>
            <w:r>
              <w:rPr/>
              <w:t> </w:t>
            </w:r>
          </w:p>
        </w:tc>
        <w:tc>
          <w:tcPr>
            <w:tcW w:w="125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11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6,002</w:t>
            </w:r>
          </w:p>
        </w:tc>
      </w:tr>
      <w:tr>
        <w:trPr/>
        <w:tc>
          <w:tcPr>
            <w:tcW w:w="26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Foreign currency translation adjustments</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08" w:type="dxa"/>
            <w:tcBorders/>
            <w:shd w:fill="CCEEFF" w:val="clear"/>
            <w:vAlign w:val="center"/>
          </w:tcPr>
          <w:p>
            <w:pPr>
              <w:pStyle w:val="TableContents"/>
              <w:bidi w:val="0"/>
              <w:spacing w:before="0" w:after="1"/>
              <w:ind w:left="0" w:right="0" w:hanging="0"/>
              <w:jc w:val="left"/>
              <w:rPr/>
            </w:pPr>
            <w:r>
              <w:rPr/>
              <w:t> </w:t>
            </w:r>
          </w:p>
        </w:tc>
        <w:tc>
          <w:tcPr>
            <w:tcW w:w="125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(6,417)</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11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(6,417)</w:t>
            </w:r>
          </w:p>
        </w:tc>
      </w:tr>
      <w:tr>
        <w:trPr/>
        <w:tc>
          <w:tcPr>
            <w:tcW w:w="261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Settlement of convertible debt conversion</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08" w:type="dxa"/>
            <w:tcBorders/>
            <w:vAlign w:val="center"/>
          </w:tcPr>
          <w:p>
            <w:pPr>
              <w:pStyle w:val="TableContents"/>
              <w:bidi w:val="0"/>
              <w:spacing w:before="0" w:after="1"/>
              <w:ind w:left="0" w:right="0" w:hanging="0"/>
              <w:jc w:val="left"/>
              <w:rPr/>
            </w:pPr>
            <w:r>
              <w:rPr/>
              <w:t> </w:t>
            </w:r>
          </w:p>
        </w:tc>
        <w:tc>
          <w:tcPr>
            <w:tcW w:w="125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11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(84)</w:t>
            </w:r>
          </w:p>
        </w:tc>
      </w:tr>
      <w:tr>
        <w:trPr/>
        <w:tc>
          <w:tcPr>
            <w:tcW w:w="26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Repurchases of common stock</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(938)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(10,218)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08" w:type="dxa"/>
            <w:tcBorders/>
            <w:shd w:fill="CCEEFF" w:val="clear"/>
            <w:vAlign w:val="center"/>
          </w:tcPr>
          <w:p>
            <w:pPr>
              <w:pStyle w:val="TableContents"/>
              <w:bidi w:val="0"/>
              <w:spacing w:before="0" w:after="1"/>
              <w:ind w:left="0" w:right="0" w:hanging="0"/>
              <w:jc w:val="left"/>
              <w:rPr/>
            </w:pPr>
            <w:r>
              <w:rPr/>
              <w:t> </w:t>
            </w:r>
          </w:p>
        </w:tc>
        <w:tc>
          <w:tcPr>
            <w:tcW w:w="125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11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(10,218)</w:t>
            </w:r>
          </w:p>
        </w:tc>
      </w:tr>
      <w:tr>
        <w:trPr/>
        <w:tc>
          <w:tcPr>
            <w:tcW w:w="261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Termination of capped calls</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4,381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08" w:type="dxa"/>
            <w:tcBorders/>
            <w:vAlign w:val="center"/>
          </w:tcPr>
          <w:p>
            <w:pPr>
              <w:pStyle w:val="TableContents"/>
              <w:bidi w:val="0"/>
              <w:spacing w:before="0" w:after="1"/>
              <w:ind w:left="0" w:right="0" w:hanging="0"/>
              <w:jc w:val="left"/>
              <w:rPr/>
            </w:pPr>
            <w:r>
              <w:rPr/>
              <w:t> </w:t>
            </w:r>
          </w:p>
        </w:tc>
        <w:tc>
          <w:tcPr>
            <w:tcW w:w="125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11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4,381</w:t>
            </w:r>
          </w:p>
        </w:tc>
      </w:tr>
      <w:tr>
        <w:trPr/>
        <w:tc>
          <w:tcPr>
            <w:tcW w:w="26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Activity in company stock plans, net and other</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698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(1,302)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08" w:type="dxa"/>
            <w:tcBorders/>
            <w:shd w:fill="CCEEFF" w:val="clear"/>
            <w:vAlign w:val="center"/>
          </w:tcPr>
          <w:p>
            <w:pPr>
              <w:pStyle w:val="TableContents"/>
              <w:bidi w:val="0"/>
              <w:spacing w:before="0" w:after="1"/>
              <w:ind w:left="0" w:right="0" w:hanging="0"/>
              <w:jc w:val="left"/>
              <w:rPr/>
            </w:pPr>
            <w:r>
              <w:rPr/>
              <w:t> </w:t>
            </w:r>
          </w:p>
        </w:tc>
        <w:tc>
          <w:tcPr>
            <w:tcW w:w="125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11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(1,302)</w:t>
            </w:r>
          </w:p>
        </w:tc>
      </w:tr>
      <w:tr>
        <w:trPr/>
        <w:tc>
          <w:tcPr>
            <w:tcW w:w="261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Share-based compensation</w:t>
            </w:r>
          </w:p>
        </w:tc>
        <w:tc>
          <w:tcPr>
            <w:tcW w:w="32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3,426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0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5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3,426</w:t>
            </w:r>
          </w:p>
        </w:tc>
      </w:tr>
      <w:tr>
        <w:trPr/>
        <w:tc>
          <w:tcPr>
            <w:tcW w:w="26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Balance, June 30, 2024</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152,051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1,267,768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318,452</w:t>
            </w:r>
          </w:p>
        </w:tc>
        <w:tc>
          <w:tcPr>
            <w:tcW w:w="326" w:type="dxa"/>
            <w:tcBorders/>
            <w:shd w:fill="CCEEFF" w:val="clear"/>
            <w:vAlign w:val="center"/>
          </w:tcPr>
          <w:p>
            <w:pPr>
              <w:pStyle w:val="TableContents"/>
              <w:bidi w:val="0"/>
              <w:spacing w:before="0" w:after="1"/>
              <w:ind w:left="0" w:right="0" w:hanging="0"/>
              <w:jc w:val="left"/>
              <w:rPr/>
            </w:pPr>
            <w:r>
              <w:rPr/>
              <w:t>​</w:t>
            </w:r>
          </w:p>
        </w:tc>
        <w:tc>
          <w:tcPr>
            <w:tcW w:w="30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5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(89,432)</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1,496,788</w:t>
            </w:r>
          </w:p>
        </w:tc>
      </w:tr>
      <w:tr>
        <w:trPr/>
        <w:tc>
          <w:tcPr>
            <w:tcW w:w="26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08" w:type="dxa"/>
            <w:tcBorders/>
            <w:vAlign w:val="center"/>
          </w:tcPr>
          <w:p>
            <w:pPr>
              <w:pStyle w:val="TableContents"/>
              <w:bidi w:val="0"/>
              <w:spacing w:before="0" w:after="1"/>
              <w:ind w:left="0" w:right="0" w:hanging="0"/>
              <w:jc w:val="left"/>
              <w:rPr/>
            </w:pPr>
            <w:r>
              <w:rPr/>
              <w:t>​</w:t>
            </w:r>
          </w:p>
        </w:tc>
        <w:tc>
          <w:tcPr>
            <w:tcW w:w="125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1191" w:type="dxa"/>
            <w:tcBorders/>
            <w:vAlign w:val="center"/>
          </w:tcPr>
          <w:p>
            <w:pPr>
              <w:pStyle w:val="TableContents"/>
              <w:bidi w:val="0"/>
              <w:spacing w:before="0" w:after="1"/>
              <w:ind w:left="0" w:right="0" w:hanging="0"/>
              <w:jc w:val="left"/>
              <w:rPr/>
            </w:pPr>
            <w:r>
              <w:rPr/>
              <w:t>​</w:t>
            </w:r>
          </w:p>
        </w:tc>
      </w:tr>
      <w:tr>
        <w:trPr/>
        <w:tc>
          <w:tcPr>
            <w:tcW w:w="26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Balance, December 31, 2022</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151,935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1,298,740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323,288</w:t>
            </w:r>
          </w:p>
        </w:tc>
        <w:tc>
          <w:tcPr>
            <w:tcW w:w="326" w:type="dxa"/>
            <w:tcBorders/>
            <w:shd w:fill="CCEEFF" w:val="clear"/>
            <w:vAlign w:val="center"/>
          </w:tcPr>
          <w:p>
            <w:pPr>
              <w:pStyle w:val="TableContents"/>
              <w:bidi w:val="0"/>
              <w:spacing w:before="0" w:after="1"/>
              <w:ind w:left="0" w:right="0" w:hanging="0"/>
              <w:jc w:val="left"/>
              <w:rPr/>
            </w:pPr>
            <w:r>
              <w:rPr/>
              <w:t>​</w:t>
            </w:r>
          </w:p>
        </w:tc>
        <w:tc>
          <w:tcPr>
            <w:tcW w:w="30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5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(105,319)</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1,516,709</w:t>
            </w:r>
          </w:p>
        </w:tc>
      </w:tr>
      <w:tr>
        <w:trPr/>
        <w:tc>
          <w:tcPr>
            <w:tcW w:w="261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income</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1,935</w:t>
            </w:r>
          </w:p>
        </w:tc>
        <w:tc>
          <w:tcPr>
            <w:tcW w:w="326" w:type="dxa"/>
            <w:tcBorders/>
            <w:vAlign w:val="center"/>
          </w:tcPr>
          <w:p>
            <w:pPr>
              <w:pStyle w:val="TableContents"/>
              <w:bidi w:val="0"/>
              <w:spacing w:before="0" w:after="1"/>
              <w:ind w:left="0" w:right="0" w:hanging="0"/>
              <w:jc w:val="left"/>
              <w:rPr/>
            </w:pPr>
            <w:r>
              <w:rPr/>
              <w:t>​</w:t>
            </w:r>
          </w:p>
        </w:tc>
        <w:tc>
          <w:tcPr>
            <w:tcW w:w="308" w:type="dxa"/>
            <w:tcBorders/>
            <w:vAlign w:val="center"/>
          </w:tcPr>
          <w:p>
            <w:pPr>
              <w:pStyle w:val="TableContents"/>
              <w:bidi w:val="0"/>
              <w:spacing w:before="0" w:after="1"/>
              <w:ind w:left="0" w:right="0" w:hanging="0"/>
              <w:jc w:val="left"/>
              <w:rPr/>
            </w:pPr>
            <w:r>
              <w:rPr/>
              <w:t> </w:t>
            </w:r>
          </w:p>
        </w:tc>
        <w:tc>
          <w:tcPr>
            <w:tcW w:w="125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11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1,935</w:t>
            </w:r>
          </w:p>
        </w:tc>
      </w:tr>
      <w:tr>
        <w:trPr/>
        <w:tc>
          <w:tcPr>
            <w:tcW w:w="26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Foreign currency translation adjustments</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08" w:type="dxa"/>
            <w:tcBorders/>
            <w:shd w:fill="CCEEFF" w:val="clear"/>
            <w:vAlign w:val="center"/>
          </w:tcPr>
          <w:p>
            <w:pPr>
              <w:pStyle w:val="TableContents"/>
              <w:bidi w:val="0"/>
              <w:spacing w:before="0" w:after="1"/>
              <w:ind w:left="0" w:right="0" w:hanging="0"/>
              <w:jc w:val="left"/>
              <w:rPr/>
            </w:pPr>
            <w:r>
              <w:rPr/>
              <w:t> </w:t>
            </w:r>
          </w:p>
        </w:tc>
        <w:tc>
          <w:tcPr>
            <w:tcW w:w="125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20,717</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11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20,717</w:t>
            </w:r>
          </w:p>
        </w:tc>
      </w:tr>
      <w:tr>
        <w:trPr/>
        <w:tc>
          <w:tcPr>
            <w:tcW w:w="261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Repurchases of common stock</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(1,410)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(10,129)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08" w:type="dxa"/>
            <w:tcBorders/>
            <w:vAlign w:val="center"/>
          </w:tcPr>
          <w:p>
            <w:pPr>
              <w:pStyle w:val="TableContents"/>
              <w:bidi w:val="0"/>
              <w:spacing w:before="0" w:after="1"/>
              <w:ind w:left="0" w:right="0" w:hanging="0"/>
              <w:jc w:val="left"/>
              <w:rPr/>
            </w:pPr>
            <w:r>
              <w:rPr/>
              <w:t>​</w:t>
            </w:r>
          </w:p>
        </w:tc>
        <w:tc>
          <w:tcPr>
            <w:tcW w:w="125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11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(10,129)</w:t>
            </w:r>
          </w:p>
        </w:tc>
      </w:tr>
      <w:tr>
        <w:trPr/>
        <w:tc>
          <w:tcPr>
            <w:tcW w:w="26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Activity in company stock plans, net and other</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08" w:type="dxa"/>
            <w:tcBorders/>
            <w:shd w:fill="CCEEFF" w:val="clear"/>
            <w:vAlign w:val="center"/>
          </w:tcPr>
          <w:p>
            <w:pPr>
              <w:pStyle w:val="TableContents"/>
              <w:bidi w:val="0"/>
              <w:spacing w:before="0" w:after="1"/>
              <w:ind w:left="0" w:right="0" w:hanging="0"/>
              <w:jc w:val="left"/>
              <w:rPr/>
            </w:pPr>
            <w:r>
              <w:rPr/>
              <w:t> </w:t>
            </w:r>
          </w:p>
        </w:tc>
        <w:tc>
          <w:tcPr>
            <w:tcW w:w="125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11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(296)</w:t>
            </w:r>
          </w:p>
        </w:tc>
      </w:tr>
      <w:tr>
        <w:trPr/>
        <w:tc>
          <w:tcPr>
            <w:tcW w:w="261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Share-based compensation</w:t>
            </w:r>
          </w:p>
        </w:tc>
        <w:tc>
          <w:tcPr>
            <w:tcW w:w="32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2,992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0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5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2,992</w:t>
            </w:r>
          </w:p>
        </w:tc>
      </w:tr>
      <w:tr>
        <w:trPr/>
        <w:tc>
          <w:tcPr>
            <w:tcW w:w="26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Balance, June 30, 2023</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150,810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1,291,307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325,223</w:t>
            </w:r>
          </w:p>
        </w:tc>
        <w:tc>
          <w:tcPr>
            <w:tcW w:w="326" w:type="dxa"/>
            <w:tcBorders/>
            <w:shd w:fill="CCEEFF" w:val="clear"/>
            <w:vAlign w:val="center"/>
          </w:tcPr>
          <w:p>
            <w:pPr>
              <w:pStyle w:val="TableContents"/>
              <w:bidi w:val="0"/>
              <w:spacing w:before="0" w:after="1"/>
              <w:ind w:left="0" w:right="0" w:hanging="0"/>
              <w:jc w:val="left"/>
              <w:rPr/>
            </w:pPr>
            <w:r>
              <w:rPr/>
              <w:t>​</w:t>
            </w:r>
          </w:p>
        </w:tc>
        <w:tc>
          <w:tcPr>
            <w:tcW w:w="30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5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(84,602)</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91"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1,531,928</w:t>
            </w:r>
          </w:p>
        </w:tc>
      </w:tr>
    </w:tbl>
    <w:p>
      <w:pPr>
        <w:pStyle w:val="TextBody"/>
        <w:bidi w:val="0"/>
        <w:spacing w:before="0" w:after="240"/>
        <w:ind w:left="0" w:right="0" w:hanging="0"/>
        <w:jc w:val="left"/>
        <w:rPr/>
      </w:pPr>
      <w:r>
        <w:rPr/>
        <w: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573" w:name="_c10b0112_d041_43fe_a841_5a7767066b61"/>
      <w:bookmarkEnd w:id="573"/>
      <w:r>
        <w:rPr>
          <w:rFonts w:ascii="Arial;Helvetica;sans-serif" w:hAnsi="Arial;Helvetica;sans-serif"/>
          <w:b/>
          <w:sz w:val="20"/>
        </w:rPr>
        <w:t>HELIX ENERGY SOLUTIONS GROUP, INC. AND SUBSIDIARIES</w:t>
      </w:r>
    </w:p>
    <w:p>
      <w:pPr>
        <w:pStyle w:val="TextBody"/>
        <w:bidi w:val="0"/>
        <w:spacing w:before="0" w:after="0"/>
        <w:ind w:left="0" w:right="0" w:hanging="0"/>
        <w:jc w:val="center"/>
        <w:rPr>
          <w:rFonts w:ascii="Arial;Helvetica;sans-serif" w:hAnsi="Arial;Helvetica;sans-serif"/>
          <w:b/>
          <w:sz w:val="20"/>
        </w:rPr>
      </w:pPr>
      <w:bookmarkStart w:id="574" w:name="CONDENSEDCONSOLIDATEDSTATEMENTSOFCASHFLO"/>
      <w:bookmarkEnd w:id="574"/>
      <w:r>
        <w:rPr>
          <w:rFonts w:ascii="Arial;Helvetica;sans-serif" w:hAnsi="Arial;Helvetica;sans-serif"/>
          <w:b/>
          <w:sz w:val="20"/>
        </w:rPr>
        <w:t>CONDENSED CONSOLIDATED STATEMENTS OF CASH FLOWS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575" w:name="Tc_UK65v-sffUCaPfHVQNnZ_g_46_5"/>
      <w:bookmarkStart w:id="576" w:name="Tc_nsK5Fdi6UUiQHwC6sn-JaA_46_2"/>
      <w:bookmarkStart w:id="577" w:name="Tc_WsvGtSlCBkaPxrjQ3LYs1g_46_0"/>
      <w:bookmarkStart w:id="578" w:name="Tc_dbPQtY_1PUqCQGBahrPrZQ_45_0"/>
      <w:bookmarkStart w:id="579" w:name="Tc_jCqc7ywNe0yxubYj_08W9A_44_0"/>
      <w:bookmarkStart w:id="580" w:name="Tc_Oz3smQvTaEyloO6FmZ4Gag_43_0"/>
      <w:bookmarkStart w:id="581" w:name="Tc_iNq7SXmw9U-2pyQxadV3mg_42_0"/>
      <w:bookmarkStart w:id="582" w:name="Tc_7YN9eiSez0GJ01c9uhDzHw_40_0"/>
      <w:bookmarkStart w:id="583" w:name="Tc_T3z30CShQUG1ERFXAvGhiQ_39_6"/>
      <w:bookmarkStart w:id="584" w:name="Tc_BTp2JdEey0mc4CaUAgsH7Q_39_0"/>
      <w:bookmarkStart w:id="585" w:name="Tc_9vs265Jy50WN98Qi4jUskQ_38_0"/>
      <w:bookmarkStart w:id="586" w:name="Tc_cY9dxLQ6NkG9WEdpnmEaXA_37_0"/>
      <w:bookmarkStart w:id="587" w:name="Tc_Uf_uGXVdeE69EyTkTg19jg_36_0"/>
      <w:bookmarkStart w:id="588" w:name="Tc_fqs3oLz89km4BGYLqgN8IA_35_0"/>
      <w:bookmarkStart w:id="589" w:name="Tc_vuNQ7XhnV0GT0yPoO9g-LQ_34_6"/>
      <w:bookmarkStart w:id="590" w:name="Tc_EFGSWiHYdke5Y4kWI6fxtQ_34_0"/>
      <w:bookmarkStart w:id="591" w:name="Tc_WYMWTy7FyUenw50Z_C6EIg_33_0"/>
      <w:bookmarkStart w:id="592" w:name="Tc_e5V9fmU0KUuWY3wyvqqdJw_32_6"/>
      <w:bookmarkStart w:id="593" w:name="Tc_AOT4MwMtz02XU61N_0Y0UQ_32_0"/>
      <w:bookmarkStart w:id="594" w:name="Tc_TaKFtS1JhU-ncvB7_9VHxA_31_0"/>
      <w:bookmarkStart w:id="595" w:name="Tc_sE7poYdS3E6XURwo9-DycA_29_0"/>
      <w:bookmarkStart w:id="596" w:name="Tc_Dhx4gzmeZkqKkhpU8Me9WQ_28_6"/>
      <w:bookmarkStart w:id="597" w:name="Tc__iiVhX1K8E6U1mnDhK1eMQ_28_0"/>
      <w:bookmarkStart w:id="598" w:name="Tc_F09dhKWtYUyTszVhMvv2Ig_27_3"/>
      <w:bookmarkStart w:id="599" w:name="Tc_lxVFbfEl6Em8H4n6zF1nvg_27_0"/>
      <w:bookmarkStart w:id="600" w:name="Tc_5ANSRvADEEGrUQklqxsZtQ_26_0"/>
      <w:bookmarkStart w:id="601" w:name="Tc_HjutMtCMsEmCY8Brfc6c2Q_25_0"/>
      <w:bookmarkStart w:id="602" w:name="Tc_iA-30eaP40ilKyV147I2uA_23_0"/>
      <w:bookmarkStart w:id="603" w:name="Tc_kQ_lJLH-5kKYR9H1fN587g_22_0"/>
      <w:bookmarkStart w:id="604" w:name="Tc_q8rwjBuFxECGVldHftFT1Q_21_0"/>
      <w:bookmarkStart w:id="605" w:name="Tc_mPKMYuACV0Wa8fuSV-6DEw_20_0"/>
      <w:bookmarkStart w:id="606" w:name="Tc_5dB3o35DFEmwzRExLlPyxQ_19_0"/>
      <w:bookmarkStart w:id="607" w:name="Tc_nIC-pjWZzESztDkwtXVFnw_18_0"/>
      <w:bookmarkStart w:id="608" w:name="Tc_i0Ota0RiPUGaS5xUJxsQTA_17_0"/>
      <w:bookmarkStart w:id="609" w:name="Tc_0flgPS6Sy0elVCuCgVStaQ_16_0"/>
      <w:bookmarkStart w:id="610" w:name="Tc_Vd6PRUU0L0WrTkxnVeU-iQ_15_3"/>
      <w:bookmarkStart w:id="611" w:name="Tc_JT_7yq-VykCtVydT7gasNg_15_0"/>
      <w:bookmarkStart w:id="612" w:name="Tc_kBl7Pl4LrU2UO43ron8ngQ_14_0"/>
      <w:bookmarkStart w:id="613" w:name="Tc_4Swtjp89h0aA4jXQMcbHCw_13_6"/>
      <w:bookmarkStart w:id="614" w:name="Tc_XjnjUj7ekkq6sGVq4PYm4w_13_0"/>
      <w:bookmarkStart w:id="615" w:name="Tc_MxSkkhY40ESU65sbxadb7g_12_0"/>
      <w:bookmarkStart w:id="616" w:name="Tc_58CLT5fEuEm_6ecxRVSD0w_11_0"/>
      <w:bookmarkStart w:id="617" w:name="Tc_jHzHpnozMEGegmB5ko-VZg_10_0"/>
      <w:bookmarkStart w:id="618" w:name="Tc_8BR6_oN1LkmErnIYDawRqg_9_0"/>
      <w:bookmarkStart w:id="619" w:name="Tc_htLd_zi_C0SXVAWZ133tZA_8_6"/>
      <w:bookmarkStart w:id="620" w:name="Tc_yRf0K-a5uEWGwnr1NquKVQ_8_0"/>
      <w:bookmarkStart w:id="621" w:name="Tc_nlJBtyEekUGKpG-k3wPuKQ_7_0"/>
      <w:bookmarkStart w:id="622" w:name="Tc_GkpG1GSn7kaQkDMY8y24yQ_6_0"/>
      <w:bookmarkStart w:id="623" w:name="Tc_stO8Euswhk23-bKG0DuiMw_5_5"/>
      <w:bookmarkStart w:id="624" w:name="Tc_0hMQeike_0OJ6l_WlFCsOA_5_2"/>
      <w:bookmarkStart w:id="625" w:name="Tc_h3mLKFh74kmYNdH-iJug1A_5_0"/>
      <w:bookmarkStart w:id="626" w:name="Tc_xdLmPZ9SmkqUzc99vuCc0A_4_0"/>
      <w:bookmarkStart w:id="627" w:name="Tc_pEQ5vMQfeU62uweR3FSgnw_3_5"/>
      <w:bookmarkStart w:id="628" w:name="Tc_c8DsYcINeE-JHoHIXcAb0w_3_2"/>
      <w:bookmarkStart w:id="629" w:name="Tc_VvmtEsZH7EGI4K7a4aiGjw_2_2"/>
      <w:bookmarkStart w:id="630" w:name="Tc_yaUGeLVBxEexIo8TyoDvxA_1_2"/>
      <w:bookmarkStart w:id="631" w:name="_3998c0c7_db44_429e_9867_29ed561ad449"/>
      <w:bookmarkStart w:id="632" w:name="Tc_UK65v-sffUCaPfHVQNnZ_g_46_5"/>
      <w:bookmarkStart w:id="633" w:name="Tc_nsK5Fdi6UUiQHwC6sn-JaA_46_2"/>
      <w:bookmarkStart w:id="634" w:name="Tc_WsvGtSlCBkaPxrjQ3LYs1g_46_0"/>
      <w:bookmarkStart w:id="635" w:name="Tc_dbPQtY_1PUqCQGBahrPrZQ_45_0"/>
      <w:bookmarkStart w:id="636" w:name="Tc_jCqc7ywNe0yxubYj_08W9A_44_0"/>
      <w:bookmarkStart w:id="637" w:name="Tc_Oz3smQvTaEyloO6FmZ4Gag_43_0"/>
      <w:bookmarkStart w:id="638" w:name="Tc_iNq7SXmw9U-2pyQxadV3mg_42_0"/>
      <w:bookmarkStart w:id="639" w:name="Tc_7YN9eiSez0GJ01c9uhDzHw_40_0"/>
      <w:bookmarkStart w:id="640" w:name="Tc_T3z30CShQUG1ERFXAvGhiQ_39_6"/>
      <w:bookmarkStart w:id="641" w:name="Tc_BTp2JdEey0mc4CaUAgsH7Q_39_0"/>
      <w:bookmarkStart w:id="642" w:name="Tc_9vs265Jy50WN98Qi4jUskQ_38_0"/>
      <w:bookmarkStart w:id="643" w:name="Tc_cY9dxLQ6NkG9WEdpnmEaXA_37_0"/>
      <w:bookmarkStart w:id="644" w:name="Tc_Uf_uGXVdeE69EyTkTg19jg_36_0"/>
      <w:bookmarkStart w:id="645" w:name="Tc_fqs3oLz89km4BGYLqgN8IA_35_0"/>
      <w:bookmarkStart w:id="646" w:name="Tc_vuNQ7XhnV0GT0yPoO9g-LQ_34_6"/>
      <w:bookmarkStart w:id="647" w:name="Tc_EFGSWiHYdke5Y4kWI6fxtQ_34_0"/>
      <w:bookmarkStart w:id="648" w:name="Tc_WYMWTy7FyUenw50Z_C6EIg_33_0"/>
      <w:bookmarkStart w:id="649" w:name="Tc_e5V9fmU0KUuWY3wyvqqdJw_32_6"/>
      <w:bookmarkStart w:id="650" w:name="Tc_AOT4MwMtz02XU61N_0Y0UQ_32_0"/>
      <w:bookmarkStart w:id="651" w:name="Tc_TaKFtS1JhU-ncvB7_9VHxA_31_0"/>
      <w:bookmarkStart w:id="652" w:name="Tc_sE7poYdS3E6XURwo9-DycA_29_0"/>
      <w:bookmarkStart w:id="653" w:name="Tc_Dhx4gzmeZkqKkhpU8Me9WQ_28_6"/>
      <w:bookmarkStart w:id="654" w:name="Tc__iiVhX1K8E6U1mnDhK1eMQ_28_0"/>
      <w:bookmarkStart w:id="655" w:name="Tc_F09dhKWtYUyTszVhMvv2Ig_27_3"/>
      <w:bookmarkStart w:id="656" w:name="Tc_lxVFbfEl6Em8H4n6zF1nvg_27_0"/>
      <w:bookmarkStart w:id="657" w:name="Tc_5ANSRvADEEGrUQklqxsZtQ_26_0"/>
      <w:bookmarkStart w:id="658" w:name="Tc_HjutMtCMsEmCY8Brfc6c2Q_25_0"/>
      <w:bookmarkStart w:id="659" w:name="Tc_iA-30eaP40ilKyV147I2uA_23_0"/>
      <w:bookmarkStart w:id="660" w:name="Tc_kQ_lJLH-5kKYR9H1fN587g_22_0"/>
      <w:bookmarkStart w:id="661" w:name="Tc_q8rwjBuFxECGVldHftFT1Q_21_0"/>
      <w:bookmarkStart w:id="662" w:name="Tc_mPKMYuACV0Wa8fuSV-6DEw_20_0"/>
      <w:bookmarkStart w:id="663" w:name="Tc_5dB3o35DFEmwzRExLlPyxQ_19_0"/>
      <w:bookmarkStart w:id="664" w:name="Tc_nIC-pjWZzESztDkwtXVFnw_18_0"/>
      <w:bookmarkStart w:id="665" w:name="Tc_i0Ota0RiPUGaS5xUJxsQTA_17_0"/>
      <w:bookmarkStart w:id="666" w:name="Tc_0flgPS6Sy0elVCuCgVStaQ_16_0"/>
      <w:bookmarkStart w:id="667" w:name="Tc_Vd6PRUU0L0WrTkxnVeU-iQ_15_3"/>
      <w:bookmarkStart w:id="668" w:name="Tc_JT_7yq-VykCtVydT7gasNg_15_0"/>
      <w:bookmarkStart w:id="669" w:name="Tc_kBl7Pl4LrU2UO43ron8ngQ_14_0"/>
      <w:bookmarkStart w:id="670" w:name="Tc_4Swtjp89h0aA4jXQMcbHCw_13_6"/>
      <w:bookmarkStart w:id="671" w:name="Tc_XjnjUj7ekkq6sGVq4PYm4w_13_0"/>
      <w:bookmarkStart w:id="672" w:name="Tc_MxSkkhY40ESU65sbxadb7g_12_0"/>
      <w:bookmarkStart w:id="673" w:name="Tc_58CLT5fEuEm_6ecxRVSD0w_11_0"/>
      <w:bookmarkStart w:id="674" w:name="Tc_jHzHpnozMEGegmB5ko-VZg_10_0"/>
      <w:bookmarkStart w:id="675" w:name="Tc_8BR6_oN1LkmErnIYDawRqg_9_0"/>
      <w:bookmarkStart w:id="676" w:name="Tc_htLd_zi_C0SXVAWZ133tZA_8_6"/>
      <w:bookmarkStart w:id="677" w:name="Tc_yRf0K-a5uEWGwnr1NquKVQ_8_0"/>
      <w:bookmarkStart w:id="678" w:name="Tc_nlJBtyEekUGKpG-k3wPuKQ_7_0"/>
      <w:bookmarkStart w:id="679" w:name="Tc_GkpG1GSn7kaQkDMY8y24yQ_6_0"/>
      <w:bookmarkStart w:id="680" w:name="Tc_stO8Euswhk23-bKG0DuiMw_5_5"/>
      <w:bookmarkStart w:id="681" w:name="Tc_0hMQeike_0OJ6l_WlFCsOA_5_2"/>
      <w:bookmarkStart w:id="682" w:name="Tc_h3mLKFh74kmYNdH-iJug1A_5_0"/>
      <w:bookmarkStart w:id="683" w:name="Tc_xdLmPZ9SmkqUzc99vuCc0A_4_0"/>
      <w:bookmarkStart w:id="684" w:name="Tc_pEQ5vMQfeU62uweR3FSgnw_3_5"/>
      <w:bookmarkStart w:id="685" w:name="Tc_c8DsYcINeE-JHoHIXcAb0w_3_2"/>
      <w:bookmarkStart w:id="686" w:name="Tc_VvmtEsZH7EGI4K7a4aiGjw_2_2"/>
      <w:bookmarkStart w:id="687" w:name="Tc_yaUGeLVBxEexIo8TyoDvxA_1_2"/>
      <w:bookmarkStart w:id="688" w:name="_3998c0c7_db44_429e_9867_29ed561ad449"/>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p>
    <w:tbl>
      <w:tblPr>
        <w:tblW w:w="10205" w:type="dxa"/>
        <w:jc w:val="left"/>
        <w:tblInd w:w="0" w:type="dxa"/>
        <w:tblLayout w:type="fixed"/>
        <w:tblCellMar>
          <w:top w:w="0" w:type="dxa"/>
          <w:left w:w="0" w:type="dxa"/>
          <w:bottom w:w="0" w:type="dxa"/>
          <w:right w:w="0" w:type="dxa"/>
        </w:tblCellMar>
      </w:tblPr>
      <w:tblGrid>
        <w:gridCol w:w="7034"/>
        <w:gridCol w:w="326"/>
        <w:gridCol w:w="211"/>
        <w:gridCol w:w="914"/>
        <w:gridCol w:w="326"/>
        <w:gridCol w:w="211"/>
        <w:gridCol w:w="810"/>
        <w:gridCol w:w="373"/>
      </w:tblGrid>
      <w:tr>
        <w:trPr/>
        <w:tc>
          <w:tcPr>
            <w:tcW w:w="703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7010" cy="175260"/>
                      <wp:effectExtent l="0" t="0" r="0" b="0"/>
                      <wp:wrapNone/>
                      <wp:docPr id="69" name="Frame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33985" cy="175260"/>
                      <wp:effectExtent l="0" t="0" r="0" b="0"/>
                      <wp:wrapNone/>
                      <wp:docPr id="70" name="Frame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580390" cy="175260"/>
                      <wp:effectExtent l="0" t="0" r="0" b="0"/>
                      <wp:wrapNone/>
                      <wp:docPr id="71" name="Frame70"/>
                      <a:graphic xmlns:a="http://schemas.openxmlformats.org/drawingml/2006/main">
                        <a:graphicData uri="http://schemas.microsoft.com/office/word/2010/wordprocessingShape">
                          <wps:wsp>
                            <wps:cNvSpPr txBox="1"/>
                            <wps:spPr>
                              <a:xfrm>
                                <a:off x="0" y="0"/>
                                <a:ext cx="580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7010" cy="175260"/>
                      <wp:effectExtent l="0" t="0" r="0" b="0"/>
                      <wp:wrapNone/>
                      <wp:docPr id="72" name="Frame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33985" cy="175260"/>
                      <wp:effectExtent l="0" t="0" r="0" b="0"/>
                      <wp:wrapNone/>
                      <wp:docPr id="73" name="Frame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514350" cy="175260"/>
                      <wp:effectExtent l="0" t="0" r="0" b="0"/>
                      <wp:wrapNone/>
                      <wp:docPr id="74" name="Frame73"/>
                      <a:graphic xmlns:a="http://schemas.openxmlformats.org/drawingml/2006/main">
                        <a:graphicData uri="http://schemas.microsoft.com/office/word/2010/wordprocessingShape">
                          <wps:wsp>
                            <wps:cNvSpPr txBox="1"/>
                            <wps:spPr>
                              <a:xfrm>
                                <a:off x="0" y="0"/>
                                <a:ext cx="5143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36855" cy="175260"/>
                      <wp:effectExtent l="0" t="0" r="0" b="0"/>
                      <wp:wrapNone/>
                      <wp:docPr id="75" name="Frame74"/>
                      <a:graphic xmlns:a="http://schemas.openxmlformats.org/drawingml/2006/main">
                        <a:graphicData uri="http://schemas.microsoft.com/office/word/2010/wordprocessingShape">
                          <wps:wsp>
                            <wps:cNvSpPr txBox="1"/>
                            <wps:spPr>
                              <a:xfrm>
                                <a:off x="0" y="0"/>
                                <a:ext cx="236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03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72" w:type="dxa"/>
            <w:gridSpan w:val="5"/>
            <w:tcBorders/>
            <w:vAlign w:val="center"/>
          </w:tcPr>
          <w:p>
            <w:pPr>
              <w:pStyle w:val="TableContents"/>
              <w:bidi w:val="0"/>
              <w:spacing w:before="0" w:after="1"/>
              <w:ind w:left="0" w:right="0" w:hanging="0"/>
              <w:jc w:val="center"/>
              <w:rPr>
                <w:rFonts w:ascii="Arial;Helvetica;sans-serif" w:hAnsi="Arial;Helvetica;sans-serif"/>
                <w:b/>
                <w:sz w:val="19"/>
              </w:rPr>
            </w:pPr>
            <w:r>
              <w:rPr>
                <w:rFonts w:ascii="Arial;Helvetica;sans-serif" w:hAnsi="Arial;Helvetica;sans-serif"/>
                <w:b/>
                <w:sz w:val="19"/>
              </w:rPr>
              <w:t xml:space="preserve">Six Months Ended </w:t>
            </w:r>
          </w:p>
        </w:tc>
        <w:tc>
          <w:tcPr>
            <w:tcW w:w="373" w:type="dxa"/>
            <w:tcBorders/>
            <w:vAlign w:val="center"/>
          </w:tcPr>
          <w:p>
            <w:pPr>
              <w:pStyle w:val="TableContents"/>
              <w:bidi w:val="0"/>
              <w:spacing w:before="0" w:after="1"/>
              <w:ind w:left="0" w:right="0" w:hanging="0"/>
              <w:jc w:val="left"/>
              <w:rPr/>
            </w:pPr>
            <w:r>
              <w:rPr/>
              <w:t>​</w:t>
            </w:r>
          </w:p>
        </w:tc>
      </w:tr>
      <w:tr>
        <w:trPr/>
        <w:tc>
          <w:tcPr>
            <w:tcW w:w="703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7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9"/>
              </w:rPr>
            </w:pPr>
            <w:r>
              <w:rPr>
                <w:rFonts w:ascii="Arial;Helvetica;sans-serif" w:hAnsi="Arial;Helvetica;sans-serif"/>
                <w:b/>
                <w:sz w:val="19"/>
              </w:rPr>
              <w:t>June 30, </w:t>
            </w:r>
          </w:p>
        </w:tc>
        <w:tc>
          <w:tcPr>
            <w:tcW w:w="373" w:type="dxa"/>
            <w:tcBorders/>
            <w:vAlign w:val="center"/>
          </w:tcPr>
          <w:p>
            <w:pPr>
              <w:pStyle w:val="TableContents"/>
              <w:bidi w:val="0"/>
              <w:spacing w:before="0" w:after="1"/>
              <w:ind w:left="0" w:right="0" w:hanging="0"/>
              <w:jc w:val="left"/>
              <w:rPr/>
            </w:pPr>
            <w:r>
              <w:rPr/>
              <w:t>​</w:t>
            </w:r>
          </w:p>
        </w:tc>
      </w:tr>
      <w:tr>
        <w:trPr/>
        <w:tc>
          <w:tcPr>
            <w:tcW w:w="703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9"/>
              </w:rPr>
            </w:pPr>
            <w:r>
              <w:rPr>
                <w:rFonts w:ascii="Arial;Helvetica;sans-serif" w:hAnsi="Arial;Helvetica;sans-serif"/>
                <w:b/>
                <w:sz w:val="19"/>
              </w:rPr>
              <w:t>2024</w:t>
            </w:r>
          </w:p>
        </w:tc>
        <w:tc>
          <w:tcPr>
            <w:tcW w:w="326" w:type="dxa"/>
            <w:tcBorders/>
            <w:vAlign w:val="center"/>
          </w:tcPr>
          <w:p>
            <w:pPr>
              <w:pStyle w:val="TableContents"/>
              <w:bidi w:val="0"/>
              <w:spacing w:before="0" w:after="1"/>
              <w:ind w:left="0" w:right="0" w:hanging="0"/>
              <w:jc w:val="center"/>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9"/>
              </w:rPr>
            </w:pPr>
            <w:r>
              <w:rPr>
                <w:rFonts w:ascii="Arial;Helvetica;sans-serif" w:hAnsi="Arial;Helvetica;sans-serif"/>
                <w:b/>
                <w:sz w:val="19"/>
              </w:rPr>
              <w:t>2023</w:t>
            </w:r>
          </w:p>
        </w:tc>
        <w:tc>
          <w:tcPr>
            <w:tcW w:w="373" w:type="dxa"/>
            <w:tcBorders/>
            <w:vAlign w:val="center"/>
          </w:tcPr>
          <w:p>
            <w:pPr>
              <w:pStyle w:val="TableContents"/>
              <w:bidi w:val="0"/>
              <w:spacing w:before="0" w:after="1"/>
              <w:ind w:left="0" w:right="0" w:hanging="0"/>
              <w:jc w:val="center"/>
              <w:rPr/>
            </w:pPr>
            <w:r>
              <w:rPr/>
              <w:t>    </w:t>
            </w:r>
          </w:p>
        </w:tc>
      </w:tr>
      <w:tr>
        <w:trPr/>
        <w:tc>
          <w:tcPr>
            <w:tcW w:w="7034"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Cash flows from operating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14"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0" w:type="dxa"/>
            <w:tcBorders/>
            <w:shd w:fill="CCEEFF" w:val="clear"/>
            <w:vAlign w:val="center"/>
          </w:tcPr>
          <w:p>
            <w:pPr>
              <w:pStyle w:val="TableContents"/>
              <w:bidi w:val="0"/>
              <w:spacing w:before="0" w:after="1"/>
              <w:ind w:left="0" w:right="0" w:hanging="0"/>
              <w:jc w:val="left"/>
              <w:rPr/>
            </w:pPr>
            <w:r>
              <w:rPr/>
              <w:t>  </w:t>
            </w:r>
          </w:p>
        </w:tc>
        <w:tc>
          <w:tcPr>
            <w:tcW w:w="373" w:type="dxa"/>
            <w:tcBorders/>
            <w:shd w:fill="CCEEFF" w:val="clear"/>
            <w:vAlign w:val="center"/>
          </w:tcPr>
          <w:p>
            <w:pPr>
              <w:pStyle w:val="TableContents"/>
              <w:bidi w:val="0"/>
              <w:spacing w:before="0" w:after="1"/>
              <w:ind w:left="0" w:right="0" w:hanging="0"/>
              <w:jc w:val="left"/>
              <w:rPr/>
            </w:pPr>
            <w:r>
              <w:rPr/>
              <w:t> </w:t>
            </w:r>
          </w:p>
        </w:tc>
      </w:tr>
      <w:tr>
        <w:trPr/>
        <w:tc>
          <w:tcPr>
            <w:tcW w:w="7034"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Net income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w:t>
            </w:r>
          </w:p>
        </w:tc>
        <w:tc>
          <w:tcPr>
            <w:tcW w:w="914"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6,002</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w:t>
            </w:r>
          </w:p>
        </w:tc>
        <w:tc>
          <w:tcPr>
            <w:tcW w:w="810"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1,935</w:t>
            </w:r>
          </w:p>
        </w:tc>
        <w:tc>
          <w:tcPr>
            <w:tcW w:w="373" w:type="dxa"/>
            <w:tcBorders/>
            <w:vAlign w:val="center"/>
          </w:tcPr>
          <w:p>
            <w:pPr>
              <w:pStyle w:val="TableContents"/>
              <w:bidi w:val="0"/>
              <w:spacing w:before="0" w:after="1"/>
              <w:ind w:left="0" w:right="0" w:hanging="0"/>
              <w:jc w:val="left"/>
              <w:rPr/>
            </w:pPr>
            <w:r>
              <w:rPr/>
              <w:t>​</w:t>
            </w:r>
          </w:p>
        </w:tc>
      </w:tr>
      <w:tr>
        <w:trPr/>
        <w:tc>
          <w:tcPr>
            <w:tcW w:w="7034"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Adjustments to reconcile net income to net cash provided by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0" w:type="dxa"/>
            <w:tcBorders/>
            <w:shd w:fill="CCEEFF" w:val="clear"/>
            <w:vAlign w:val="center"/>
          </w:tcPr>
          <w:p>
            <w:pPr>
              <w:pStyle w:val="TableContents"/>
              <w:bidi w:val="0"/>
              <w:spacing w:before="0" w:after="1"/>
              <w:ind w:left="0" w:right="0" w:hanging="0"/>
              <w:jc w:val="right"/>
              <w:rPr/>
            </w:pPr>
            <w:r>
              <w:rPr/>
              <w:t>  </w:t>
            </w:r>
          </w:p>
        </w:tc>
        <w:tc>
          <w:tcPr>
            <w:tcW w:w="373" w:type="dxa"/>
            <w:tcBorders/>
            <w:shd w:fill="CCEEFF" w:val="clear"/>
            <w:vAlign w:val="center"/>
          </w:tcPr>
          <w:p>
            <w:pPr>
              <w:pStyle w:val="TableContents"/>
              <w:bidi w:val="0"/>
              <w:spacing w:before="0" w:after="1"/>
              <w:ind w:left="0" w:right="0" w:hanging="0"/>
              <w:jc w:val="left"/>
              <w:rPr/>
            </w:pPr>
            <w:r>
              <w:rPr/>
              <w:t>​</w:t>
            </w:r>
          </w:p>
        </w:tc>
      </w:tr>
      <w:tr>
        <w:trPr/>
        <w:tc>
          <w:tcPr>
            <w:tcW w:w="7034"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4"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89,824</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10"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76,764</w:t>
            </w:r>
          </w:p>
        </w:tc>
        <w:tc>
          <w:tcPr>
            <w:tcW w:w="373" w:type="dxa"/>
            <w:tcBorders/>
            <w:vAlign w:val="center"/>
          </w:tcPr>
          <w:p>
            <w:pPr>
              <w:pStyle w:val="TableContents"/>
              <w:bidi w:val="0"/>
              <w:spacing w:before="0" w:after="1"/>
              <w:ind w:left="0" w:right="0" w:hanging="0"/>
              <w:jc w:val="left"/>
              <w:rPr/>
            </w:pPr>
            <w:r>
              <w:rPr/>
              <w:t>​</w:t>
            </w:r>
          </w:p>
        </w:tc>
      </w:tr>
      <w:tr>
        <w:trPr/>
        <w:tc>
          <w:tcPr>
            <w:tcW w:w="7034"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Amortization of debt discount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4"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107</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0" w:type="dxa"/>
            <w:tcBorders/>
            <w:shd w:fill="CCEEFF" w:val="clear"/>
            <w:vAlign w:val="center"/>
          </w:tcPr>
          <w:p>
            <w:pPr>
              <w:pStyle w:val="TableContents"/>
              <w:bidi w:val="0"/>
              <w:spacing w:before="0" w:after="1"/>
              <w:ind w:left="0" w:right="0" w:hanging="0"/>
              <w:jc w:val="right"/>
              <w:rPr/>
            </w:pPr>
            <w:r>
              <w:rPr/>
              <w:t>—</w:t>
            </w:r>
          </w:p>
        </w:tc>
        <w:tc>
          <w:tcPr>
            <w:tcW w:w="373" w:type="dxa"/>
            <w:tcBorders/>
            <w:shd w:fill="CCEEFF" w:val="clear"/>
            <w:vAlign w:val="center"/>
          </w:tcPr>
          <w:p>
            <w:pPr>
              <w:pStyle w:val="TableContents"/>
              <w:bidi w:val="0"/>
              <w:spacing w:before="0" w:after="1"/>
              <w:ind w:left="0" w:right="0" w:hanging="0"/>
              <w:jc w:val="left"/>
              <w:rPr/>
            </w:pPr>
            <w:r>
              <w:rPr/>
              <w:t>​</w:t>
            </w:r>
          </w:p>
        </w:tc>
      </w:tr>
      <w:tr>
        <w:trPr/>
        <w:tc>
          <w:tcPr>
            <w:tcW w:w="7034"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Amortization of debt issuance costs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4"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1,110</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10"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1,199</w:t>
            </w:r>
          </w:p>
        </w:tc>
        <w:tc>
          <w:tcPr>
            <w:tcW w:w="373" w:type="dxa"/>
            <w:tcBorders/>
            <w:vAlign w:val="center"/>
          </w:tcPr>
          <w:p>
            <w:pPr>
              <w:pStyle w:val="TableContents"/>
              <w:bidi w:val="0"/>
              <w:spacing w:before="0" w:after="1"/>
              <w:ind w:left="0" w:right="0" w:hanging="0"/>
              <w:jc w:val="left"/>
              <w:rPr/>
            </w:pPr>
            <w:r>
              <w:rPr/>
              <w:t>​</w:t>
            </w:r>
          </w:p>
        </w:tc>
      </w:tr>
      <w:tr>
        <w:trPr/>
        <w:tc>
          <w:tcPr>
            <w:tcW w:w="7034"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Share-based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4"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3,689</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0"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3,169</w:t>
            </w:r>
          </w:p>
        </w:tc>
        <w:tc>
          <w:tcPr>
            <w:tcW w:w="373" w:type="dxa"/>
            <w:tcBorders/>
            <w:shd w:fill="CCEEFF" w:val="clear"/>
            <w:vAlign w:val="center"/>
          </w:tcPr>
          <w:p>
            <w:pPr>
              <w:pStyle w:val="TableContents"/>
              <w:bidi w:val="0"/>
              <w:spacing w:before="0" w:after="1"/>
              <w:ind w:left="0" w:right="0" w:hanging="0"/>
              <w:jc w:val="left"/>
              <w:rPr/>
            </w:pPr>
            <w:r>
              <w:rPr/>
              <w:t>​</w:t>
            </w:r>
          </w:p>
        </w:tc>
      </w:tr>
      <w:tr>
        <w:trPr/>
        <w:tc>
          <w:tcPr>
            <w:tcW w:w="7034"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Deferred income taxes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4"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9,613</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10"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981</w:t>
            </w:r>
          </w:p>
        </w:tc>
        <w:tc>
          <w:tcPr>
            <w:tcW w:w="373" w:type="dxa"/>
            <w:tcBorders/>
            <w:vAlign w:val="center"/>
          </w:tcPr>
          <w:p>
            <w:pPr>
              <w:pStyle w:val="TableContents"/>
              <w:bidi w:val="0"/>
              <w:spacing w:before="0" w:after="1"/>
              <w:ind w:left="0" w:right="0" w:hanging="0"/>
              <w:jc w:val="left"/>
              <w:rPr/>
            </w:pPr>
            <w:r>
              <w:rPr/>
              <w:t>​</w:t>
            </w:r>
          </w:p>
        </w:tc>
      </w:tr>
      <w:tr>
        <w:trPr/>
        <w:tc>
          <w:tcPr>
            <w:tcW w:w="7034"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(Gain) loss on disposition of assets,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4"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150</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0"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(367)</w:t>
            </w:r>
          </w:p>
        </w:tc>
        <w:tc>
          <w:tcPr>
            <w:tcW w:w="373" w:type="dxa"/>
            <w:tcBorders/>
            <w:shd w:fill="CCEEFF" w:val="clear"/>
            <w:vAlign w:val="center"/>
          </w:tcPr>
          <w:p>
            <w:pPr>
              <w:pStyle w:val="TableContents"/>
              <w:bidi w:val="0"/>
              <w:spacing w:before="0" w:after="1"/>
              <w:ind w:left="0" w:right="0" w:hanging="0"/>
              <w:jc w:val="left"/>
              <w:rPr/>
            </w:pPr>
            <w:r>
              <w:rPr/>
              <w:t>​</w:t>
            </w:r>
          </w:p>
        </w:tc>
      </w:tr>
      <w:tr>
        <w:trPr/>
        <w:tc>
          <w:tcPr>
            <w:tcW w:w="7034"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Losses related to convertible senior notes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4"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20,922</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10" w:type="dxa"/>
            <w:tcBorders/>
            <w:vAlign w:val="center"/>
          </w:tcPr>
          <w:p>
            <w:pPr>
              <w:pStyle w:val="TableContents"/>
              <w:bidi w:val="0"/>
              <w:spacing w:before="0" w:after="1"/>
              <w:ind w:left="0" w:right="0" w:hanging="0"/>
              <w:jc w:val="right"/>
              <w:rPr/>
            </w:pPr>
            <w:r>
              <w:rPr/>
              <w:t>—</w:t>
            </w:r>
          </w:p>
        </w:tc>
        <w:tc>
          <w:tcPr>
            <w:tcW w:w="373" w:type="dxa"/>
            <w:tcBorders/>
            <w:vAlign w:val="center"/>
          </w:tcPr>
          <w:p>
            <w:pPr>
              <w:pStyle w:val="TableContents"/>
              <w:bidi w:val="0"/>
              <w:spacing w:before="0" w:after="1"/>
              <w:ind w:left="0" w:right="0" w:hanging="0"/>
              <w:jc w:val="left"/>
              <w:rPr/>
            </w:pPr>
            <w:r>
              <w:rPr/>
              <w:t>​</w:t>
            </w:r>
          </w:p>
        </w:tc>
      </w:tr>
      <w:tr>
        <w:trPr/>
        <w:tc>
          <w:tcPr>
            <w:tcW w:w="7034"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Unrealized foreign currency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4"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2,114</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0"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2,815</w:t>
            </w:r>
          </w:p>
        </w:tc>
        <w:tc>
          <w:tcPr>
            <w:tcW w:w="373" w:type="dxa"/>
            <w:tcBorders/>
            <w:shd w:fill="CCEEFF" w:val="clear"/>
            <w:vAlign w:val="center"/>
          </w:tcPr>
          <w:p>
            <w:pPr>
              <w:pStyle w:val="TableContents"/>
              <w:bidi w:val="0"/>
              <w:spacing w:before="0" w:after="1"/>
              <w:ind w:left="0" w:right="0" w:hanging="0"/>
              <w:jc w:val="left"/>
              <w:rPr/>
            </w:pPr>
            <w:r>
              <w:rPr/>
              <w:t>​</w:t>
            </w:r>
          </w:p>
        </w:tc>
      </w:tr>
      <w:tr>
        <w:trPr/>
        <w:tc>
          <w:tcPr>
            <w:tcW w:w="7034"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Change in fair value of contingent consideration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10"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14,820</w:t>
            </w:r>
          </w:p>
        </w:tc>
        <w:tc>
          <w:tcPr>
            <w:tcW w:w="373" w:type="dxa"/>
            <w:tcBorders/>
            <w:vAlign w:val="center"/>
          </w:tcPr>
          <w:p>
            <w:pPr>
              <w:pStyle w:val="TableContents"/>
              <w:bidi w:val="0"/>
              <w:spacing w:before="0" w:after="1"/>
              <w:ind w:left="0" w:right="0" w:hanging="0"/>
              <w:jc w:val="left"/>
              <w:rPr/>
            </w:pPr>
            <w:r>
              <w:rPr/>
              <w:t>​</w:t>
            </w:r>
          </w:p>
        </w:tc>
      </w:tr>
      <w:tr>
        <w:trPr/>
        <w:tc>
          <w:tcPr>
            <w:tcW w:w="7034"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Changes in operating assets and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4"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0" w:type="dxa"/>
            <w:tcBorders/>
            <w:shd w:fill="CCEEFF" w:val="clear"/>
            <w:vAlign w:val="center"/>
          </w:tcPr>
          <w:p>
            <w:pPr>
              <w:pStyle w:val="TableContents"/>
              <w:bidi w:val="0"/>
              <w:spacing w:before="0" w:after="1"/>
              <w:ind w:left="0" w:right="0" w:hanging="0"/>
              <w:jc w:val="right"/>
              <w:rPr/>
            </w:pPr>
            <w:r>
              <w:rPr/>
              <w:t>  </w:t>
            </w:r>
          </w:p>
        </w:tc>
        <w:tc>
          <w:tcPr>
            <w:tcW w:w="373" w:type="dxa"/>
            <w:tcBorders/>
            <w:shd w:fill="CCEEFF" w:val="clear"/>
            <w:vAlign w:val="center"/>
          </w:tcPr>
          <w:p>
            <w:pPr>
              <w:pStyle w:val="TableContents"/>
              <w:bidi w:val="0"/>
              <w:spacing w:before="0" w:after="1"/>
              <w:ind w:left="0" w:right="0" w:hanging="0"/>
              <w:jc w:val="left"/>
              <w:rPr/>
            </w:pPr>
            <w:r>
              <w:rPr/>
              <w:t>​</w:t>
            </w:r>
          </w:p>
        </w:tc>
      </w:tr>
      <w:tr>
        <w:trPr/>
        <w:tc>
          <w:tcPr>
            <w:tcW w:w="7034"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Accounts receivable,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4"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(5,621)</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10"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(36,651)</w:t>
            </w:r>
          </w:p>
        </w:tc>
        <w:tc>
          <w:tcPr>
            <w:tcW w:w="373" w:type="dxa"/>
            <w:tcBorders/>
            <w:vAlign w:val="center"/>
          </w:tcPr>
          <w:p>
            <w:pPr>
              <w:pStyle w:val="TableContents"/>
              <w:bidi w:val="0"/>
              <w:spacing w:before="0" w:after="1"/>
              <w:ind w:left="0" w:right="0" w:hanging="0"/>
              <w:jc w:val="left"/>
              <w:rPr/>
            </w:pPr>
            <w:r>
              <w:rPr/>
              <w:t>​</w:t>
            </w:r>
          </w:p>
        </w:tc>
      </w:tr>
      <w:tr>
        <w:trPr/>
        <w:tc>
          <w:tcPr>
            <w:tcW w:w="7034"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Other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4"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19,020</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0"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(12,189)</w:t>
            </w:r>
          </w:p>
        </w:tc>
        <w:tc>
          <w:tcPr>
            <w:tcW w:w="373" w:type="dxa"/>
            <w:tcBorders/>
            <w:shd w:fill="CCEEFF" w:val="clear"/>
            <w:vAlign w:val="center"/>
          </w:tcPr>
          <w:p>
            <w:pPr>
              <w:pStyle w:val="TableContents"/>
              <w:bidi w:val="0"/>
              <w:spacing w:before="0" w:after="1"/>
              <w:ind w:left="0" w:right="0" w:hanging="0"/>
              <w:jc w:val="left"/>
              <w:rPr/>
            </w:pPr>
            <w:r>
              <w:rPr/>
              <w:t>​</w:t>
            </w:r>
          </w:p>
        </w:tc>
      </w:tr>
      <w:tr>
        <w:trPr/>
        <w:tc>
          <w:tcPr>
            <w:tcW w:w="7034"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Income tax payable, net of income tax receivable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4"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(2,164)</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10"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(3,930)</w:t>
            </w:r>
          </w:p>
        </w:tc>
        <w:tc>
          <w:tcPr>
            <w:tcW w:w="373" w:type="dxa"/>
            <w:tcBorders/>
            <w:vAlign w:val="center"/>
          </w:tcPr>
          <w:p>
            <w:pPr>
              <w:pStyle w:val="TableContents"/>
              <w:bidi w:val="0"/>
              <w:spacing w:before="0" w:after="1"/>
              <w:ind w:left="0" w:right="0" w:hanging="0"/>
              <w:jc w:val="left"/>
              <w:rPr/>
            </w:pPr>
            <w:r>
              <w:rPr/>
              <w:t>​</w:t>
            </w:r>
          </w:p>
        </w:tc>
      </w:tr>
      <w:tr>
        <w:trPr/>
        <w:tc>
          <w:tcPr>
            <w:tcW w:w="7034"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Accounts payable and accrued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4"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(75,150)</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0"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55,728</w:t>
            </w:r>
          </w:p>
        </w:tc>
        <w:tc>
          <w:tcPr>
            <w:tcW w:w="373" w:type="dxa"/>
            <w:tcBorders/>
            <w:shd w:fill="CCEEFF" w:val="clear"/>
            <w:vAlign w:val="center"/>
          </w:tcPr>
          <w:p>
            <w:pPr>
              <w:pStyle w:val="TableContents"/>
              <w:bidi w:val="0"/>
              <w:spacing w:before="0" w:after="1"/>
              <w:ind w:left="0" w:right="0" w:hanging="0"/>
              <w:jc w:val="left"/>
              <w:rPr/>
            </w:pPr>
            <w:r>
              <w:rPr/>
              <w:t>​</w:t>
            </w:r>
          </w:p>
        </w:tc>
      </w:tr>
      <w:tr>
        <w:trPr/>
        <w:tc>
          <w:tcPr>
            <w:tcW w:w="7034"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Deferred recertification and dry dock costs,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4"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(20,330)</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10"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(41,335)</w:t>
            </w:r>
          </w:p>
        </w:tc>
        <w:tc>
          <w:tcPr>
            <w:tcW w:w="373" w:type="dxa"/>
            <w:tcBorders/>
            <w:vAlign w:val="center"/>
          </w:tcPr>
          <w:p>
            <w:pPr>
              <w:pStyle w:val="TableContents"/>
              <w:bidi w:val="0"/>
              <w:spacing w:before="0" w:after="1"/>
              <w:ind w:left="0" w:right="0" w:hanging="0"/>
              <w:jc w:val="left"/>
              <w:rPr/>
            </w:pPr>
            <w:r>
              <w:rPr/>
              <w:t>​</w:t>
            </w:r>
          </w:p>
        </w:tc>
      </w:tr>
      <w:tr>
        <w:trPr/>
        <w:tc>
          <w:tcPr>
            <w:tcW w:w="7034"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Other,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3,034</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(36,830)</w:t>
            </w:r>
          </w:p>
        </w:tc>
        <w:tc>
          <w:tcPr>
            <w:tcW w:w="373" w:type="dxa"/>
            <w:tcBorders/>
            <w:shd w:fill="CCEEFF" w:val="clear"/>
            <w:vAlign w:val="center"/>
          </w:tcPr>
          <w:p>
            <w:pPr>
              <w:pStyle w:val="TableContents"/>
              <w:bidi w:val="0"/>
              <w:spacing w:before="0" w:after="1"/>
              <w:ind w:left="0" w:right="0" w:hanging="0"/>
              <w:jc w:val="left"/>
              <w:rPr/>
            </w:pPr>
            <w:r>
              <w:rPr/>
              <w:t>​</w:t>
            </w:r>
          </w:p>
        </w:tc>
      </w:tr>
      <w:tr>
        <w:trPr/>
        <w:tc>
          <w:tcPr>
            <w:tcW w:w="7034"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Net cash provided by operating activities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52,320</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0"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26,109</w:t>
            </w:r>
          </w:p>
        </w:tc>
        <w:tc>
          <w:tcPr>
            <w:tcW w:w="373" w:type="dxa"/>
            <w:tcBorders/>
            <w:vAlign w:val="center"/>
          </w:tcPr>
          <w:p>
            <w:pPr>
              <w:pStyle w:val="TableContents"/>
              <w:bidi w:val="0"/>
              <w:spacing w:before="0" w:after="1"/>
              <w:ind w:left="0" w:right="0" w:hanging="0"/>
              <w:jc w:val="left"/>
              <w:rPr/>
            </w:pPr>
            <w:r>
              <w:rPr/>
              <w:t>​</w:t>
            </w:r>
          </w:p>
        </w:tc>
      </w:tr>
      <w:tr>
        <w:trPr/>
        <w:tc>
          <w:tcPr>
            <w:tcW w:w="703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0" w:type="dxa"/>
            <w:tcBorders/>
            <w:shd w:fill="CCEEFF" w:val="clear"/>
            <w:vAlign w:val="center"/>
          </w:tcPr>
          <w:p>
            <w:pPr>
              <w:pStyle w:val="TableContents"/>
              <w:bidi w:val="0"/>
              <w:spacing w:before="0" w:after="1"/>
              <w:ind w:left="0" w:right="0" w:hanging="0"/>
              <w:jc w:val="right"/>
              <w:rPr/>
            </w:pPr>
            <w:r>
              <w:rPr/>
              <w:t>​</w:t>
            </w:r>
          </w:p>
        </w:tc>
        <w:tc>
          <w:tcPr>
            <w:tcW w:w="373" w:type="dxa"/>
            <w:tcBorders/>
            <w:shd w:fill="CCEEFF" w:val="clear"/>
            <w:vAlign w:val="center"/>
          </w:tcPr>
          <w:p>
            <w:pPr>
              <w:pStyle w:val="TableContents"/>
              <w:bidi w:val="0"/>
              <w:spacing w:before="0" w:after="1"/>
              <w:ind w:left="0" w:right="0" w:hanging="0"/>
              <w:jc w:val="left"/>
              <w:rPr/>
            </w:pPr>
            <w:r>
              <w:rPr/>
              <w:t>​</w:t>
            </w:r>
          </w:p>
        </w:tc>
      </w:tr>
      <w:tr>
        <w:trPr/>
        <w:tc>
          <w:tcPr>
            <w:tcW w:w="7034"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Cash flows from investing activities: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4"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10" w:type="dxa"/>
            <w:tcBorders/>
            <w:vAlign w:val="center"/>
          </w:tcPr>
          <w:p>
            <w:pPr>
              <w:pStyle w:val="TableContents"/>
              <w:bidi w:val="0"/>
              <w:spacing w:before="0" w:after="1"/>
              <w:ind w:left="0" w:right="0" w:hanging="0"/>
              <w:jc w:val="right"/>
              <w:rPr/>
            </w:pPr>
            <w:r>
              <w:rPr/>
              <w:t>  </w:t>
            </w:r>
          </w:p>
        </w:tc>
        <w:tc>
          <w:tcPr>
            <w:tcW w:w="373" w:type="dxa"/>
            <w:tcBorders/>
            <w:vAlign w:val="center"/>
          </w:tcPr>
          <w:p>
            <w:pPr>
              <w:pStyle w:val="TableContents"/>
              <w:bidi w:val="0"/>
              <w:spacing w:before="0" w:after="1"/>
              <w:ind w:left="0" w:right="0" w:hanging="0"/>
              <w:jc w:val="left"/>
              <w:rPr/>
            </w:pPr>
            <w:r>
              <w:rPr/>
              <w:t>​</w:t>
            </w:r>
          </w:p>
        </w:tc>
      </w:tr>
      <w:tr>
        <w:trPr/>
        <w:tc>
          <w:tcPr>
            <w:tcW w:w="7034"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Capital expenditures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4"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(7,594)</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0"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(7,920)</w:t>
            </w:r>
          </w:p>
        </w:tc>
        <w:tc>
          <w:tcPr>
            <w:tcW w:w="373" w:type="dxa"/>
            <w:tcBorders/>
            <w:shd w:fill="CCEEFF" w:val="clear"/>
            <w:vAlign w:val="center"/>
          </w:tcPr>
          <w:p>
            <w:pPr>
              <w:pStyle w:val="TableContents"/>
              <w:bidi w:val="0"/>
              <w:spacing w:before="0" w:after="1"/>
              <w:ind w:left="0" w:right="0" w:hanging="0"/>
              <w:jc w:val="left"/>
              <w:rPr/>
            </w:pPr>
            <w:r>
              <w:rPr/>
              <w:t>​</w:t>
            </w:r>
          </w:p>
        </w:tc>
      </w:tr>
      <w:tr>
        <w:trPr/>
        <w:tc>
          <w:tcPr>
            <w:tcW w:w="7034"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Proceeds from sale of assets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10"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365</w:t>
            </w:r>
          </w:p>
        </w:tc>
        <w:tc>
          <w:tcPr>
            <w:tcW w:w="373" w:type="dxa"/>
            <w:tcBorders/>
            <w:vAlign w:val="center"/>
          </w:tcPr>
          <w:p>
            <w:pPr>
              <w:pStyle w:val="TableContents"/>
              <w:bidi w:val="0"/>
              <w:spacing w:before="0" w:after="1"/>
              <w:ind w:left="0" w:right="0" w:hanging="0"/>
              <w:jc w:val="left"/>
              <w:rPr/>
            </w:pPr>
            <w:r>
              <w:rPr/>
              <w:t>​</w:t>
            </w:r>
          </w:p>
        </w:tc>
      </w:tr>
      <w:tr>
        <w:trPr/>
        <w:tc>
          <w:tcPr>
            <w:tcW w:w="7034"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Proceeds from insurance recoveries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363</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73" w:type="dxa"/>
            <w:tcBorders/>
            <w:shd w:fill="CCEEFF" w:val="clear"/>
            <w:vAlign w:val="center"/>
          </w:tcPr>
          <w:p>
            <w:pPr>
              <w:pStyle w:val="TableContents"/>
              <w:bidi w:val="0"/>
              <w:spacing w:before="0" w:after="1"/>
              <w:ind w:left="0" w:right="0" w:hanging="0"/>
              <w:jc w:val="left"/>
              <w:rPr/>
            </w:pPr>
            <w:r>
              <w:rPr/>
              <w:t>​</w:t>
            </w:r>
          </w:p>
        </w:tc>
      </w:tr>
      <w:tr>
        <w:trPr/>
        <w:tc>
          <w:tcPr>
            <w:tcW w:w="7034"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Net cash used in investing activities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(7,231)</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0"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(7,555)</w:t>
            </w:r>
          </w:p>
        </w:tc>
        <w:tc>
          <w:tcPr>
            <w:tcW w:w="373" w:type="dxa"/>
            <w:tcBorders/>
            <w:vAlign w:val="center"/>
          </w:tcPr>
          <w:p>
            <w:pPr>
              <w:pStyle w:val="TableContents"/>
              <w:bidi w:val="0"/>
              <w:spacing w:before="0" w:after="1"/>
              <w:ind w:left="0" w:right="0" w:hanging="0"/>
              <w:jc w:val="left"/>
              <w:rPr/>
            </w:pPr>
            <w:r>
              <w:rPr/>
              <w:t>​</w:t>
            </w:r>
          </w:p>
        </w:tc>
      </w:tr>
      <w:tr>
        <w:trPr/>
        <w:tc>
          <w:tcPr>
            <w:tcW w:w="703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0" w:type="dxa"/>
            <w:tcBorders/>
            <w:shd w:fill="CCEEFF" w:val="clear"/>
            <w:vAlign w:val="center"/>
          </w:tcPr>
          <w:p>
            <w:pPr>
              <w:pStyle w:val="TableContents"/>
              <w:bidi w:val="0"/>
              <w:spacing w:before="0" w:after="1"/>
              <w:ind w:left="0" w:right="0" w:hanging="0"/>
              <w:jc w:val="right"/>
              <w:rPr/>
            </w:pPr>
            <w:r>
              <w:rPr/>
              <w:t>​</w:t>
            </w:r>
          </w:p>
        </w:tc>
        <w:tc>
          <w:tcPr>
            <w:tcW w:w="373" w:type="dxa"/>
            <w:tcBorders/>
            <w:shd w:fill="CCEEFF" w:val="clear"/>
            <w:vAlign w:val="center"/>
          </w:tcPr>
          <w:p>
            <w:pPr>
              <w:pStyle w:val="TableContents"/>
              <w:bidi w:val="0"/>
              <w:spacing w:before="0" w:after="1"/>
              <w:ind w:left="0" w:right="0" w:hanging="0"/>
              <w:jc w:val="left"/>
              <w:rPr/>
            </w:pPr>
            <w:r>
              <w:rPr/>
              <w:t>​</w:t>
            </w:r>
          </w:p>
        </w:tc>
      </w:tr>
      <w:tr>
        <w:trPr/>
        <w:tc>
          <w:tcPr>
            <w:tcW w:w="7034"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Cash flows from financing activities: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4"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10" w:type="dxa"/>
            <w:tcBorders/>
            <w:vAlign w:val="center"/>
          </w:tcPr>
          <w:p>
            <w:pPr>
              <w:pStyle w:val="TableContents"/>
              <w:bidi w:val="0"/>
              <w:spacing w:before="0" w:after="1"/>
              <w:ind w:left="0" w:right="0" w:hanging="0"/>
              <w:jc w:val="right"/>
              <w:rPr/>
            </w:pPr>
            <w:r>
              <w:rPr/>
              <w:t>  </w:t>
            </w:r>
          </w:p>
        </w:tc>
        <w:tc>
          <w:tcPr>
            <w:tcW w:w="373" w:type="dxa"/>
            <w:tcBorders/>
            <w:vAlign w:val="center"/>
          </w:tcPr>
          <w:p>
            <w:pPr>
              <w:pStyle w:val="TableContents"/>
              <w:bidi w:val="0"/>
              <w:spacing w:before="0" w:after="1"/>
              <w:ind w:left="0" w:right="0" w:hanging="0"/>
              <w:jc w:val="left"/>
              <w:rPr/>
            </w:pPr>
            <w:r>
              <w:rPr/>
              <w:t>​</w:t>
            </w:r>
          </w:p>
        </w:tc>
      </w:tr>
      <w:tr>
        <w:trPr/>
        <w:tc>
          <w:tcPr>
            <w:tcW w:w="7034"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Payments related to convertible senior notes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4"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(60,720)</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0" w:type="dxa"/>
            <w:tcBorders/>
            <w:shd w:fill="CCEEFF" w:val="clear"/>
            <w:vAlign w:val="center"/>
          </w:tcPr>
          <w:p>
            <w:pPr>
              <w:pStyle w:val="TableContents"/>
              <w:bidi w:val="0"/>
              <w:spacing w:before="0" w:after="1"/>
              <w:ind w:left="0" w:right="0" w:hanging="0"/>
              <w:jc w:val="right"/>
              <w:rPr/>
            </w:pPr>
            <w:r>
              <w:rPr/>
              <w:t>—</w:t>
            </w:r>
          </w:p>
        </w:tc>
        <w:tc>
          <w:tcPr>
            <w:tcW w:w="373" w:type="dxa"/>
            <w:tcBorders/>
            <w:shd w:fill="CCEEFF" w:val="clear"/>
            <w:vAlign w:val="center"/>
          </w:tcPr>
          <w:p>
            <w:pPr>
              <w:pStyle w:val="TableContents"/>
              <w:bidi w:val="0"/>
              <w:spacing w:before="0" w:after="1"/>
              <w:ind w:left="0" w:right="0" w:hanging="0"/>
              <w:jc w:val="left"/>
              <w:rPr/>
            </w:pPr>
            <w:r>
              <w:rPr/>
              <w:t>​</w:t>
            </w:r>
          </w:p>
        </w:tc>
      </w:tr>
      <w:tr>
        <w:trPr/>
        <w:tc>
          <w:tcPr>
            <w:tcW w:w="7034"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Repayment of MARAD Debt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4"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(4,322)</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10"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(4,116)</w:t>
            </w:r>
          </w:p>
        </w:tc>
        <w:tc>
          <w:tcPr>
            <w:tcW w:w="373" w:type="dxa"/>
            <w:tcBorders/>
            <w:vAlign w:val="center"/>
          </w:tcPr>
          <w:p>
            <w:pPr>
              <w:pStyle w:val="TableContents"/>
              <w:bidi w:val="0"/>
              <w:spacing w:before="0" w:after="1"/>
              <w:ind w:left="0" w:right="0" w:hanging="0"/>
              <w:jc w:val="left"/>
              <w:rPr/>
            </w:pPr>
            <w:r>
              <w:rPr/>
              <w:t>​</w:t>
            </w:r>
          </w:p>
        </w:tc>
      </w:tr>
      <w:tr>
        <w:trPr/>
        <w:tc>
          <w:tcPr>
            <w:tcW w:w="7034"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Proceeds from settlement of capped calls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4"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4,381</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0" w:type="dxa"/>
            <w:tcBorders/>
            <w:shd w:fill="CCEEFF" w:val="clear"/>
            <w:vAlign w:val="center"/>
          </w:tcPr>
          <w:p>
            <w:pPr>
              <w:pStyle w:val="TableContents"/>
              <w:bidi w:val="0"/>
              <w:spacing w:before="0" w:after="1"/>
              <w:ind w:left="0" w:right="0" w:hanging="0"/>
              <w:jc w:val="right"/>
              <w:rPr/>
            </w:pPr>
            <w:r>
              <w:rPr/>
              <w:t>—</w:t>
            </w:r>
          </w:p>
        </w:tc>
        <w:tc>
          <w:tcPr>
            <w:tcW w:w="373" w:type="dxa"/>
            <w:tcBorders/>
            <w:shd w:fill="CCEEFF" w:val="clear"/>
            <w:vAlign w:val="center"/>
          </w:tcPr>
          <w:p>
            <w:pPr>
              <w:pStyle w:val="TableContents"/>
              <w:bidi w:val="0"/>
              <w:spacing w:before="0" w:after="1"/>
              <w:ind w:left="0" w:right="0" w:hanging="0"/>
              <w:jc w:val="left"/>
              <w:rPr/>
            </w:pPr>
            <w:r>
              <w:rPr/>
              <w:t>​</w:t>
            </w:r>
          </w:p>
        </w:tc>
      </w:tr>
      <w:tr>
        <w:trPr/>
        <w:tc>
          <w:tcPr>
            <w:tcW w:w="7034"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Debt issuance costs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4"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(1,091)</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10"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(100)</w:t>
            </w:r>
          </w:p>
        </w:tc>
        <w:tc>
          <w:tcPr>
            <w:tcW w:w="373" w:type="dxa"/>
            <w:tcBorders/>
            <w:vAlign w:val="center"/>
          </w:tcPr>
          <w:p>
            <w:pPr>
              <w:pStyle w:val="TableContents"/>
              <w:bidi w:val="0"/>
              <w:spacing w:before="0" w:after="1"/>
              <w:ind w:left="0" w:right="0" w:hanging="0"/>
              <w:jc w:val="left"/>
              <w:rPr/>
            </w:pPr>
            <w:r>
              <w:rPr/>
              <w:t>​</w:t>
            </w:r>
          </w:p>
        </w:tc>
      </w:tr>
      <w:tr>
        <w:trPr/>
        <w:tc>
          <w:tcPr>
            <w:tcW w:w="7034"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Repurchases of common stock</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4"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(10,189)</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0"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(10,059)</w:t>
            </w:r>
          </w:p>
        </w:tc>
        <w:tc>
          <w:tcPr>
            <w:tcW w:w="373" w:type="dxa"/>
            <w:tcBorders/>
            <w:shd w:fill="CCEEFF" w:val="clear"/>
            <w:vAlign w:val="center"/>
          </w:tcPr>
          <w:p>
            <w:pPr>
              <w:pStyle w:val="TableContents"/>
              <w:bidi w:val="0"/>
              <w:spacing w:before="0" w:after="1"/>
              <w:ind w:left="0" w:right="0" w:hanging="0"/>
              <w:jc w:val="left"/>
              <w:rPr/>
            </w:pPr>
            <w:r>
              <w:rPr/>
              <w:t>​</w:t>
            </w:r>
          </w:p>
        </w:tc>
      </w:tr>
      <w:tr>
        <w:trPr/>
        <w:tc>
          <w:tcPr>
            <w:tcW w:w="7034"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Payments related to tax withholding for share-based compensation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4"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(4,003)</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10"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(1,385)</w:t>
            </w:r>
          </w:p>
        </w:tc>
        <w:tc>
          <w:tcPr>
            <w:tcW w:w="373" w:type="dxa"/>
            <w:tcBorders/>
            <w:vAlign w:val="center"/>
          </w:tcPr>
          <w:p>
            <w:pPr>
              <w:pStyle w:val="TableContents"/>
              <w:bidi w:val="0"/>
              <w:spacing w:before="0" w:after="1"/>
              <w:ind w:left="0" w:right="0" w:hanging="0"/>
              <w:jc w:val="left"/>
              <w:rPr/>
            </w:pPr>
            <w:r>
              <w:rPr/>
              <w:t>​</w:t>
            </w:r>
          </w:p>
        </w:tc>
      </w:tr>
      <w:tr>
        <w:trPr/>
        <w:tc>
          <w:tcPr>
            <w:tcW w:w="7034"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Proceeds from issuance of ESPP shares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4"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1,118</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0"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590</w:t>
            </w:r>
          </w:p>
        </w:tc>
        <w:tc>
          <w:tcPr>
            <w:tcW w:w="373" w:type="dxa"/>
            <w:tcBorders/>
            <w:shd w:fill="CCEEFF" w:val="clear"/>
            <w:vAlign w:val="center"/>
          </w:tcPr>
          <w:p>
            <w:pPr>
              <w:pStyle w:val="TableContents"/>
              <w:bidi w:val="0"/>
              <w:spacing w:before="0" w:after="1"/>
              <w:ind w:left="0" w:right="0" w:hanging="0"/>
              <w:jc w:val="left"/>
              <w:rPr/>
            </w:pPr>
            <w:r>
              <w:rPr/>
              <w:t>​</w:t>
            </w:r>
          </w:p>
        </w:tc>
      </w:tr>
      <w:tr>
        <w:trPr/>
        <w:tc>
          <w:tcPr>
            <w:tcW w:w="7034"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Payment of earn-out consideration</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(26,700)</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73" w:type="dxa"/>
            <w:tcBorders/>
            <w:vAlign w:val="center"/>
          </w:tcPr>
          <w:p>
            <w:pPr>
              <w:pStyle w:val="TableContents"/>
              <w:bidi w:val="0"/>
              <w:spacing w:before="0" w:after="1"/>
              <w:ind w:left="0" w:right="0" w:hanging="0"/>
              <w:jc w:val="left"/>
              <w:rPr/>
            </w:pPr>
            <w:r>
              <w:rPr/>
              <w:t>​</w:t>
            </w:r>
          </w:p>
        </w:tc>
      </w:tr>
      <w:tr>
        <w:trPr/>
        <w:tc>
          <w:tcPr>
            <w:tcW w:w="7034"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Net cash used in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(101,526)</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(15,070)</w:t>
            </w:r>
          </w:p>
        </w:tc>
        <w:tc>
          <w:tcPr>
            <w:tcW w:w="373" w:type="dxa"/>
            <w:tcBorders/>
            <w:shd w:fill="CCEEFF" w:val="clear"/>
            <w:vAlign w:val="center"/>
          </w:tcPr>
          <w:p>
            <w:pPr>
              <w:pStyle w:val="TableContents"/>
              <w:bidi w:val="0"/>
              <w:spacing w:before="0" w:after="1"/>
              <w:ind w:left="0" w:right="0" w:hanging="0"/>
              <w:jc w:val="left"/>
              <w:rPr/>
            </w:pPr>
            <w:r>
              <w:rPr/>
              <w:t>​</w:t>
            </w:r>
          </w:p>
        </w:tc>
      </w:tr>
      <w:tr>
        <w:trPr/>
        <w:tc>
          <w:tcPr>
            <w:tcW w:w="703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0" w:type="dxa"/>
            <w:tcBorders/>
            <w:vAlign w:val="center"/>
          </w:tcPr>
          <w:p>
            <w:pPr>
              <w:pStyle w:val="TableContents"/>
              <w:bidi w:val="0"/>
              <w:spacing w:before="0" w:after="1"/>
              <w:ind w:left="0" w:right="0" w:hanging="0"/>
              <w:jc w:val="right"/>
              <w:rPr/>
            </w:pPr>
            <w:r>
              <w:rPr/>
              <w:t>​</w:t>
            </w:r>
          </w:p>
        </w:tc>
        <w:tc>
          <w:tcPr>
            <w:tcW w:w="373" w:type="dxa"/>
            <w:tcBorders/>
            <w:vAlign w:val="center"/>
          </w:tcPr>
          <w:p>
            <w:pPr>
              <w:pStyle w:val="TableContents"/>
              <w:bidi w:val="0"/>
              <w:spacing w:before="0" w:after="1"/>
              <w:ind w:left="0" w:right="0" w:hanging="0"/>
              <w:jc w:val="left"/>
              <w:rPr/>
            </w:pPr>
            <w:r>
              <w:rPr/>
              <w:t>​</w:t>
            </w:r>
          </w:p>
        </w:tc>
      </w:tr>
      <w:tr>
        <w:trPr/>
        <w:tc>
          <w:tcPr>
            <w:tcW w:w="7034"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Effect of exchange rate changes on 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(688)</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(9,944)</w:t>
            </w:r>
          </w:p>
        </w:tc>
        <w:tc>
          <w:tcPr>
            <w:tcW w:w="373" w:type="dxa"/>
            <w:tcBorders/>
            <w:shd w:fill="CCEEFF" w:val="clear"/>
            <w:vAlign w:val="center"/>
          </w:tcPr>
          <w:p>
            <w:pPr>
              <w:pStyle w:val="TableContents"/>
              <w:bidi w:val="0"/>
              <w:spacing w:before="0" w:after="1"/>
              <w:ind w:left="0" w:right="0" w:hanging="0"/>
              <w:jc w:val="left"/>
              <w:rPr/>
            </w:pPr>
            <w:r>
              <w:rPr/>
              <w:t>​</w:t>
            </w:r>
          </w:p>
        </w:tc>
      </w:tr>
      <w:tr>
        <w:trPr/>
        <w:tc>
          <w:tcPr>
            <w:tcW w:w="7034"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Net decrease in cash and cash equivalents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(57,125)</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0"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(6,460)</w:t>
            </w:r>
          </w:p>
        </w:tc>
        <w:tc>
          <w:tcPr>
            <w:tcW w:w="373" w:type="dxa"/>
            <w:tcBorders/>
            <w:vAlign w:val="center"/>
          </w:tcPr>
          <w:p>
            <w:pPr>
              <w:pStyle w:val="TableContents"/>
              <w:bidi w:val="0"/>
              <w:spacing w:before="0" w:after="1"/>
              <w:ind w:left="0" w:right="0" w:hanging="0"/>
              <w:jc w:val="left"/>
              <w:rPr/>
            </w:pPr>
            <w:r>
              <w:rPr/>
              <w:t>​</w:t>
            </w:r>
          </w:p>
        </w:tc>
      </w:tr>
      <w:tr>
        <w:trPr/>
        <w:tc>
          <w:tcPr>
            <w:tcW w:w="7034"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4"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0" w:type="dxa"/>
            <w:tcBorders/>
            <w:shd w:fill="CCEEFF" w:val="clear"/>
            <w:vAlign w:val="center"/>
          </w:tcPr>
          <w:p>
            <w:pPr>
              <w:pStyle w:val="TableContents"/>
              <w:bidi w:val="0"/>
              <w:spacing w:before="0" w:after="1"/>
              <w:ind w:left="0" w:right="0" w:hanging="0"/>
              <w:jc w:val="right"/>
              <w:rPr/>
            </w:pPr>
            <w:r>
              <w:rPr/>
              <w:t>  </w:t>
            </w:r>
          </w:p>
        </w:tc>
        <w:tc>
          <w:tcPr>
            <w:tcW w:w="373" w:type="dxa"/>
            <w:tcBorders/>
            <w:shd w:fill="CCEEFF" w:val="clear"/>
            <w:vAlign w:val="center"/>
          </w:tcPr>
          <w:p>
            <w:pPr>
              <w:pStyle w:val="TableContents"/>
              <w:bidi w:val="0"/>
              <w:spacing w:before="0" w:after="1"/>
              <w:ind w:left="0" w:right="0" w:hanging="0"/>
              <w:jc w:val="left"/>
              <w:rPr/>
            </w:pPr>
            <w:r>
              <w:rPr/>
              <w:t>​</w:t>
            </w:r>
          </w:p>
        </w:tc>
      </w:tr>
      <w:tr>
        <w:trPr/>
        <w:tc>
          <w:tcPr>
            <w:tcW w:w="7034"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Balance, beginning of year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332,191</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0"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189,111</w:t>
            </w:r>
          </w:p>
        </w:tc>
        <w:tc>
          <w:tcPr>
            <w:tcW w:w="373" w:type="dxa"/>
            <w:tcBorders/>
            <w:vAlign w:val="center"/>
          </w:tcPr>
          <w:p>
            <w:pPr>
              <w:pStyle w:val="TableContents"/>
              <w:bidi w:val="0"/>
              <w:spacing w:before="0" w:after="1"/>
              <w:ind w:left="0" w:right="0" w:hanging="0"/>
              <w:jc w:val="left"/>
              <w:rPr/>
            </w:pPr>
            <w:r>
              <w:rPr/>
              <w:t>​</w:t>
            </w:r>
          </w:p>
        </w:tc>
      </w:tr>
      <w:tr>
        <w:trPr/>
        <w:tc>
          <w:tcPr>
            <w:tcW w:w="7034"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Balance, end of period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w:t>
            </w:r>
          </w:p>
        </w:tc>
        <w:tc>
          <w:tcPr>
            <w:tcW w:w="91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275,066</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w:t>
            </w:r>
          </w:p>
        </w:tc>
        <w:tc>
          <w:tcPr>
            <w:tcW w:w="81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182,651</w:t>
            </w:r>
          </w:p>
        </w:tc>
        <w:tc>
          <w:tcPr>
            <w:tcW w:w="373"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689" w:name="_f567d22c_6a88_429a_9538_4b34cc935369"/>
      <w:bookmarkStart w:id="690" w:name="_Hlk115244436"/>
      <w:bookmarkEnd w:id="689"/>
      <w:bookmarkEnd w:id="690"/>
      <w:r>
        <w:rPr>
          <w:rFonts w:ascii="Arial;Helvetica;sans-serif" w:hAnsi="Arial;Helvetica;sans-serif"/>
          <w:b/>
          <w:sz w:val="20"/>
        </w:rPr>
        <w:t>HELIX ENERGY SOLUTIONS GROUP, INC. AND SUBSIDIARIES</w:t>
      </w:r>
    </w:p>
    <w:p>
      <w:pPr>
        <w:pStyle w:val="TextBody"/>
        <w:bidi w:val="0"/>
        <w:spacing w:before="0" w:after="0"/>
        <w:ind w:left="0" w:right="0" w:hanging="0"/>
        <w:jc w:val="center"/>
        <w:rPr>
          <w:rFonts w:ascii="Arial;Helvetica;sans-serif" w:hAnsi="Arial;Helvetica;sans-serif"/>
          <w:b/>
          <w:sz w:val="20"/>
        </w:rPr>
      </w:pPr>
      <w:bookmarkStart w:id="691" w:name="NOTESTOCONDENSEDCONSOLIDATEDFINANCIALSTA"/>
      <w:bookmarkEnd w:id="691"/>
      <w:r>
        <w:rPr>
          <w:rFonts w:ascii="Arial;Helvetica;sans-serif" w:hAnsi="Arial;Helvetica;sans-serif"/>
          <w:b/>
          <w:sz w:val="20"/>
        </w:rPr>
        <w:t>NOTES TO CONDENSED CONSOLIDATED FINANCIAL STATEMENTS (UNAUDITED)</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Note 1 — Basis of Presentation and New Accounting Standards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accompanying condensed consolidated financial statements include the accounts of Helix Energy Solutions Group, Inc. and its subsidiaries (collectively, “Helix”). Unless the context indicates otherwise, the terms “we,” “us” and “our” in this report refer collectively to Helix and its subsidiaries. All material intercompany accounts and transactions have been eliminated. These unaudited condensed consolidated financial statements in U.S. dollars have been prepared in accordance with instructions for the Quarterly Report on Form 10-Q required to be filed with the Securities and Exchange Commission (the “SEC”) and do not include all information and footnotes normally included in annual financial statements prepared in accordance with U.S. generally accepted accounting principles (“GAAP”).</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preparation of these financial statements requires us to make estimates and judgments that affect the amounts reported in the financial statements and the related disclosures. Actual results may differ from our estimates. We have made all adjustments, which, unless otherwise disclosed, are of normal recurring nature, that we believe are necessary for a fair presentation of the condensed consolidated balance sheets, statements of operations, statements of comprehensive loss, statements of shareholders’ equity and statements of cash flows, as applicable. The operating results for the three- and six-month periods ended June 30, 2024 are not necessarily indicative of the results that may be expected for the year ending December 31, 2024. Our balance sheet as of December 31, 2023 included herein has been derived from the audited balance sheet as of December 31, 2023 included in our 2023 Annual Report on Form 10-K (our “2023 Form 10-K”). These unaudited condensed consolidated financial statements should be read in conjunction with the audited annual consolidated financial statements and notes thereto included in our 2023 Form 10-K.</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Certain reclassifications were made to previously reported amounts in the consolidated financial statements and notes thereto to make them consistent with the current presentation format.</w:t>
      </w:r>
    </w:p>
    <w:p>
      <w:pPr>
        <w:pStyle w:val="TextBody"/>
        <w:bidi w:val="0"/>
        <w:spacing w:before="0" w:after="240"/>
        <w:ind w:left="0" w:right="0" w:hanging="0"/>
        <w:jc w:val="left"/>
        <w:rPr>
          <w:rFonts w:ascii="Arial;Helvetica;sans-serif" w:hAnsi="Arial;Helvetica;sans-serif"/>
          <w:b w:val="false"/>
          <w:i/>
          <w:sz w:val="20"/>
        </w:rPr>
      </w:pPr>
      <w:r>
        <w:rPr>
          <w:rFonts w:ascii="Arial;Helvetica;sans-serif" w:hAnsi="Arial;Helvetica;sans-serif"/>
          <w:b w:val="false"/>
          <w:i/>
          <w:sz w:val="20"/>
        </w:rPr>
        <w:t>New accounting standards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In November 2023, the Financial Accounting Standards Board (the “FASB”) issued Accounting Standards Update (“ASU”) No. 2023-07, “Improvements to Reportable Segment Disclosures,” which requires entities to disclose, on an annual and interim basis, significant segment expenses that are regularly provided to the chief operating decision maker (the “CODM”) and included within each reported measure of segment profit or loss as well as an amount for other segment items by reportable segment and a description of its composition. ASU No. 2023-07 requires all annual disclosures about a reportable segment’s profit or loss and assets to be provided in interim periods as well. Among other things, this ASU also requires that a public entity disclose the title and position of the CODM and an explanation of how the CODM uses the reported measure(s) of segment profit or loss in assessing segment performance and deciding how to allocate resources. ASU No. 2023-07 will be effective on a retrospective basis for annual periods beginning January 1, 2024 and for interim periods beginning January 1, 2025. This ASU is not expected to have a material impact on our consolidated financial statements other than increased disclosure requirements.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In December 2023, the FASB issued ASU No. 2023-09, “Improvements to Income Tax Disclosures,” which requires entities to disclose, on an annual basis, specific categories in a tabular rate reconciliation using both percentages and reporting currency amounts and to provide additional information for reconciling items that meet a quantitative threshold. This ASU also requires that entities disclose on an annual basis: a) income taxes paid (net) disaggregated by federal, state and foreign taxes, b) income taxes paid (net) by individual jurisdiction, c) income (or loss) from continuing operations before income tax expense (or benefit) between domestic and foreign, and d) income tax expense (or benefit) from continuing operations by federal, state and foreign. Certain previous disclosure requirements on unrecognized tax benefits and cumulative amount of temporary differences are eliminated. ASU No. 2023-09 will be effective for us for annual periods beginning January 1, 2025. This ASU is not expected to have a material impact on our consolidated financial statements other than increased disclosure requirements.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We do not expect other recently issued accounting standards to have a material impact on our financial position, results of operations or cash flows when they become effective.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Note 2 — Company Overview</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are an international offshore energy services company that provides specialty services to the offshore energy industry, with a focus on well intervention, robotics and decommissioning operations. Our services are key in supporting a global energy transition:</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sz w:val="20"/>
              </w:rPr>
              <w:t>Production maximization</w:t>
            </w:r>
            <w:r>
              <w:rPr>
                <w:caps w:val="false"/>
                <w:smallCaps w:val="false"/>
              </w:rPr>
              <w:t xml:space="preserve"> — </w:t>
            </w:r>
            <w:r>
              <w:rPr>
                <w:rFonts w:ascii="Arial;Helvetica;sans-serif" w:hAnsi="Arial;Helvetica;sans-serif"/>
                <w:b w:val="false"/>
                <w:i w:val="false"/>
                <w:caps w:val="false"/>
                <w:smallCaps w:val="false"/>
                <w:sz w:val="20"/>
              </w:rPr>
              <w:t>our assets and methodologies are specifically designed to efficiently enhance and extend the lives of existing oil and gas reserves; we also offer an alternative to take over end-of-life reserves in preparation for their abandonment;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sz w:val="20"/>
              </w:rPr>
              <w:t>Decommissioning</w:t>
            </w:r>
            <w:r>
              <w:rPr>
                <w:caps w:val="false"/>
                <w:smallCaps w:val="false"/>
              </w:rPr>
              <w:t xml:space="preserve"> — </w:t>
            </w:r>
            <w:r>
              <w:rPr>
                <w:rFonts w:ascii="Arial;Helvetica;sans-serif" w:hAnsi="Arial;Helvetica;sans-serif"/>
                <w:b w:val="false"/>
                <w:i w:val="false"/>
                <w:caps w:val="false"/>
                <w:smallCaps w:val="false"/>
                <w:sz w:val="20"/>
              </w:rPr>
              <w:t>we are a full-field abandonment contractor and believe that regulatory push for plug and abandonment (“P&amp;A”) and transition to renewable energy will facilitate the continued growth of the abandonment market;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sz w:val="20"/>
              </w:rPr>
              <w:t>Renewables</w:t>
            </w:r>
            <w:r>
              <w:rPr>
                <w:caps w:val="false"/>
                <w:smallCaps w:val="false"/>
              </w:rPr>
              <w:t xml:space="preserve"> — </w:t>
            </w:r>
            <w:r>
              <w:rPr>
                <w:rFonts w:ascii="Arial;Helvetica;sans-serif" w:hAnsi="Arial;Helvetica;sans-serif"/>
                <w:b w:val="false"/>
                <w:i w:val="false"/>
                <w:caps w:val="false"/>
                <w:smallCaps w:val="false"/>
                <w:sz w:val="20"/>
              </w:rPr>
              <w:t>we are an established global leader in jet trenching and provide specialty support services to renewable energy developments such as offshore wind farms, including boulder removal and unexploded ordnance clearance.</w:t>
            </w:r>
          </w:p>
        </w:tc>
      </w:tr>
    </w:tbl>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provide a range of services to the oil and gas and renewable energy markets primarily in the Gulf of Mexico (deepwater and shelf), U.S. East Coast, Brazil, North Sea, Asia Pacific and West Africa regions. Our North Sea operations and our Gulf of Mexico shelf operations are usually subject to seasonal changes in demand, which generally peaks in the summer months and declines in the winter months. Our services are segregated into four reportable business segments: Well Intervention, Robotics, Shallow Water Abandonment and Production Facilities.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Our Well Intervention segment provides services enabling our customers to safely access subsea offshore wells for the purpose of performing production enhancement or decommissioning operations, thereby mitigating the need to drill new wells by extending the useful lives of existing wells and preserving the environment by preventing uncontrolled releases of oil and natural gas. Our well intervention vessels include the </w:t>
      </w:r>
      <w:r>
        <w:rPr>
          <w:rFonts w:ascii="Arial;Helvetica;sans-serif" w:hAnsi="Arial;Helvetica;sans-serif"/>
          <w:i/>
          <w:sz w:val="20"/>
        </w:rPr>
        <w:t>Q4000</w:t>
      </w:r>
      <w:r>
        <w:rPr>
          <w:rFonts w:ascii="Arial;Helvetica;sans-serif" w:hAnsi="Arial;Helvetica;sans-serif"/>
          <w:sz w:val="20"/>
        </w:rPr>
        <w:t xml:space="preserve">, the </w:t>
      </w:r>
      <w:r>
        <w:rPr>
          <w:rFonts w:ascii="Arial;Helvetica;sans-serif" w:hAnsi="Arial;Helvetica;sans-serif"/>
          <w:i/>
          <w:sz w:val="20"/>
        </w:rPr>
        <w:t>Q5000</w:t>
      </w:r>
      <w:r>
        <w:rPr>
          <w:rFonts w:ascii="Arial;Helvetica;sans-serif" w:hAnsi="Arial;Helvetica;sans-serif"/>
          <w:sz w:val="20"/>
        </w:rPr>
        <w:t xml:space="preserve">, the </w:t>
      </w:r>
      <w:r>
        <w:rPr>
          <w:rFonts w:ascii="Arial;Helvetica;sans-serif" w:hAnsi="Arial;Helvetica;sans-serif"/>
          <w:i/>
          <w:sz w:val="20"/>
        </w:rPr>
        <w:t>Q7000</w:t>
      </w:r>
      <w:r>
        <w:rPr>
          <w:rFonts w:ascii="Arial;Helvetica;sans-serif" w:hAnsi="Arial;Helvetica;sans-serif"/>
          <w:sz w:val="20"/>
        </w:rPr>
        <w:t xml:space="preserve">, the </w:t>
      </w:r>
      <w:r>
        <w:rPr>
          <w:rFonts w:ascii="Arial;Helvetica;sans-serif" w:hAnsi="Arial;Helvetica;sans-serif"/>
          <w:i/>
          <w:sz w:val="20"/>
        </w:rPr>
        <w:t>Seawell</w:t>
      </w:r>
      <w:r>
        <w:rPr>
          <w:rFonts w:ascii="Arial;Helvetica;sans-serif" w:hAnsi="Arial;Helvetica;sans-serif"/>
          <w:sz w:val="20"/>
        </w:rPr>
        <w:t xml:space="preserve">, the </w:t>
      </w:r>
      <w:r>
        <w:rPr>
          <w:rFonts w:ascii="Arial;Helvetica;sans-serif" w:hAnsi="Arial;Helvetica;sans-serif"/>
          <w:i/>
          <w:sz w:val="20"/>
        </w:rPr>
        <w:t>Well Enhancer</w:t>
      </w:r>
      <w:r>
        <w:rPr>
          <w:rFonts w:ascii="Arial;Helvetica;sans-serif" w:hAnsi="Arial;Helvetica;sans-serif"/>
          <w:sz w:val="20"/>
        </w:rPr>
        <w:t xml:space="preserve">, and two chartered monohull vessels, the </w:t>
      </w:r>
      <w:r>
        <w:rPr>
          <w:rFonts w:ascii="Arial;Helvetica;sans-serif" w:hAnsi="Arial;Helvetica;sans-serif"/>
          <w:i/>
          <w:sz w:val="20"/>
        </w:rPr>
        <w:t>Siem H</w:t>
      </w:r>
      <w:r>
        <w:rPr>
          <w:rFonts w:ascii="Arial;Helvetica;sans-serif" w:hAnsi="Arial;Helvetica;sans-serif"/>
          <w:sz w:val="20"/>
        </w:rPr>
        <w:t>elix </w:t>
      </w:r>
      <w:r>
        <w:rPr>
          <w:rFonts w:ascii="Arial;Helvetica;sans-serif" w:hAnsi="Arial;Helvetica;sans-serif"/>
          <w:i/>
          <w:sz w:val="20"/>
        </w:rPr>
        <w:t>1</w:t>
      </w:r>
      <w:r>
        <w:rPr>
          <w:rFonts w:ascii="Arial;Helvetica;sans-serif" w:hAnsi="Arial;Helvetica;sans-serif"/>
          <w:sz w:val="20"/>
        </w:rPr>
        <w:t xml:space="preserve"> and the </w:t>
      </w:r>
      <w:r>
        <w:rPr>
          <w:rFonts w:ascii="Arial;Helvetica;sans-serif" w:hAnsi="Arial;Helvetica;sans-serif"/>
          <w:i/>
          <w:sz w:val="20"/>
        </w:rPr>
        <w:t>Siem Helix 2</w:t>
      </w:r>
      <w:r>
        <w:rPr>
          <w:rFonts w:ascii="Arial;Helvetica;sans-serif" w:hAnsi="Arial;Helvetica;sans-serif"/>
          <w:sz w:val="20"/>
        </w:rPr>
        <w:t>. Our well intervention equipment includes intervention systems such as intervention riser systems (“IRSs”), subsea intervention lubricators (“SILs”) and the Riserless Open-water Abandonment Module, some of which we provide on a stand-alone basis.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Robotics segment provides trenching, seabed clearance, offshore construction and inspection, repair and maintenance (“IRM”) services to both the oil and gas and the renewable energy markets globally, thereby assisting the delivery of renewable energy and supporting the responsible transition away from a carbon-based economy. Additionally, our robotics services are used in and complement our well intervention services. Our Robotics segment includes remotely operated vehicles (“ROVs”), trenchers, IROV boulder grabs and robotics support vessels under term charters as well as spot vessels as needed. We offer our ROVs, trenchers and IROV boulder grabs on a stand-alone basis or on an integrated basis with chartered robotics support vessels.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Shallow Water Abandonment segment provides services in support of the upstream and midstream ‎industries predominantly in the Gulf of Mexico shelf, including offshore oilfield decommissioning and ‎reclamation, project management, engineered solutions, intervention, maintenance, repair, heavy lift and commercial diving services. Our Shallow Water Abandonment segment includes Helix Alliance that was acquired in July 2022, which offers a diversified fleet of marine assets including liftboats, offshore supply vessels (“OSVs”), dive support vessels (“DSVs”), a heavy lift derrick barge, a crew boat, P&amp;A systems and coiled tubing (“CT”) systems.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 xml:space="preserve">Our Production Facilities segment includes the </w:t>
      </w:r>
      <w:r>
        <w:rPr>
          <w:rFonts w:ascii="Arial;Helvetica;sans-serif" w:hAnsi="Arial;Helvetica;sans-serif"/>
          <w:i/>
          <w:sz w:val="20"/>
        </w:rPr>
        <w:t>Helix Producer</w:t>
      </w:r>
      <w:r>
        <w:rPr>
          <w:rFonts w:ascii="Arial;Helvetica;sans-serif" w:hAnsi="Arial;Helvetica;sans-serif"/>
          <w:sz w:val="20"/>
        </w:rPr>
        <w:t> </w:t>
      </w:r>
      <w:r>
        <w:rPr>
          <w:rFonts w:ascii="Arial;Helvetica;sans-serif" w:hAnsi="Arial;Helvetica;sans-serif"/>
          <w:i/>
          <w:sz w:val="20"/>
        </w:rPr>
        <w:t>I</w:t>
      </w:r>
      <w:r>
        <w:rPr>
          <w:rFonts w:ascii="Arial;Helvetica;sans-serif" w:hAnsi="Arial;Helvetica;sans-serif"/>
          <w:sz w:val="20"/>
        </w:rPr>
        <w:t xml:space="preserve"> (the “</w:t>
      </w:r>
      <w:r>
        <w:rPr>
          <w:rFonts w:ascii="Arial;Helvetica;sans-serif" w:hAnsi="Arial;Helvetica;sans-serif"/>
          <w:i/>
          <w:sz w:val="20"/>
        </w:rPr>
        <w:t>HP I</w:t>
      </w:r>
      <w:r>
        <w:rPr>
          <w:rFonts w:ascii="Arial;Helvetica;sans-serif" w:hAnsi="Arial;Helvetica;sans-serif"/>
          <w:sz w:val="20"/>
        </w:rPr>
        <w:t xml:space="preserve">”), a ship-shaped dynamically positioned floating production vessel, the Helix Fast Response System (the “HFRS”), which combines the </w:t>
      </w:r>
      <w:r>
        <w:rPr>
          <w:rFonts w:ascii="Arial;Helvetica;sans-serif" w:hAnsi="Arial;Helvetica;sans-serif"/>
          <w:i/>
          <w:sz w:val="20"/>
        </w:rPr>
        <w:t>HP I</w:t>
      </w:r>
      <w:r>
        <w:rPr>
          <w:rFonts w:ascii="Arial;Helvetica;sans-serif" w:hAnsi="Arial;Helvetica;sans-serif"/>
          <w:sz w:val="20"/>
        </w:rPr>
        <w:t xml:space="preserve">, the </w:t>
      </w:r>
      <w:r>
        <w:rPr>
          <w:rFonts w:ascii="Arial;Helvetica;sans-serif" w:hAnsi="Arial;Helvetica;sans-serif"/>
          <w:i/>
          <w:sz w:val="20"/>
        </w:rPr>
        <w:t>Q4000</w:t>
      </w:r>
      <w:r>
        <w:rPr>
          <w:rFonts w:ascii="Arial;Helvetica;sans-serif" w:hAnsi="Arial;Helvetica;sans-serif"/>
          <w:sz w:val="20"/>
        </w:rPr>
        <w:t xml:space="preserve"> and the </w:t>
      </w:r>
      <w:r>
        <w:rPr>
          <w:rFonts w:ascii="Arial;Helvetica;sans-serif" w:hAnsi="Arial;Helvetica;sans-serif"/>
          <w:i/>
          <w:sz w:val="20"/>
        </w:rPr>
        <w:t>Q5000</w:t>
      </w:r>
      <w:r>
        <w:rPr>
          <w:rFonts w:ascii="Arial;Helvetica;sans-serif" w:hAnsi="Arial;Helvetica;sans-serif"/>
          <w:sz w:val="20"/>
        </w:rPr>
        <w:t xml:space="preserve"> with certain well control equipment that can be deployed to respond to a well control incident, and our ownership of mature oil and gas properties. All of our current Production Facilities activities are located in the Gulf of Mexico.</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bookmarkStart w:id="692" w:name="Tc_OPCq_6MRI0qgyJTnGy5DZQ_5_5"/>
      <w:bookmarkStart w:id="693" w:name="Tc_vUupUmkpm0WkxIoBn0Pj4Q_5_2"/>
      <w:bookmarkStart w:id="694" w:name="Tc_v8we1tAww0KsZKIeQ5ozfA_5_0"/>
      <w:bookmarkStart w:id="695" w:name="Tc_cWHbWw0C2ESvnhmwO9iIQQ_4_0"/>
      <w:bookmarkStart w:id="696" w:name="Tc_cLv0UHLMFk-QLxhkIvVzug_3_5"/>
      <w:bookmarkStart w:id="697" w:name="Tc_sQA_z0jiXUGDNUCm_1cQoQ_3_2"/>
      <w:bookmarkStart w:id="698" w:name="Tc_mJLXjnvWZ0GDQDLIXjh4Sg_3_0"/>
      <w:bookmarkStart w:id="699" w:name="Tc_cE6x1b9FO0aN7Fl6k4U2ZQ_2_5"/>
      <w:bookmarkStart w:id="700" w:name="Tc_jUUwc3F6vU-1alKkvUIVIg_2_2"/>
      <w:bookmarkStart w:id="701" w:name="Tc_E_VqSoe3UUOa7RwFUL_tRA_1_5"/>
      <w:bookmarkStart w:id="702" w:name="Tc_C-WSb48LT0-kpUA9klnQDQ_1_2"/>
      <w:bookmarkStart w:id="703" w:name="_c0e38dfd_e717_445a_8858_70836d22dc2b"/>
      <w:bookmarkStart w:id="704" w:name="Tc_CI2xaONLU0qmXjcKwcIl4g_9_5"/>
      <w:bookmarkStart w:id="705" w:name="Tc_iBGqxKXmX0mFsq1edCj28Q_9_2"/>
      <w:bookmarkStart w:id="706" w:name="Tc_2FUKO9CfDk2ZopiFnGqubw_9_0"/>
      <w:bookmarkStart w:id="707" w:name="Tc_qvrNgWYlVk-qLAPyg4tOiQ_8_0"/>
      <w:bookmarkStart w:id="708" w:name="Tc_2Q2IRZiYAk2162eUiQFyoQ_7_3"/>
      <w:bookmarkStart w:id="709" w:name="Tc_gQ1iIs-RFUiROFb8SaC5CA_7_0"/>
      <w:bookmarkStart w:id="710" w:name="Tc_yhg0AZdq1Em7_FRn9FtONA_6_0"/>
      <w:bookmarkStart w:id="711" w:name="Tc_ug4argJ1yUiU_NrdWb4aqQ_5_0"/>
      <w:bookmarkStart w:id="712" w:name="Tc_XoUfvwpPaE-Xrnqy9ZidDQ_4_0"/>
      <w:bookmarkStart w:id="713" w:name="Tc_031pPlWUnk--zzXUAqeuuQ_3_5"/>
      <w:bookmarkStart w:id="714" w:name="Tc_Md7KeCaPq0OPayxDWevtFQ_3_2"/>
      <w:bookmarkStart w:id="715" w:name="Tc_gp9B6bdUqECR23H1yOSgjg_3_0"/>
      <w:bookmarkStart w:id="716" w:name="Tc_8ASARWhwnEGunD97d03xGw_2_5"/>
      <w:bookmarkStart w:id="717" w:name="Tc_-vUnOBuce0uY6kqP2ARzmQ_2_2"/>
      <w:bookmarkStart w:id="718" w:name="Tc_U5dSoMPuEU-eQp2BLwZUHQ_1_5"/>
      <w:bookmarkStart w:id="719" w:name="Tc_bhoq3BpbdkC2F1JHSR2Rmw_1_2"/>
      <w:bookmarkStart w:id="720" w:name="_a3ff5a9d_4c0e_4126_ad9b_ddbef402b6a0"/>
      <w:bookmarkStart w:id="721" w:name="Tc_qTD1aL1hskaHvhHZJjpBSw_8_5"/>
      <w:bookmarkStart w:id="722" w:name="Tc_LcJSBkESUUCKZr4lCfDkCQ_8_2"/>
      <w:bookmarkStart w:id="723" w:name="Tc_Wnp0WvCrmkGxTnxDLi_QEQ_8_0"/>
      <w:bookmarkStart w:id="724" w:name="Tc_haZBoZYueEGY2RaGq98ZiQ_7_0"/>
      <w:bookmarkStart w:id="725" w:name="Tc_iqT6BGnp0EWg3yM4ERsDvw_6_0"/>
      <w:bookmarkStart w:id="726" w:name="Tc_yDzqD4zuak6_RVlDLHKYHg_5_0"/>
      <w:bookmarkStart w:id="727" w:name="Tc_qW9yuRQHr0yVVvPg3Xi42w_4_0"/>
      <w:bookmarkStart w:id="728" w:name="Tc_sbj39KJL90eMiOfi6i2F2w_3_5"/>
      <w:bookmarkStart w:id="729" w:name="Tc_qB8XYLyMv0CQh3damQOFGw_3_2"/>
      <w:bookmarkStart w:id="730" w:name="Tc_cD8Tf2Hi8EqOPjTwfto1Yw_3_0"/>
      <w:bookmarkStart w:id="731" w:name="Tc_vAuOXg-OB067myVtdvcCZA_2_5"/>
      <w:bookmarkStart w:id="732" w:name="Tc_fnrlWqkRCEatTazb4_7G8Q_2_2"/>
      <w:bookmarkStart w:id="733" w:name="Tc_UrWWHr015Ue-5r-BNVdsOA_1_5"/>
      <w:bookmarkStart w:id="734" w:name="Tc_X8LgBUsExkelccTli9NG3Q_1_2"/>
      <w:bookmarkStart w:id="735" w:name="_0abacb42_57b8_447d_8868_c58cbeccf6a6"/>
      <w:bookmarkStart w:id="736" w:name="Tc_f-tqYQjTRkONq5V1kyV1kQ_7_5"/>
      <w:bookmarkStart w:id="737" w:name="Tc_AgzXnQOoukCp4EkhhyU1og_7_2"/>
      <w:bookmarkStart w:id="738" w:name="Tc_Gkc8FzOjzUyNZg9V5OSehg_7_0"/>
      <w:bookmarkStart w:id="739" w:name="Tc_MxS5wpFBckm1WUi9KNNsaA_6_0"/>
      <w:bookmarkStart w:id="740" w:name="Tc_y8nhv4tyyk6YiIgp288zkA_5_0"/>
      <w:bookmarkStart w:id="741" w:name="Tc_HU1_eEFKzE2HDdTJRrg7eQ_4_0"/>
      <w:bookmarkStart w:id="742" w:name="Tc_fzBFuYtPxUW0hJ3sWNmtbw_3_5"/>
      <w:bookmarkStart w:id="743" w:name="Tc_zD5yxETvLEG24S_g5LkG_A_3_2"/>
      <w:bookmarkStart w:id="744" w:name="Tc_WhQe4yTMA0O9upvwx96xow_3_0"/>
      <w:bookmarkStart w:id="745" w:name="Tc_Lmqdpyy-sUKcjirBRGB1sA_2_5"/>
      <w:bookmarkStart w:id="746" w:name="Tc_i0PuFVnUsEmcPXHF4-0O_g_2_2"/>
      <w:bookmarkStart w:id="747" w:name="Tc_wG1aeF4cvEKsQJ7_DrbTRg_1_5"/>
      <w:bookmarkStart w:id="748" w:name="Tc__0XIA8rN60ag8ILsjoiskg_1_2"/>
      <w:bookmarkStart w:id="749" w:name="_6de66bd6_b159_4d26_a2e4_6df2c78160a4"/>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r>
        <w:rPr>
          <w:rFonts w:ascii="Arial;Helvetica;sans-serif" w:hAnsi="Arial;Helvetica;sans-serif"/>
          <w:b/>
          <w:sz w:val="20"/>
        </w:rPr>
        <w:t>Note 3 — Details of Certain Accounts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Other current assets consist of the following (in thousands):</w:t>
      </w:r>
    </w:p>
    <w:p>
      <w:pPr>
        <w:pStyle w:val="TextBody"/>
        <w:bidi w:val="0"/>
        <w:spacing w:before="0" w:after="240"/>
        <w:ind w:left="0" w:right="0" w:firstLine="720"/>
        <w:jc w:val="left"/>
        <w:rPr/>
      </w:pPr>
      <w:r>
        <w:rPr/>
        <w:t>​</w:t>
      </w:r>
    </w:p>
    <w:tbl>
      <w:tblPr>
        <w:tblW w:w="5423" w:type="dxa"/>
        <w:jc w:val="left"/>
        <w:tblInd w:w="0" w:type="dxa"/>
        <w:tblLayout w:type="fixed"/>
        <w:tblCellMar>
          <w:top w:w="0" w:type="dxa"/>
          <w:left w:w="0" w:type="dxa"/>
          <w:bottom w:w="0" w:type="dxa"/>
          <w:right w:w="0" w:type="dxa"/>
        </w:tblCellMar>
      </w:tblPr>
      <w:tblGrid>
        <w:gridCol w:w="2356"/>
        <w:gridCol w:w="326"/>
        <w:gridCol w:w="221"/>
        <w:gridCol w:w="724"/>
        <w:gridCol w:w="326"/>
        <w:gridCol w:w="303"/>
        <w:gridCol w:w="1167"/>
      </w:tblGrid>
      <w:tr>
        <w:trPr/>
        <w:tc>
          <w:tcPr>
            <w:tcW w:w="2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07010" cy="175260"/>
                      <wp:effectExtent l="0" t="0" r="0" b="0"/>
                      <wp:wrapNone/>
                      <wp:docPr id="76" name="Frame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40335" cy="175260"/>
                      <wp:effectExtent l="0" t="0" r="0" b="0"/>
                      <wp:wrapNone/>
                      <wp:docPr id="77" name="Frame76"/>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459740" cy="175260"/>
                      <wp:effectExtent l="0" t="0" r="0" b="0"/>
                      <wp:wrapNone/>
                      <wp:docPr id="78" name="Frame77"/>
                      <a:graphic xmlns:a="http://schemas.openxmlformats.org/drawingml/2006/main">
                        <a:graphicData uri="http://schemas.microsoft.com/office/word/2010/wordprocessingShape">
                          <wps:wsp>
                            <wps:cNvSpPr txBox="1"/>
                            <wps:spPr>
                              <a:xfrm>
                                <a:off x="0" y="0"/>
                                <a:ext cx="459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7010" cy="175260"/>
                      <wp:effectExtent l="0" t="0" r="0" b="0"/>
                      <wp:wrapNone/>
                      <wp:docPr id="79" name="Frame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92405" cy="175260"/>
                      <wp:effectExtent l="0" t="0" r="0" b="0"/>
                      <wp:wrapNone/>
                      <wp:docPr id="80" name="Frame79"/>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741045" cy="175260"/>
                      <wp:effectExtent l="0" t="0" r="0" b="0"/>
                      <wp:wrapNone/>
                      <wp:docPr id="81" name="Frame80"/>
                      <a:graphic xmlns:a="http://schemas.openxmlformats.org/drawingml/2006/main">
                        <a:graphicData uri="http://schemas.microsoft.com/office/word/2010/wordprocessingShape">
                          <wps:wsp>
                            <wps:cNvSpPr txBox="1"/>
                            <wps:spPr>
                              <a:xfrm>
                                <a:off x="0" y="0"/>
                                <a:ext cx="741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45"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June 30, </w:t>
            </w:r>
          </w:p>
        </w:tc>
        <w:tc>
          <w:tcPr>
            <w:tcW w:w="326" w:type="dxa"/>
            <w:tcBorders/>
            <w:vAlign w:val="center"/>
          </w:tcPr>
          <w:p>
            <w:pPr>
              <w:pStyle w:val="TableContents"/>
              <w:bidi w:val="0"/>
              <w:spacing w:before="0" w:after="0"/>
              <w:ind w:left="0" w:right="0" w:hanging="0"/>
              <w:jc w:val="left"/>
              <w:rPr/>
            </w:pPr>
            <w:r>
              <w:rPr/>
              <w:t>​</w:t>
            </w:r>
          </w:p>
        </w:tc>
        <w:tc>
          <w:tcPr>
            <w:tcW w:w="1470"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December 31, </w:t>
            </w:r>
          </w:p>
        </w:tc>
      </w:tr>
      <w:tr>
        <w:trPr/>
        <w:tc>
          <w:tcPr>
            <w:tcW w:w="2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2024</w:t>
            </w:r>
          </w:p>
        </w:tc>
        <w:tc>
          <w:tcPr>
            <w:tcW w:w="326" w:type="dxa"/>
            <w:tcBorders/>
            <w:vAlign w:val="center"/>
          </w:tcPr>
          <w:p>
            <w:pPr>
              <w:pStyle w:val="TableContents"/>
              <w:bidi w:val="0"/>
              <w:spacing w:before="0" w:after="0"/>
              <w:ind w:left="0" w:right="0" w:hanging="0"/>
              <w:jc w:val="center"/>
              <w:rPr/>
            </w:pPr>
            <w:r>
              <w:rPr/>
              <w:t>    </w:t>
            </w:r>
          </w:p>
        </w:tc>
        <w:tc>
          <w:tcPr>
            <w:tcW w:w="14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23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Prepaids</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2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21,963</w:t>
            </w:r>
          </w:p>
        </w:tc>
        <w:tc>
          <w:tcPr>
            <w:tcW w:w="326" w:type="dxa"/>
            <w:tcBorders/>
            <w:shd w:fill="CCEEFF" w:val="clear"/>
            <w:vAlign w:val="center"/>
          </w:tcPr>
          <w:p>
            <w:pPr>
              <w:pStyle w:val="TableContents"/>
              <w:bidi w:val="0"/>
              <w:spacing w:before="0" w:after="0"/>
              <w:ind w:left="0" w:right="0" w:hanging="0"/>
              <w:jc w:val="left"/>
              <w:rPr/>
            </w:pPr>
            <w:r>
              <w:rPr/>
              <w:t> </w:t>
            </w:r>
          </w:p>
        </w:tc>
        <w:tc>
          <w:tcPr>
            <w:tcW w:w="303"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6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28,352</w:t>
            </w:r>
          </w:p>
        </w:tc>
      </w:tr>
      <w:tr>
        <w:trPr/>
        <w:tc>
          <w:tcPr>
            <w:tcW w:w="23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Contract assets (Note 8)</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10,031</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116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5,824</w:t>
            </w:r>
          </w:p>
        </w:tc>
      </w:tr>
      <w:tr>
        <w:trPr/>
        <w:tc>
          <w:tcPr>
            <w:tcW w:w="23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Deferred costs (Note 8)</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72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22,546</w:t>
            </w:r>
          </w:p>
        </w:tc>
        <w:tc>
          <w:tcPr>
            <w:tcW w:w="326" w:type="dxa"/>
            <w:tcBorders/>
            <w:shd w:fill="CCEEFF" w:val="clear"/>
            <w:vAlign w:val="center"/>
          </w:tcPr>
          <w:p>
            <w:pPr>
              <w:pStyle w:val="TableContents"/>
              <w:bidi w:val="0"/>
              <w:spacing w:before="0" w:after="0"/>
              <w:ind w:left="0" w:right="0" w:hanging="0"/>
              <w:jc w:val="left"/>
              <w:rPr/>
            </w:pPr>
            <w:r>
              <w:rPr/>
              <w:t> </w:t>
            </w:r>
          </w:p>
        </w:tc>
        <w:tc>
          <w:tcPr>
            <w:tcW w:w="303" w:type="dxa"/>
            <w:tcBorders/>
            <w:shd w:fill="CCEEFF" w:val="clear"/>
            <w:vAlign w:val="center"/>
          </w:tcPr>
          <w:p>
            <w:pPr>
              <w:pStyle w:val="TableContents"/>
              <w:bidi w:val="0"/>
              <w:spacing w:before="0" w:after="0"/>
              <w:ind w:left="0" w:right="0" w:hanging="0"/>
              <w:jc w:val="left"/>
              <w:rPr/>
            </w:pPr>
            <w:r>
              <w:rPr/>
              <w:t>​</w:t>
            </w:r>
          </w:p>
        </w:tc>
        <w:tc>
          <w:tcPr>
            <w:tcW w:w="116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36,041</w:t>
            </w:r>
          </w:p>
        </w:tc>
      </w:tr>
      <w:tr>
        <w:trPr/>
        <w:tc>
          <w:tcPr>
            <w:tcW w:w="23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w:t>
            </w:r>
          </w:p>
        </w:tc>
        <w:tc>
          <w:tcPr>
            <w:tcW w:w="326"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10,673</w:t>
            </w:r>
          </w:p>
        </w:tc>
        <w:tc>
          <w:tcPr>
            <w:tcW w:w="326" w:type="dxa"/>
            <w:tcBorders/>
            <w:vAlign w:val="center"/>
          </w:tcPr>
          <w:p>
            <w:pPr>
              <w:pStyle w:val="TableContents"/>
              <w:bidi w:val="0"/>
              <w:spacing w:before="0" w:after="0"/>
              <w:ind w:left="0" w:right="0" w:hanging="0"/>
              <w:jc w:val="left"/>
              <w:rPr/>
            </w:pPr>
            <w:r>
              <w:rPr/>
              <w:t> </w:t>
            </w:r>
          </w:p>
        </w:tc>
        <w:tc>
          <w:tcPr>
            <w:tcW w:w="3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6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15,006</w:t>
            </w:r>
          </w:p>
        </w:tc>
      </w:tr>
      <w:tr>
        <w:trPr/>
        <w:tc>
          <w:tcPr>
            <w:tcW w:w="23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65,213</w:t>
            </w:r>
          </w:p>
        </w:tc>
        <w:tc>
          <w:tcPr>
            <w:tcW w:w="326" w:type="dxa"/>
            <w:tcBorders/>
            <w:shd w:fill="CCEEFF" w:val="clear"/>
            <w:vAlign w:val="center"/>
          </w:tcPr>
          <w:p>
            <w:pPr>
              <w:pStyle w:val="TableContents"/>
              <w:bidi w:val="0"/>
              <w:spacing w:before="0" w:after="0"/>
              <w:ind w:left="0" w:right="0" w:hanging="0"/>
              <w:jc w:val="left"/>
              <w:rPr/>
            </w:pPr>
            <w:r>
              <w:rPr/>
              <w:t> </w:t>
            </w:r>
          </w:p>
        </w:tc>
        <w:tc>
          <w:tcPr>
            <w:tcW w:w="3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67"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85,223</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Other assets, net consist of the following (in thousands):</w:t>
      </w:r>
    </w:p>
    <w:p>
      <w:pPr>
        <w:pStyle w:val="TextBody"/>
        <w:bidi w:val="0"/>
        <w:spacing w:before="0" w:after="0"/>
        <w:ind w:left="0" w:right="0" w:firstLine="720"/>
        <w:jc w:val="left"/>
        <w:rPr/>
      </w:pPr>
      <w:r>
        <w:rPr/>
        <w:t>​</w:t>
      </w:r>
    </w:p>
    <w:tbl>
      <w:tblPr>
        <w:tblW w:w="6413" w:type="dxa"/>
        <w:jc w:val="left"/>
        <w:tblInd w:w="0" w:type="dxa"/>
        <w:tblLayout w:type="fixed"/>
        <w:tblCellMar>
          <w:top w:w="0" w:type="dxa"/>
          <w:left w:w="0" w:type="dxa"/>
          <w:bottom w:w="0" w:type="dxa"/>
          <w:right w:w="0" w:type="dxa"/>
        </w:tblCellMar>
      </w:tblPr>
      <w:tblGrid>
        <w:gridCol w:w="3346"/>
        <w:gridCol w:w="326"/>
        <w:gridCol w:w="221"/>
        <w:gridCol w:w="724"/>
        <w:gridCol w:w="326"/>
        <w:gridCol w:w="303"/>
        <w:gridCol w:w="1167"/>
      </w:tblGrid>
      <w:tr>
        <w:trPr/>
        <w:tc>
          <w:tcPr>
            <w:tcW w:w="33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07010" cy="175260"/>
                      <wp:effectExtent l="0" t="0" r="0" b="0"/>
                      <wp:wrapNone/>
                      <wp:docPr id="82" name="Frame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40335" cy="175260"/>
                      <wp:effectExtent l="0" t="0" r="0" b="0"/>
                      <wp:wrapNone/>
                      <wp:docPr id="83" name="Frame82"/>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459740" cy="175260"/>
                      <wp:effectExtent l="0" t="0" r="0" b="0"/>
                      <wp:wrapNone/>
                      <wp:docPr id="84" name="Frame83"/>
                      <a:graphic xmlns:a="http://schemas.openxmlformats.org/drawingml/2006/main">
                        <a:graphicData uri="http://schemas.microsoft.com/office/word/2010/wordprocessingShape">
                          <wps:wsp>
                            <wps:cNvSpPr txBox="1"/>
                            <wps:spPr>
                              <a:xfrm>
                                <a:off x="0" y="0"/>
                                <a:ext cx="459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5" name="Frame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92405" cy="175260"/>
                      <wp:effectExtent l="0" t="0" r="0" b="0"/>
                      <wp:wrapNone/>
                      <wp:docPr id="86" name="Frame85"/>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741045" cy="175260"/>
                      <wp:effectExtent l="0" t="0" r="0" b="0"/>
                      <wp:wrapNone/>
                      <wp:docPr id="87" name="Frame86"/>
                      <a:graphic xmlns:a="http://schemas.openxmlformats.org/drawingml/2006/main">
                        <a:graphicData uri="http://schemas.microsoft.com/office/word/2010/wordprocessingShape">
                          <wps:wsp>
                            <wps:cNvSpPr txBox="1"/>
                            <wps:spPr>
                              <a:xfrm>
                                <a:off x="0" y="0"/>
                                <a:ext cx="741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45"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w:t>
            </w:r>
          </w:p>
        </w:tc>
        <w:tc>
          <w:tcPr>
            <w:tcW w:w="326" w:type="dxa"/>
            <w:tcBorders/>
            <w:vAlign w:val="center"/>
          </w:tcPr>
          <w:p>
            <w:pPr>
              <w:pStyle w:val="TableContents"/>
              <w:bidi w:val="0"/>
              <w:spacing w:before="0" w:after="1"/>
              <w:ind w:left="0" w:right="0" w:hanging="0"/>
              <w:jc w:val="left"/>
              <w:rPr/>
            </w:pPr>
            <w:r>
              <w:rPr/>
              <w:t>​</w:t>
            </w:r>
          </w:p>
        </w:tc>
        <w:tc>
          <w:tcPr>
            <w:tcW w:w="1470"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December 31, </w:t>
            </w:r>
          </w:p>
        </w:tc>
      </w:tr>
      <w:tr>
        <w:trPr/>
        <w:tc>
          <w:tcPr>
            <w:tcW w:w="33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326" w:type="dxa"/>
            <w:tcBorders/>
            <w:vAlign w:val="center"/>
          </w:tcPr>
          <w:p>
            <w:pPr>
              <w:pStyle w:val="TableContents"/>
              <w:bidi w:val="0"/>
              <w:spacing w:before="0" w:after="1"/>
              <w:ind w:left="0" w:right="0" w:hanging="0"/>
              <w:jc w:val="center"/>
              <w:rPr/>
            </w:pPr>
            <w:r>
              <w:rPr/>
              <w:t>    </w:t>
            </w:r>
          </w:p>
        </w:tc>
        <w:tc>
          <w:tcPr>
            <w:tcW w:w="14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3346" w:type="dxa"/>
            <w:tcBorders/>
            <w:shd w:fill="CCEEFF" w:val="clear"/>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Prepaid charter </w:t>
            </w:r>
            <w:r>
              <w:rPr>
                <w:rFonts w:ascii="Arial;Helvetica;sans-serif" w:hAnsi="Arial;Helvetica;san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2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12,544</w:t>
            </w:r>
          </w:p>
        </w:tc>
        <w:tc>
          <w:tcPr>
            <w:tcW w:w="326" w:type="dxa"/>
            <w:tcBorders/>
            <w:shd w:fill="CCEEFF" w:val="clear"/>
            <w:vAlign w:val="center"/>
          </w:tcPr>
          <w:p>
            <w:pPr>
              <w:pStyle w:val="TableContents"/>
              <w:bidi w:val="0"/>
              <w:spacing w:before="0" w:after="1"/>
              <w:ind w:left="0" w:right="0" w:hanging="0"/>
              <w:jc w:val="left"/>
              <w:rPr/>
            </w:pPr>
            <w:r>
              <w:rPr/>
              <w:t> </w:t>
            </w:r>
          </w:p>
        </w:tc>
        <w:tc>
          <w:tcPr>
            <w:tcW w:w="30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6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12,544</w:t>
            </w:r>
          </w:p>
        </w:tc>
      </w:tr>
      <w:tr>
        <w:trPr/>
        <w:tc>
          <w:tcPr>
            <w:tcW w:w="334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Deferred costs (Note 8)</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72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1,584</w:t>
            </w:r>
          </w:p>
        </w:tc>
        <w:tc>
          <w:tcPr>
            <w:tcW w:w="326" w:type="dxa"/>
            <w:tcBorders/>
            <w:vAlign w:val="center"/>
          </w:tcPr>
          <w:p>
            <w:pPr>
              <w:pStyle w:val="TableContents"/>
              <w:bidi w:val="0"/>
              <w:spacing w:before="0" w:after="1"/>
              <w:ind w:left="0" w:right="0" w:hanging="0"/>
              <w:jc w:val="left"/>
              <w:rPr/>
            </w:pPr>
            <w:r>
              <w:rPr/>
              <w:t> </w:t>
            </w:r>
          </w:p>
        </w:tc>
        <w:tc>
          <w:tcPr>
            <w:tcW w:w="303" w:type="dxa"/>
            <w:tcBorders/>
            <w:vAlign w:val="center"/>
          </w:tcPr>
          <w:p>
            <w:pPr>
              <w:pStyle w:val="TableContents"/>
              <w:bidi w:val="0"/>
              <w:spacing w:before="0" w:after="1"/>
              <w:ind w:left="0" w:right="0" w:hanging="0"/>
              <w:jc w:val="left"/>
              <w:rPr/>
            </w:pPr>
            <w:r>
              <w:rPr/>
              <w:t>​</w:t>
            </w:r>
          </w:p>
        </w:tc>
        <w:tc>
          <w:tcPr>
            <w:tcW w:w="1167"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587</w:t>
            </w:r>
          </w:p>
        </w:tc>
      </w:tr>
      <w:tr>
        <w:trPr/>
        <w:tc>
          <w:tcPr>
            <w:tcW w:w="3346" w:type="dxa"/>
            <w:tcBorders/>
            <w:shd w:fill="CCEEFF" w:val="clear"/>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Other receivable </w:t>
            </w:r>
            <w:r>
              <w:rPr>
                <w:rFonts w:ascii="Arial;Helvetica;sans-serif" w:hAnsi="Arial;Helvetica;sans-serif"/>
                <w:sz w:val="15"/>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72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26,864</w:t>
            </w:r>
          </w:p>
        </w:tc>
        <w:tc>
          <w:tcPr>
            <w:tcW w:w="326" w:type="dxa"/>
            <w:tcBorders/>
            <w:shd w:fill="CCEEFF" w:val="clear"/>
            <w:vAlign w:val="center"/>
          </w:tcPr>
          <w:p>
            <w:pPr>
              <w:pStyle w:val="TableContents"/>
              <w:bidi w:val="0"/>
              <w:spacing w:before="0" w:after="1"/>
              <w:ind w:left="0" w:right="0" w:hanging="0"/>
              <w:jc w:val="left"/>
              <w:rPr/>
            </w:pPr>
            <w:r>
              <w:rPr/>
              <w:t> </w:t>
            </w:r>
          </w:p>
        </w:tc>
        <w:tc>
          <w:tcPr>
            <w:tcW w:w="303" w:type="dxa"/>
            <w:tcBorders/>
            <w:shd w:fill="CCEEFF" w:val="clear"/>
            <w:vAlign w:val="center"/>
          </w:tcPr>
          <w:p>
            <w:pPr>
              <w:pStyle w:val="TableContents"/>
              <w:bidi w:val="0"/>
              <w:spacing w:before="0" w:after="1"/>
              <w:ind w:left="0" w:right="0" w:hanging="0"/>
              <w:jc w:val="left"/>
              <w:rPr/>
            </w:pPr>
            <w:r>
              <w:rPr/>
              <w:t>​</w:t>
            </w:r>
          </w:p>
        </w:tc>
        <w:tc>
          <w:tcPr>
            <w:tcW w:w="116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25,623</w:t>
            </w:r>
          </w:p>
        </w:tc>
      </w:tr>
      <w:tr>
        <w:trPr/>
        <w:tc>
          <w:tcPr>
            <w:tcW w:w="334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Intangible assets with finite lives, net</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72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3,878</w:t>
            </w:r>
          </w:p>
        </w:tc>
        <w:tc>
          <w:tcPr>
            <w:tcW w:w="326" w:type="dxa"/>
            <w:tcBorders/>
            <w:vAlign w:val="center"/>
          </w:tcPr>
          <w:p>
            <w:pPr>
              <w:pStyle w:val="TableContents"/>
              <w:bidi w:val="0"/>
              <w:spacing w:before="0" w:after="1"/>
              <w:ind w:left="0" w:right="0" w:hanging="0"/>
              <w:jc w:val="left"/>
              <w:rPr/>
            </w:pPr>
            <w:r>
              <w:rPr/>
              <w:t> </w:t>
            </w:r>
          </w:p>
        </w:tc>
        <w:tc>
          <w:tcPr>
            <w:tcW w:w="303" w:type="dxa"/>
            <w:tcBorders/>
            <w:vAlign w:val="center"/>
          </w:tcPr>
          <w:p>
            <w:pPr>
              <w:pStyle w:val="TableContents"/>
              <w:bidi w:val="0"/>
              <w:spacing w:before="0" w:after="1"/>
              <w:ind w:left="0" w:right="0" w:hanging="0"/>
              <w:jc w:val="left"/>
              <w:rPr/>
            </w:pPr>
            <w:r>
              <w:rPr/>
              <w:t>​</w:t>
            </w:r>
          </w:p>
        </w:tc>
        <w:tc>
          <w:tcPr>
            <w:tcW w:w="1167"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4,105</w:t>
            </w:r>
          </w:p>
        </w:tc>
      </w:tr>
      <w:tr>
        <w:trPr/>
        <w:tc>
          <w:tcPr>
            <w:tcW w:w="334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1,688</w:t>
            </w:r>
          </w:p>
        </w:tc>
        <w:tc>
          <w:tcPr>
            <w:tcW w:w="326" w:type="dxa"/>
            <w:tcBorders/>
            <w:shd w:fill="CCEEFF" w:val="clear"/>
            <w:vAlign w:val="center"/>
          </w:tcPr>
          <w:p>
            <w:pPr>
              <w:pStyle w:val="TableContents"/>
              <w:bidi w:val="0"/>
              <w:spacing w:before="0" w:after="1"/>
              <w:ind w:left="0" w:right="0" w:hanging="0"/>
              <w:jc w:val="left"/>
              <w:rPr/>
            </w:pPr>
            <w:r>
              <w:rPr/>
              <w:t> </w:t>
            </w:r>
          </w:p>
        </w:tc>
        <w:tc>
          <w:tcPr>
            <w:tcW w:w="30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6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1,964</w:t>
            </w:r>
          </w:p>
        </w:tc>
      </w:tr>
      <w:tr>
        <w:trPr/>
        <w:tc>
          <w:tcPr>
            <w:tcW w:w="334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other assets, net</w:t>
            </w:r>
          </w:p>
        </w:tc>
        <w:tc>
          <w:tcPr>
            <w:tcW w:w="326" w:type="dxa"/>
            <w:tcBorders/>
            <w:vAlign w:val="center"/>
          </w:tcPr>
          <w:p>
            <w:pPr>
              <w:pStyle w:val="TableContents"/>
              <w:bidi w:val="0"/>
              <w:spacing w:before="0" w:after="1"/>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24"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46,558</w:t>
            </w:r>
          </w:p>
        </w:tc>
        <w:tc>
          <w:tcPr>
            <w:tcW w:w="326" w:type="dxa"/>
            <w:tcBorders/>
            <w:vAlign w:val="center"/>
          </w:tcPr>
          <w:p>
            <w:pPr>
              <w:pStyle w:val="TableContents"/>
              <w:bidi w:val="0"/>
              <w:spacing w:before="0" w:after="1"/>
              <w:ind w:left="0" w:right="0" w:hanging="0"/>
              <w:jc w:val="left"/>
              <w:rPr/>
            </w:pPr>
            <w:r>
              <w:rPr/>
              <w:t> </w:t>
            </w:r>
          </w:p>
        </w:tc>
        <w:tc>
          <w:tcPr>
            <w:tcW w:w="303"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67" w:type="dxa"/>
            <w:tcBorders>
              <w:bottom w:val="double" w:sz="6" w:space="0" w:color="000000"/>
            </w:tcBorders>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44,823</w:t>
            </w:r>
          </w:p>
        </w:tc>
      </w:tr>
    </w:tbl>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86"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 xml:space="preserve">Represents prepayments to the owner of the </w:t>
            </w:r>
            <w:r>
              <w:rPr>
                <w:rFonts w:ascii="Arial;Helvetica;sans-serif" w:hAnsi="Arial;Helvetica;sans-serif"/>
                <w:b w:val="false"/>
                <w:i/>
                <w:sz w:val="20"/>
              </w:rPr>
              <w:t>Siem Helix</w:t>
            </w:r>
            <w:r>
              <w:rPr>
                <w:caps w:val="false"/>
                <w:smallCaps w:val="false"/>
              </w:rPr>
              <w:t> </w:t>
            </w:r>
            <w:r>
              <w:rPr>
                <w:rFonts w:ascii="Arial;Helvetica;sans-serif" w:hAnsi="Arial;Helvetica;sans-serif"/>
                <w:b w:val="false"/>
                <w:i/>
                <w:sz w:val="20"/>
              </w:rPr>
              <w:t>1</w:t>
            </w:r>
            <w:r>
              <w:rPr>
                <w:caps w:val="false"/>
                <w:smallCaps w:val="false"/>
              </w:rPr>
              <w:t xml:space="preserve"> </w:t>
            </w:r>
            <w:r>
              <w:rPr>
                <w:rFonts w:ascii="Arial;Helvetica;sans-serif" w:hAnsi="Arial;Helvetica;sans-serif"/>
                <w:b w:val="false"/>
                <w:i w:val="false"/>
                <w:caps w:val="false"/>
                <w:smallCaps w:val="false"/>
                <w:sz w:val="20"/>
              </w:rPr>
              <w:t xml:space="preserve">and the </w:t>
            </w:r>
            <w:r>
              <w:rPr>
                <w:rFonts w:ascii="Arial;Helvetica;sans-serif" w:hAnsi="Arial;Helvetica;sans-serif"/>
                <w:b w:val="false"/>
                <w:i/>
                <w:sz w:val="20"/>
              </w:rPr>
              <w:t>Siem Helix</w:t>
            </w:r>
            <w:r>
              <w:rPr>
                <w:caps w:val="false"/>
                <w:smallCaps w:val="false"/>
              </w:rPr>
              <w:t> </w:t>
            </w:r>
            <w:r>
              <w:rPr>
                <w:rFonts w:ascii="Arial;Helvetica;sans-serif" w:hAnsi="Arial;Helvetica;sans-serif"/>
                <w:b w:val="false"/>
                <w:i/>
                <w:sz w:val="20"/>
              </w:rPr>
              <w:t>2</w:t>
            </w:r>
            <w:r>
              <w:rPr>
                <w:caps w:val="false"/>
                <w:smallCaps w:val="false"/>
              </w:rPr>
              <w:t xml:space="preserve"> </w:t>
            </w:r>
            <w:r>
              <w:rPr>
                <w:rFonts w:ascii="Arial;Helvetica;sans-serif" w:hAnsi="Arial;Helvetica;sans-serif"/>
                <w:b w:val="false"/>
                <w:i w:val="false"/>
                <w:caps w:val="false"/>
                <w:smallCaps w:val="false"/>
                <w:sz w:val="20"/>
              </w:rPr>
              <w:t>to offset certain payment obligations associated with the vessels at the end of their respective charter term.</w:t>
            </w:r>
          </w:p>
        </w:tc>
      </w:tr>
    </w:tbl>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8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Represents the present value of the agreed-upon amounts that we are entitled to receive from Marathon Oil Corporation (“Marathon Oil”) for remaining P&amp;A work to be performed by us on Droshky oil and gas properties we acquired from Marathon Oil in 2019.</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Accrued liabilities consist of the following (in thousands):</w:t>
      </w:r>
    </w:p>
    <w:p>
      <w:pPr>
        <w:pStyle w:val="TextBody"/>
        <w:bidi w:val="0"/>
        <w:spacing w:before="0" w:after="240"/>
        <w:ind w:left="0" w:right="0" w:firstLine="720"/>
        <w:jc w:val="left"/>
        <w:rPr/>
      </w:pPr>
      <w:r>
        <w:rPr/>
        <w:t>​</w:t>
      </w:r>
    </w:p>
    <w:tbl>
      <w:tblPr>
        <w:tblW w:w="6308" w:type="dxa"/>
        <w:jc w:val="left"/>
        <w:tblInd w:w="0" w:type="dxa"/>
        <w:tblLayout w:type="fixed"/>
        <w:tblCellMar>
          <w:top w:w="0" w:type="dxa"/>
          <w:left w:w="0" w:type="dxa"/>
          <w:bottom w:w="0" w:type="dxa"/>
          <w:right w:w="0" w:type="dxa"/>
        </w:tblCellMar>
      </w:tblPr>
      <w:tblGrid>
        <w:gridCol w:w="3241"/>
        <w:gridCol w:w="326"/>
        <w:gridCol w:w="221"/>
        <w:gridCol w:w="724"/>
        <w:gridCol w:w="326"/>
        <w:gridCol w:w="275"/>
        <w:gridCol w:w="1195"/>
      </w:tblGrid>
      <w:tr>
        <w:trPr/>
        <w:tc>
          <w:tcPr>
            <w:tcW w:w="32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8" name="Frame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40335" cy="175260"/>
                      <wp:effectExtent l="0" t="0" r="0" b="0"/>
                      <wp:wrapNone/>
                      <wp:docPr id="89" name="Frame88"/>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459740" cy="175260"/>
                      <wp:effectExtent l="0" t="0" r="0" b="0"/>
                      <wp:wrapNone/>
                      <wp:docPr id="90" name="Frame89"/>
                      <a:graphic xmlns:a="http://schemas.openxmlformats.org/drawingml/2006/main">
                        <a:graphicData uri="http://schemas.microsoft.com/office/word/2010/wordprocessingShape">
                          <wps:wsp>
                            <wps:cNvSpPr txBox="1"/>
                            <wps:spPr>
                              <a:xfrm>
                                <a:off x="0" y="0"/>
                                <a:ext cx="459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91" name="Frame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74625" cy="175260"/>
                      <wp:effectExtent l="0" t="0" r="0" b="0"/>
                      <wp:wrapNone/>
                      <wp:docPr id="92" name="Frame91"/>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758825" cy="175260"/>
                      <wp:effectExtent l="0" t="0" r="0" b="0"/>
                      <wp:wrapNone/>
                      <wp:docPr id="93" name="Frame92"/>
                      <a:graphic xmlns:a="http://schemas.openxmlformats.org/drawingml/2006/main">
                        <a:graphicData uri="http://schemas.microsoft.com/office/word/2010/wordprocessingShape">
                          <wps:wsp>
                            <wps:cNvSpPr txBox="1"/>
                            <wps:spPr>
                              <a:xfrm>
                                <a:off x="0" y="0"/>
                                <a:ext cx="758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45"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w:t>
            </w:r>
          </w:p>
        </w:tc>
        <w:tc>
          <w:tcPr>
            <w:tcW w:w="326" w:type="dxa"/>
            <w:tcBorders/>
            <w:vAlign w:val="center"/>
          </w:tcPr>
          <w:p>
            <w:pPr>
              <w:pStyle w:val="TableContents"/>
              <w:bidi w:val="0"/>
              <w:spacing w:before="0" w:after="1"/>
              <w:ind w:left="0" w:right="0" w:hanging="0"/>
              <w:jc w:val="center"/>
              <w:rPr/>
            </w:pPr>
            <w:r>
              <w:rPr/>
              <w:t>​</w:t>
            </w:r>
          </w:p>
        </w:tc>
        <w:tc>
          <w:tcPr>
            <w:tcW w:w="1470"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December 31, </w:t>
            </w:r>
          </w:p>
        </w:tc>
      </w:tr>
      <w:tr>
        <w:trPr/>
        <w:tc>
          <w:tcPr>
            <w:tcW w:w="32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326" w:type="dxa"/>
            <w:tcBorders/>
            <w:vAlign w:val="center"/>
          </w:tcPr>
          <w:p>
            <w:pPr>
              <w:pStyle w:val="TableContents"/>
              <w:bidi w:val="0"/>
              <w:spacing w:before="0" w:after="1"/>
              <w:ind w:left="0" w:right="0" w:hanging="0"/>
              <w:jc w:val="center"/>
              <w:rPr/>
            </w:pPr>
            <w:r>
              <w:rPr/>
              <w:t>    </w:t>
            </w:r>
          </w:p>
        </w:tc>
        <w:tc>
          <w:tcPr>
            <w:tcW w:w="14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324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Accrued payroll and related benefits</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2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36,134</w:t>
            </w:r>
          </w:p>
        </w:tc>
        <w:tc>
          <w:tcPr>
            <w:tcW w:w="326" w:type="dxa"/>
            <w:tcBorders/>
            <w:shd w:fill="CCEEFF" w:val="clear"/>
            <w:vAlign w:val="center"/>
          </w:tcPr>
          <w:p>
            <w:pPr>
              <w:pStyle w:val="TableContents"/>
              <w:bidi w:val="0"/>
              <w:spacing w:before="0" w:after="1"/>
              <w:ind w:left="0" w:right="0" w:hanging="0"/>
              <w:jc w:val="left"/>
              <w:rPr/>
            </w:pPr>
            <w:r>
              <w:rPr/>
              <w:t> </w:t>
            </w:r>
          </w:p>
        </w:tc>
        <w:tc>
          <w:tcPr>
            <w:tcW w:w="27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9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59,010</w:t>
            </w:r>
          </w:p>
        </w:tc>
      </w:tr>
      <w:tr>
        <w:trPr/>
        <w:tc>
          <w:tcPr>
            <w:tcW w:w="324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Accrued interest</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72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10,379</w:t>
            </w:r>
          </w:p>
        </w:tc>
        <w:tc>
          <w:tcPr>
            <w:tcW w:w="326"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w:t>
            </w:r>
          </w:p>
        </w:tc>
        <w:tc>
          <w:tcPr>
            <w:tcW w:w="119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4,181</w:t>
            </w:r>
          </w:p>
        </w:tc>
      </w:tr>
      <w:tr>
        <w:trPr/>
        <w:tc>
          <w:tcPr>
            <w:tcW w:w="324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Income tax payable</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72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112</w:t>
            </w:r>
          </w:p>
        </w:tc>
        <w:tc>
          <w:tcPr>
            <w:tcW w:w="326" w:type="dxa"/>
            <w:tcBorders/>
            <w:shd w:fill="CCEEFF" w:val="clear"/>
            <w:vAlign w:val="center"/>
          </w:tcPr>
          <w:p>
            <w:pPr>
              <w:pStyle w:val="TableContents"/>
              <w:bidi w:val="0"/>
              <w:spacing w:before="0" w:after="1"/>
              <w:ind w:left="0" w:right="0" w:hanging="0"/>
              <w:jc w:val="left"/>
              <w:rPr/>
            </w:pPr>
            <w:r>
              <w:rPr/>
              <w:t> </w:t>
            </w:r>
          </w:p>
        </w:tc>
        <w:tc>
          <w:tcPr>
            <w:tcW w:w="275" w:type="dxa"/>
            <w:tcBorders/>
            <w:shd w:fill="CCEEFF" w:val="clear"/>
            <w:vAlign w:val="center"/>
          </w:tcPr>
          <w:p>
            <w:pPr>
              <w:pStyle w:val="TableContents"/>
              <w:bidi w:val="0"/>
              <w:spacing w:before="0" w:after="1"/>
              <w:ind w:left="0" w:right="0" w:hanging="0"/>
              <w:jc w:val="left"/>
              <w:rPr/>
            </w:pPr>
            <w:r>
              <w:rPr/>
              <w:t>​</w:t>
            </w:r>
          </w:p>
        </w:tc>
        <w:tc>
          <w:tcPr>
            <w:tcW w:w="119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1,938</w:t>
            </w:r>
          </w:p>
        </w:tc>
      </w:tr>
      <w:tr>
        <w:trPr/>
        <w:tc>
          <w:tcPr>
            <w:tcW w:w="324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Deferred revenue (Note 8)</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72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17,087</w:t>
            </w:r>
          </w:p>
        </w:tc>
        <w:tc>
          <w:tcPr>
            <w:tcW w:w="326" w:type="dxa"/>
            <w:tcBorders/>
            <w:vAlign w:val="center"/>
          </w:tcPr>
          <w:p>
            <w:pPr>
              <w:pStyle w:val="TableContents"/>
              <w:bidi w:val="0"/>
              <w:spacing w:before="0" w:after="1"/>
              <w:ind w:left="0" w:right="0" w:hanging="0"/>
              <w:jc w:val="left"/>
              <w:rPr/>
            </w:pPr>
            <w:r>
              <w:rPr/>
              <w:t> </w:t>
            </w:r>
          </w:p>
        </w:tc>
        <w:tc>
          <w:tcPr>
            <w:tcW w:w="275" w:type="dxa"/>
            <w:tcBorders/>
            <w:vAlign w:val="center"/>
          </w:tcPr>
          <w:p>
            <w:pPr>
              <w:pStyle w:val="TableContents"/>
              <w:bidi w:val="0"/>
              <w:spacing w:before="0" w:after="1"/>
              <w:ind w:left="0" w:right="0" w:hanging="0"/>
              <w:jc w:val="left"/>
              <w:rPr/>
            </w:pPr>
            <w:r>
              <w:rPr/>
              <w:t>​</w:t>
            </w:r>
          </w:p>
        </w:tc>
        <w:tc>
          <w:tcPr>
            <w:tcW w:w="119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32,763</w:t>
            </w:r>
          </w:p>
        </w:tc>
      </w:tr>
      <w:tr>
        <w:trPr/>
        <w:tc>
          <w:tcPr>
            <w:tcW w:w="3241" w:type="dxa"/>
            <w:tcBorders/>
            <w:shd w:fill="CCEEFF" w:val="clear"/>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Earn-out consideration </w:t>
            </w:r>
            <w:r>
              <w:rPr>
                <w:rFonts w:ascii="Arial;Helvetica;sans-serif" w:hAnsi="Arial;Helvetica;san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72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75" w:type="dxa"/>
            <w:tcBorders/>
            <w:shd w:fill="CCEEFF" w:val="clear"/>
            <w:vAlign w:val="center"/>
          </w:tcPr>
          <w:p>
            <w:pPr>
              <w:pStyle w:val="TableContents"/>
              <w:bidi w:val="0"/>
              <w:spacing w:before="0" w:after="1"/>
              <w:ind w:left="0" w:right="0" w:hanging="0"/>
              <w:jc w:val="left"/>
              <w:rPr/>
            </w:pPr>
            <w:r>
              <w:rPr/>
              <w:t>​</w:t>
            </w:r>
          </w:p>
        </w:tc>
        <w:tc>
          <w:tcPr>
            <w:tcW w:w="119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85,000</w:t>
            </w:r>
          </w:p>
        </w:tc>
      </w:tr>
      <w:tr>
        <w:trPr/>
        <w:tc>
          <w:tcPr>
            <w:tcW w:w="3241"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Other </w:t>
            </w:r>
            <w:r>
              <w:rPr>
                <w:rFonts w:ascii="Arial;Helvetica;sans-serif" w:hAnsi="Arial;Helvetica;sans-serif"/>
                <w:sz w:val="15"/>
              </w:rPr>
              <w:t>(2)</w:t>
            </w:r>
          </w:p>
        </w:tc>
        <w:tc>
          <w:tcPr>
            <w:tcW w:w="326" w:type="dxa"/>
            <w:tcBorders/>
            <w:vAlign w:val="center"/>
          </w:tcPr>
          <w:p>
            <w:pPr>
              <w:pStyle w:val="TableContents"/>
              <w:bidi w:val="0"/>
              <w:spacing w:before="0" w:after="1"/>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24,950</w:t>
            </w:r>
          </w:p>
        </w:tc>
        <w:tc>
          <w:tcPr>
            <w:tcW w:w="326" w:type="dxa"/>
            <w:tcBorders/>
            <w:vAlign w:val="center"/>
          </w:tcPr>
          <w:p>
            <w:pPr>
              <w:pStyle w:val="TableContents"/>
              <w:bidi w:val="0"/>
              <w:spacing w:before="0" w:after="1"/>
              <w:ind w:left="0" w:right="0" w:hanging="0"/>
              <w:jc w:val="left"/>
              <w:rPr/>
            </w:pPr>
            <w:r>
              <w:rPr/>
              <w:t> </w:t>
            </w:r>
          </w:p>
        </w:tc>
        <w:tc>
          <w:tcPr>
            <w:tcW w:w="27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9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20,220</w:t>
            </w:r>
          </w:p>
        </w:tc>
      </w:tr>
      <w:tr>
        <w:trPr/>
        <w:tc>
          <w:tcPr>
            <w:tcW w:w="324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accrued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2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88,662</w:t>
            </w:r>
          </w:p>
        </w:tc>
        <w:tc>
          <w:tcPr>
            <w:tcW w:w="326" w:type="dxa"/>
            <w:tcBorders/>
            <w:shd w:fill="CCEEFF" w:val="clear"/>
            <w:vAlign w:val="center"/>
          </w:tcPr>
          <w:p>
            <w:pPr>
              <w:pStyle w:val="TableContents"/>
              <w:bidi w:val="0"/>
              <w:spacing w:before="0" w:after="1"/>
              <w:ind w:left="0" w:right="0" w:hanging="0"/>
              <w:jc w:val="left"/>
              <w:rPr/>
            </w:pPr>
            <w:r>
              <w:rPr/>
              <w:t> </w:t>
            </w:r>
          </w:p>
        </w:tc>
        <w:tc>
          <w:tcPr>
            <w:tcW w:w="27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95"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203,112</w:t>
            </w:r>
          </w:p>
        </w:tc>
      </w:tr>
    </w:tbl>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9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Represents the final amount of the earn-out consideration associated with the acquisition of the Alliance group of companies (collectively “Alliance”) on July 1, 2022, which was paid to the seller of Alliance in cash on April 3, 2024.</w:t>
            </w:r>
          </w:p>
        </w:tc>
      </w:tr>
    </w:tbl>
    <w:tbl>
      <w:tblPr>
        <w:tblW w:w="10205" w:type="dxa"/>
        <w:jc w:val="left"/>
        <w:tblInd w:w="0" w:type="dxa"/>
        <w:tblLayout w:type="fixed"/>
        <w:tblCellMar>
          <w:top w:w="0" w:type="dxa"/>
          <w:left w:w="0" w:type="dxa"/>
          <w:bottom w:w="0" w:type="dxa"/>
          <w:right w:w="0" w:type="dxa"/>
        </w:tblCellMar>
      </w:tblPr>
      <w:tblGrid>
        <w:gridCol w:w="315"/>
        <w:gridCol w:w="9890"/>
      </w:tblGrid>
      <w:tr>
        <w:trPr/>
        <w:tc>
          <w:tcPr>
            <w:tcW w:w="31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890"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Amounts as of June 30, 2024 and December 31, 2023 included $11.6</w:t>
            </w:r>
            <w:r>
              <w:rPr>
                <w:caps w:val="false"/>
                <w:smallCaps w:val="false"/>
              </w:rPr>
              <w:t xml:space="preserve"> </w:t>
            </w:r>
            <w:r>
              <w:rPr>
                <w:rFonts w:ascii="Arial;Helvetica;sans-serif" w:hAnsi="Arial;Helvetica;sans-serif"/>
                <w:b w:val="false"/>
                <w:i w:val="false"/>
                <w:caps w:val="false"/>
                <w:smallCaps w:val="false"/>
                <w:sz w:val="20"/>
              </w:rPr>
              <w:t>million and $9.0</w:t>
            </w:r>
            <w:r>
              <w:rPr>
                <w:caps w:val="false"/>
                <w:smallCaps w:val="false"/>
              </w:rPr>
              <w:t xml:space="preserve"> </w:t>
            </w:r>
            <w:r>
              <w:rPr>
                <w:rFonts w:ascii="Arial;Helvetica;sans-serif" w:hAnsi="Arial;Helvetica;sans-serif"/>
                <w:b w:val="false"/>
                <w:i w:val="false"/>
                <w:caps w:val="false"/>
                <w:smallCaps w:val="false"/>
                <w:sz w:val="20"/>
              </w:rPr>
              <w:t>million, respectively, of credits towards future services that we granted for the purchase of</w:t>
            </w:r>
            <w:r>
              <w:rPr>
                <w:caps w:val="false"/>
                <w:smallCaps w:val="false"/>
              </w:rPr>
              <w:t xml:space="preserve"> </w:t>
            </w:r>
            <w:r>
              <w:rPr>
                <w:rFonts w:ascii="Arial;Helvetica;sans-serif" w:hAnsi="Arial;Helvetica;sans-serif"/>
                <w:b w:val="false"/>
                <w:i w:val="false"/>
                <w:caps w:val="false"/>
                <w:smallCaps w:val="false"/>
                <w:sz w:val="20"/>
              </w:rPr>
              <w:t>five</w:t>
            </w:r>
            <w:r>
              <w:rPr>
                <w:caps w:val="false"/>
                <w:smallCaps w:val="false"/>
              </w:rPr>
              <w:t xml:space="preserve"> </w:t>
            </w:r>
            <w:r>
              <w:rPr>
                <w:rFonts w:ascii="Arial;Helvetica;sans-serif" w:hAnsi="Arial;Helvetica;sans-serif"/>
                <w:b w:val="false"/>
                <w:i w:val="false"/>
                <w:caps w:val="false"/>
                <w:smallCaps w:val="false"/>
                <w:sz w:val="20"/>
              </w:rPr>
              <w:t>P&amp;A systems and other assets.</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Other non-current liabilities consist of the following (in thousands):</w:t>
      </w:r>
    </w:p>
    <w:p>
      <w:pPr>
        <w:pStyle w:val="TextBody"/>
        <w:bidi w:val="0"/>
        <w:spacing w:before="0" w:after="240"/>
        <w:ind w:left="0" w:right="0" w:firstLine="720"/>
        <w:jc w:val="left"/>
        <w:rPr/>
      </w:pPr>
      <w:r>
        <w:rPr/>
        <w:t>​</w:t>
      </w:r>
    </w:p>
    <w:tbl>
      <w:tblPr>
        <w:tblW w:w="6473" w:type="dxa"/>
        <w:jc w:val="left"/>
        <w:tblInd w:w="0" w:type="dxa"/>
        <w:tblLayout w:type="fixed"/>
        <w:tblCellMar>
          <w:top w:w="0" w:type="dxa"/>
          <w:left w:w="0" w:type="dxa"/>
          <w:bottom w:w="0" w:type="dxa"/>
          <w:right w:w="0" w:type="dxa"/>
        </w:tblCellMar>
      </w:tblPr>
      <w:tblGrid>
        <w:gridCol w:w="3406"/>
        <w:gridCol w:w="326"/>
        <w:gridCol w:w="221"/>
        <w:gridCol w:w="724"/>
        <w:gridCol w:w="326"/>
        <w:gridCol w:w="303"/>
        <w:gridCol w:w="1167"/>
      </w:tblGrid>
      <w:tr>
        <w:trPr/>
        <w:tc>
          <w:tcPr>
            <w:tcW w:w="34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7010" cy="175260"/>
                      <wp:effectExtent l="0" t="0" r="0" b="0"/>
                      <wp:wrapNone/>
                      <wp:docPr id="94" name="Frame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40335" cy="175260"/>
                      <wp:effectExtent l="0" t="0" r="0" b="0"/>
                      <wp:wrapNone/>
                      <wp:docPr id="95" name="Frame94"/>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459740" cy="175260"/>
                      <wp:effectExtent l="0" t="0" r="0" b="0"/>
                      <wp:wrapNone/>
                      <wp:docPr id="96" name="Frame95"/>
                      <a:graphic xmlns:a="http://schemas.openxmlformats.org/drawingml/2006/main">
                        <a:graphicData uri="http://schemas.microsoft.com/office/word/2010/wordprocessingShape">
                          <wps:wsp>
                            <wps:cNvSpPr txBox="1"/>
                            <wps:spPr>
                              <a:xfrm>
                                <a:off x="0" y="0"/>
                                <a:ext cx="459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7010" cy="175260"/>
                      <wp:effectExtent l="0" t="0" r="0" b="0"/>
                      <wp:wrapNone/>
                      <wp:docPr id="97" name="Frame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92405" cy="175260"/>
                      <wp:effectExtent l="0" t="0" r="0" b="0"/>
                      <wp:wrapNone/>
                      <wp:docPr id="98" name="Frame97"/>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741045" cy="175260"/>
                      <wp:effectExtent l="0" t="0" r="0" b="0"/>
                      <wp:wrapNone/>
                      <wp:docPr id="99" name="Frame98"/>
                      <a:graphic xmlns:a="http://schemas.openxmlformats.org/drawingml/2006/main">
                        <a:graphicData uri="http://schemas.microsoft.com/office/word/2010/wordprocessingShape">
                          <wps:wsp>
                            <wps:cNvSpPr txBox="1"/>
                            <wps:spPr>
                              <a:xfrm>
                                <a:off x="0" y="0"/>
                                <a:ext cx="741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45"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w:t>
            </w:r>
          </w:p>
        </w:tc>
        <w:tc>
          <w:tcPr>
            <w:tcW w:w="326" w:type="dxa"/>
            <w:tcBorders/>
            <w:vAlign w:val="center"/>
          </w:tcPr>
          <w:p>
            <w:pPr>
              <w:pStyle w:val="TableContents"/>
              <w:bidi w:val="0"/>
              <w:spacing w:before="0" w:after="1"/>
              <w:ind w:left="0" w:right="0" w:hanging="0"/>
              <w:jc w:val="left"/>
              <w:rPr/>
            </w:pPr>
            <w:r>
              <w:rPr/>
              <w:t>​</w:t>
            </w:r>
          </w:p>
        </w:tc>
        <w:tc>
          <w:tcPr>
            <w:tcW w:w="1470"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December 31, </w:t>
            </w:r>
          </w:p>
        </w:tc>
      </w:tr>
      <w:tr>
        <w:trPr/>
        <w:tc>
          <w:tcPr>
            <w:tcW w:w="34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326" w:type="dxa"/>
            <w:tcBorders/>
            <w:vAlign w:val="center"/>
          </w:tcPr>
          <w:p>
            <w:pPr>
              <w:pStyle w:val="TableContents"/>
              <w:bidi w:val="0"/>
              <w:spacing w:before="0" w:after="1"/>
              <w:ind w:left="0" w:right="0" w:hanging="0"/>
              <w:jc w:val="center"/>
              <w:rPr/>
            </w:pPr>
            <w:r>
              <w:rPr/>
              <w:t>    </w:t>
            </w:r>
          </w:p>
        </w:tc>
        <w:tc>
          <w:tcPr>
            <w:tcW w:w="14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3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Asset retirement obligations (Note 12)</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2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64,150</w:t>
            </w:r>
          </w:p>
        </w:tc>
        <w:tc>
          <w:tcPr>
            <w:tcW w:w="326" w:type="dxa"/>
            <w:tcBorders/>
            <w:shd w:fill="CCEEFF" w:val="clear"/>
            <w:vAlign w:val="center"/>
          </w:tcPr>
          <w:p>
            <w:pPr>
              <w:pStyle w:val="TableContents"/>
              <w:bidi w:val="0"/>
              <w:spacing w:before="0" w:after="1"/>
              <w:ind w:left="0" w:right="0" w:hanging="0"/>
              <w:jc w:val="left"/>
              <w:rPr/>
            </w:pPr>
            <w:r>
              <w:rPr/>
              <w:t> </w:t>
            </w:r>
          </w:p>
        </w:tc>
        <w:tc>
          <w:tcPr>
            <w:tcW w:w="30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6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61,356</w:t>
            </w:r>
          </w:p>
        </w:tc>
      </w:tr>
      <w:tr>
        <w:trPr/>
        <w:tc>
          <w:tcPr>
            <w:tcW w:w="3406"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Other </w:t>
            </w:r>
            <w:r>
              <w:rPr>
                <w:rFonts w:ascii="Arial;Helvetica;sans-serif" w:hAnsi="Arial;Helvetica;sans-serif"/>
                <w:sz w:val="15"/>
              </w:rPr>
              <w:t>(1)</w:t>
            </w:r>
          </w:p>
        </w:tc>
        <w:tc>
          <w:tcPr>
            <w:tcW w:w="326" w:type="dxa"/>
            <w:tcBorders/>
            <w:vAlign w:val="center"/>
          </w:tcPr>
          <w:p>
            <w:pPr>
              <w:pStyle w:val="TableContents"/>
              <w:bidi w:val="0"/>
              <w:spacing w:before="0" w:after="1"/>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3,051</w:t>
            </w:r>
          </w:p>
        </w:tc>
        <w:tc>
          <w:tcPr>
            <w:tcW w:w="326" w:type="dxa"/>
            <w:tcBorders/>
            <w:vAlign w:val="center"/>
          </w:tcPr>
          <w:p>
            <w:pPr>
              <w:pStyle w:val="TableContents"/>
              <w:bidi w:val="0"/>
              <w:spacing w:before="0" w:after="1"/>
              <w:ind w:left="0" w:right="0" w:hanging="0"/>
              <w:jc w:val="left"/>
              <w:rPr/>
            </w:pPr>
            <w:r>
              <w:rPr/>
              <w:t> </w:t>
            </w:r>
          </w:p>
        </w:tc>
        <w:tc>
          <w:tcPr>
            <w:tcW w:w="30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67"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4,892</w:t>
            </w:r>
          </w:p>
        </w:tc>
      </w:tr>
      <w:tr>
        <w:trPr/>
        <w:tc>
          <w:tcPr>
            <w:tcW w:w="3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other non-current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2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67,201</w:t>
            </w:r>
          </w:p>
        </w:tc>
        <w:tc>
          <w:tcPr>
            <w:tcW w:w="326" w:type="dxa"/>
            <w:tcBorders/>
            <w:shd w:fill="CCEEFF" w:val="clear"/>
            <w:vAlign w:val="center"/>
          </w:tcPr>
          <w:p>
            <w:pPr>
              <w:pStyle w:val="TableContents"/>
              <w:bidi w:val="0"/>
              <w:spacing w:before="0" w:after="1"/>
              <w:ind w:left="0" w:right="0" w:hanging="0"/>
              <w:jc w:val="left"/>
              <w:rPr/>
            </w:pPr>
            <w:r>
              <w:rPr/>
              <w:t> </w:t>
            </w:r>
          </w:p>
        </w:tc>
        <w:tc>
          <w:tcPr>
            <w:tcW w:w="30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67"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66,248</w:t>
            </w:r>
          </w:p>
        </w:tc>
      </w:tr>
    </w:tbl>
    <w:tbl>
      <w:tblPr>
        <w:tblW w:w="10205" w:type="dxa"/>
        <w:jc w:val="left"/>
        <w:tblInd w:w="0" w:type="dxa"/>
        <w:tblLayout w:type="fixed"/>
        <w:tblCellMar>
          <w:top w:w="0" w:type="dxa"/>
          <w:left w:w="0" w:type="dxa"/>
          <w:bottom w:w="0" w:type="dxa"/>
          <w:right w:w="0" w:type="dxa"/>
        </w:tblCellMar>
      </w:tblPr>
      <w:tblGrid>
        <w:gridCol w:w="332"/>
        <w:gridCol w:w="9873"/>
      </w:tblGrid>
      <w:tr>
        <w:trPr/>
        <w:tc>
          <w:tcPr>
            <w:tcW w:w="33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73"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Amount as of December 31, 2023 included $2.6</w:t>
            </w:r>
            <w:r>
              <w:rPr>
                <w:caps w:val="false"/>
                <w:smallCaps w:val="false"/>
              </w:rPr>
              <w:t xml:space="preserve"> </w:t>
            </w:r>
            <w:r>
              <w:rPr>
                <w:rFonts w:ascii="Arial;Helvetica;sans-serif" w:hAnsi="Arial;Helvetica;sans-serif"/>
                <w:b w:val="false"/>
                <w:i w:val="false"/>
                <w:caps w:val="false"/>
                <w:smallCaps w:val="false"/>
                <w:sz w:val="20"/>
              </w:rPr>
              <w:t>million of credits offered by us in exchange for the purchase of P&amp;A equipment (see above).</w:t>
            </w:r>
          </w:p>
        </w:tc>
      </w:tr>
    </w:tbl>
    <w:p>
      <w:pPr>
        <w:pStyle w:val="TextBody"/>
        <w:bidi w:val="0"/>
        <w:spacing w:before="0" w:after="240"/>
        <w:ind w:left="0" w:right="0" w:firstLine="72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9</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750" w:name="Tc_JAEKZi6lGU-mcCvlu52KkQ_15_8"/>
      <w:bookmarkStart w:id="751" w:name="Tc_fvDG-8Vgjki7lFRR2mUOwg_15_5"/>
      <w:bookmarkStart w:id="752" w:name="Tc_01U0kZZwjk6ZH35LnMg_tA_15_2"/>
      <w:bookmarkStart w:id="753" w:name="Tc_s_XuZwSc3UiWAwUaYJaydg_15_0"/>
      <w:bookmarkStart w:id="754" w:name="Tc_3B92YU-Xm0qPoR7TCTNoPw_14_0"/>
      <w:bookmarkStart w:id="755" w:name="Tc_Bsh-hotav0q-21tRU5TAkA_13_8"/>
      <w:bookmarkStart w:id="756" w:name="Tc_mBzVo4QynUOSQj9b6Z4POg_13_5"/>
      <w:bookmarkStart w:id="757" w:name="Tc_34uaAtMkYU6iRZNn02g2FQ_13_2"/>
      <w:bookmarkStart w:id="758" w:name="Tc_x7k6nT-lQUetr6LNgTRiXg_13_0"/>
      <w:bookmarkStart w:id="759" w:name="Tc_xeUFiEvqPk-1HrOBPmKMCg_11_8"/>
      <w:bookmarkStart w:id="760" w:name="Tc_EZ5ErDdZrEe1CbqaxshAUw_11_5"/>
      <w:bookmarkStart w:id="761" w:name="Tc_13pwBfiAyka3SQZId7y4Eg_11_2"/>
      <w:bookmarkStart w:id="762" w:name="Tc_OWJfpuiZ3U-HnyFW247wiA_11_0"/>
      <w:bookmarkStart w:id="763" w:name="Tc_IsJqDMNUTkydLqUdoljz7w_10_0"/>
      <w:bookmarkStart w:id="764" w:name="Tc_BruBccQKQEqUkkw5EObKbg_9_8"/>
      <w:bookmarkStart w:id="765" w:name="Tc_RSiw6yCcdEyAX8vuyIEAPw_9_5"/>
      <w:bookmarkStart w:id="766" w:name="Tc_vyfMf4P2QE2h15fM6PU9AA_9_2"/>
      <w:bookmarkStart w:id="767" w:name="Tc_9bYKvESK6kOo4f-W2a82tQ_9_0"/>
      <w:bookmarkStart w:id="768" w:name="Tc_TuKAswGOK0SOUlj6vvFALA_8_3"/>
      <w:bookmarkStart w:id="769" w:name="Tc_k8lnDYL62UKcut8kBYg8ZA_8_0"/>
      <w:bookmarkStart w:id="770" w:name="Tc_Mliq17D2bUG9EbQ9_9jxzw_7_0"/>
      <w:bookmarkStart w:id="771" w:name="Tc_WNckYASmbUm30f9_6XO0Bg_6_0"/>
      <w:bookmarkStart w:id="772" w:name="Tc_NKfl12Wmd0OhGb9blZU9hA_5_0"/>
      <w:bookmarkStart w:id="773" w:name="Tc_hc3DKZhqcE6eKNBB_oiXCg_4_0"/>
      <w:bookmarkStart w:id="774" w:name="Tc_ybKaNw86iUyABXSr-_Y9yQ_3_8"/>
      <w:bookmarkStart w:id="775" w:name="Tc_U_VLbp6_AE-nhHXDsxQlRQ_3_5"/>
      <w:bookmarkStart w:id="776" w:name="Tc_zYH6jmSWlU6FsAWDgU3Sdw_3_2"/>
      <w:bookmarkStart w:id="777" w:name="Tc_BbVp1o3070ejB0jYxUsyIQ_3_0"/>
      <w:bookmarkStart w:id="778" w:name="Tc_9YpfMRbbek2UNwyd2Zr_gw_2_8"/>
      <w:bookmarkStart w:id="779" w:name="Tc_sr2uq3eb3EqPc6QrR5QwAw_2_5"/>
      <w:bookmarkStart w:id="780" w:name="Tc_LYgCTh3MqUGZO4E2KGBKgA_2_2"/>
      <w:bookmarkStart w:id="781" w:name="Tc_mA06q4l1ZEOo-ylPZq-64A_1_5"/>
      <w:bookmarkStart w:id="782" w:name="_2fc97759_1d90_49a8_8242_fb3ef4c48b40"/>
      <w:bookmarkStart w:id="783" w:name="Tc_Dh_11roAV0K_u0cb_NxieQ_15_8"/>
      <w:bookmarkStart w:id="784" w:name="Tc_La_5njFszUS-WMBZqpHZ8Q_15_5"/>
      <w:bookmarkStart w:id="785" w:name="Tc_mFePafS1UEubGmz5_yIj8g_15_2"/>
      <w:bookmarkStart w:id="786" w:name="Tc_o109OeG0eUqvUqmmCn5fFQ_15_0"/>
      <w:bookmarkStart w:id="787" w:name="Tc_VHFrO5QCYkKH0GeEQ-epyg_14_0"/>
      <w:bookmarkStart w:id="788" w:name="Tc_xRIH25mHT0aHvWqFbboaJQ_13_8"/>
      <w:bookmarkStart w:id="789" w:name="Tc_IUwuVCeNt0SAWj2bkTf_sQ_13_5"/>
      <w:bookmarkStart w:id="790" w:name="Tc_8JRsO85abEuSvpzfRD6p5A_13_2"/>
      <w:bookmarkStart w:id="791" w:name="Tc_jUaNhGLlEkm-kflbq58O0A_13_0"/>
      <w:bookmarkStart w:id="792" w:name="Tc_jY6jFcLiUkiFF9ArIFHjzQ_11_8"/>
      <w:bookmarkStart w:id="793" w:name="Tc_9ZijKZ4adUKu2H7IBQRqaA_11_5"/>
      <w:bookmarkStart w:id="794" w:name="Tc_jw4gKIChsE2gUy2G0e-RMA_11_2"/>
      <w:bookmarkStart w:id="795" w:name="Tc_jkX50C4lMken2sMxCwDtFg_11_0"/>
      <w:bookmarkStart w:id="796" w:name="Tc_vje6YgJRnECXTBJZsOPlBw_10_0"/>
      <w:bookmarkStart w:id="797" w:name="Tc_oCtVXwVCWkOvTI9R3ZVeTQ_9_8"/>
      <w:bookmarkStart w:id="798" w:name="Tc_Alx5TTnRtE-FJse6uTB0CA_9_5"/>
      <w:bookmarkStart w:id="799" w:name="Tc_yGru9oKF00mNpBt8_mQZmQ_9_2"/>
      <w:bookmarkStart w:id="800" w:name="Tc_sQ_BQJmOR0yO7ddA_bPhdw_9_0"/>
      <w:bookmarkStart w:id="801" w:name="Tc_77dPQXxQeUS7MkIngkJs0w_8_0"/>
      <w:bookmarkStart w:id="802" w:name="Tc_K3B58et1dUqL5rl5RjBT6Q_7_0"/>
      <w:bookmarkStart w:id="803" w:name="Tc_FGjKELX6aUyERZquNcsB8g_6_0"/>
      <w:bookmarkStart w:id="804" w:name="Tc_9SQuowhIFUmDqVADcMeTnA_5_0"/>
      <w:bookmarkStart w:id="805" w:name="Tc_daO2y6TXu02NpaRnUCj2vg_4_0"/>
      <w:bookmarkStart w:id="806" w:name="Tc_08nDcC386EyxLMBoqjPYOQ_3_8"/>
      <w:bookmarkStart w:id="807" w:name="Tc_dOyw8mhwf0ilPLVJr9seQQ_3_5"/>
      <w:bookmarkStart w:id="808" w:name="Tc_gdI9kVmH0UWAbECbY_tvmw_3_2"/>
      <w:bookmarkStart w:id="809" w:name="Tc_wpzxCrgRSE2dUVO34lfo4g_3_0"/>
      <w:bookmarkStart w:id="810" w:name="Tc_uP08TO7S6Eybnb7X6cEsvQ_2_8"/>
      <w:bookmarkStart w:id="811" w:name="Tc_KCI9m9t0HUaxBvLRpwaUiA_2_5"/>
      <w:bookmarkStart w:id="812" w:name="Tc_ucXxy00MzE-MFQIKg7ecJw_2_2"/>
      <w:bookmarkStart w:id="813" w:name="Tc_0SkfSIiW20yQTQRLzZ1ZAg_1_5"/>
      <w:bookmarkStart w:id="814" w:name="_894f9919_3306_4bf2_be97_13f1dfc8727d"/>
      <w:bookmarkStart w:id="815" w:name="Tc_IkuneeJy40SvOmww9TCGhg_8_11"/>
      <w:bookmarkStart w:id="816" w:name="Tc_ALs0Pl2L7U2_RS7UVwHD8A_8_8"/>
      <w:bookmarkStart w:id="817" w:name="Tc_P_IVg6ftuUWT4gIVE39IZw_8_5"/>
      <w:bookmarkStart w:id="818" w:name="Tc_6uhE4YAOOE-ZoYr26TtkyQ_8_2"/>
      <w:bookmarkStart w:id="819" w:name="Tc_VSyyf_Yz00af-sRxW9CzSg_8_0"/>
      <w:bookmarkStart w:id="820" w:name="Tc_7O3IzTzSokmbxXvaARZQrg_7_0"/>
      <w:bookmarkStart w:id="821" w:name="Tc_TRlhhnnLQEqWIt50C_fnSw_6_0"/>
      <w:bookmarkStart w:id="822" w:name="Tc_BnXNN9oAqki8zAT81L52Tg_5_0"/>
      <w:bookmarkStart w:id="823" w:name="Tc_UpeuSpUiiUKI_9fQ8qy03g_4_11"/>
      <w:bookmarkStart w:id="824" w:name="Tc_ILliL7Ck6UW_JFpw-hoUmA_4_8"/>
      <w:bookmarkStart w:id="825" w:name="Tc_SRx_2EDLvEWmMUadHDnhuw_4_5"/>
      <w:bookmarkStart w:id="826" w:name="Tc_CLIzggcqiEWvgYz6RVkEhg_4_2"/>
      <w:bookmarkStart w:id="827" w:name="Tc_YEQDACvg8E6S897hOz2F5w_4_0"/>
      <w:bookmarkStart w:id="828" w:name="Tc_w7BREEb4tkC7u0iXpUjM_g_3_11"/>
      <w:bookmarkStart w:id="829" w:name="Tc_WUU981_bVkioGlvvOPDApg_3_8"/>
      <w:bookmarkStart w:id="830" w:name="Tc_BzJvr3ADnkCE4olIXXsA0w_3_5"/>
      <w:bookmarkStart w:id="831" w:name="Tc_SLBSwosukU2eyiTHXQzwaw_3_2"/>
      <w:bookmarkStart w:id="832" w:name="Tc_4P8NtI5wykeJhZscUr1Szg_2_8"/>
      <w:bookmarkStart w:id="833" w:name="Tc_Z5tQysAQ7UWzj1sbNy2Wpw_2_2"/>
      <w:bookmarkStart w:id="834" w:name="Tc_6LhOGo_Hak-JjjAMdgFiMA_1_8"/>
      <w:bookmarkStart w:id="835" w:name="Tc_l6esfrVWXE2B6BmVPyZ3Ag_1_2"/>
      <w:bookmarkStart w:id="836" w:name="_5815b568_cda6_4a89_b819_fb63f2c0c290"/>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r>
        <w:rPr>
          <w:rFonts w:ascii="Arial;Helvetica;sans-serif" w:hAnsi="Arial;Helvetica;sans-serif"/>
          <w:b/>
          <w:sz w:val="20"/>
        </w:rPr>
        <w:t>Note 4 — Leases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charter vessels and lease facilities and equipment under non-cancelable contracts that expire on various dates through 2034.</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details the components of our lease cost (in thousands):</w:t>
      </w:r>
    </w:p>
    <w:p>
      <w:pPr>
        <w:pStyle w:val="TextBody"/>
        <w:bidi w:val="0"/>
        <w:spacing w:before="0" w:after="240"/>
        <w:ind w:left="0" w:right="0" w:firstLine="720"/>
        <w:jc w:val="left"/>
        <w:rPr/>
      </w:pPr>
      <w:r>
        <w:rPr/>
        <w:t>​</w:t>
      </w:r>
    </w:p>
    <w:tbl>
      <w:tblPr>
        <w:tblW w:w="7025" w:type="dxa"/>
        <w:jc w:val="left"/>
        <w:tblInd w:w="0" w:type="dxa"/>
        <w:tblLayout w:type="fixed"/>
        <w:tblCellMar>
          <w:top w:w="0" w:type="dxa"/>
          <w:left w:w="0" w:type="dxa"/>
          <w:bottom w:w="0" w:type="dxa"/>
          <w:right w:w="0" w:type="dxa"/>
        </w:tblCellMar>
      </w:tblPr>
      <w:tblGrid>
        <w:gridCol w:w="1996"/>
        <w:gridCol w:w="326"/>
        <w:gridCol w:w="211"/>
        <w:gridCol w:w="691"/>
        <w:gridCol w:w="326"/>
        <w:gridCol w:w="211"/>
        <w:gridCol w:w="691"/>
        <w:gridCol w:w="326"/>
        <w:gridCol w:w="211"/>
        <w:gridCol w:w="691"/>
        <w:gridCol w:w="326"/>
        <w:gridCol w:w="211"/>
        <w:gridCol w:w="808"/>
      </w:tblGrid>
      <w:tr>
        <w:trPr/>
        <w:tc>
          <w:tcPr>
            <w:tcW w:w="19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7010" cy="175260"/>
                      <wp:effectExtent l="0" t="0" r="0" b="0"/>
                      <wp:wrapNone/>
                      <wp:docPr id="100" name="Frame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33985" cy="175260"/>
                      <wp:effectExtent l="0" t="0" r="0" b="0"/>
                      <wp:wrapNone/>
                      <wp:docPr id="101" name="Frame1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438785" cy="175260"/>
                      <wp:effectExtent l="0" t="0" r="0" b="0"/>
                      <wp:wrapNone/>
                      <wp:docPr id="102" name="Frame10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7010" cy="175260"/>
                      <wp:effectExtent l="0" t="0" r="0" b="0"/>
                      <wp:wrapNone/>
                      <wp:docPr id="103" name="Frame1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33985" cy="175260"/>
                      <wp:effectExtent l="0" t="0" r="0" b="0"/>
                      <wp:wrapNone/>
                      <wp:docPr id="104" name="Frame1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438785" cy="175260"/>
                      <wp:effectExtent l="0" t="0" r="0" b="0"/>
                      <wp:wrapNone/>
                      <wp:docPr id="105" name="Frame10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6" name="Frame1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3985" cy="175260"/>
                      <wp:effectExtent l="0" t="0" r="0" b="0"/>
                      <wp:wrapNone/>
                      <wp:docPr id="107" name="Frame1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438785" cy="175260"/>
                      <wp:effectExtent l="0" t="0" r="0" b="0"/>
                      <wp:wrapNone/>
                      <wp:docPr id="108" name="Frame10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109" name="Frame1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33985" cy="175260"/>
                      <wp:effectExtent l="0" t="0" r="0" b="0"/>
                      <wp:wrapNone/>
                      <wp:docPr id="110" name="Frame1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513080" cy="175260"/>
                      <wp:effectExtent l="0" t="0" r="0" b="0"/>
                      <wp:wrapNone/>
                      <wp:docPr id="111" name="Frame110"/>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30"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Three Months Ended </w:t>
            </w:r>
          </w:p>
        </w:tc>
        <w:tc>
          <w:tcPr>
            <w:tcW w:w="326" w:type="dxa"/>
            <w:tcBorders/>
            <w:vAlign w:val="center"/>
          </w:tcPr>
          <w:p>
            <w:pPr>
              <w:pStyle w:val="TableContents"/>
              <w:bidi w:val="0"/>
              <w:spacing w:before="0" w:after="1"/>
              <w:ind w:left="0" w:right="0" w:hanging="0"/>
              <w:jc w:val="center"/>
              <w:rPr/>
            </w:pPr>
            <w:r>
              <w:rPr/>
              <w:t>​</w:t>
            </w:r>
          </w:p>
        </w:tc>
        <w:tc>
          <w:tcPr>
            <w:tcW w:w="2247"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Six Months Ended </w:t>
            </w:r>
          </w:p>
        </w:tc>
      </w:tr>
      <w:tr>
        <w:trPr/>
        <w:tc>
          <w:tcPr>
            <w:tcW w:w="19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w:t>
            </w:r>
          </w:p>
        </w:tc>
        <w:tc>
          <w:tcPr>
            <w:tcW w:w="326" w:type="dxa"/>
            <w:tcBorders/>
            <w:vAlign w:val="center"/>
          </w:tcPr>
          <w:p>
            <w:pPr>
              <w:pStyle w:val="TableContents"/>
              <w:bidi w:val="0"/>
              <w:spacing w:before="0" w:after="1"/>
              <w:ind w:left="0" w:right="0" w:hanging="0"/>
              <w:jc w:val="center"/>
              <w:rPr/>
            </w:pPr>
            <w:r>
              <w:rPr/>
              <w:t>​</w:t>
            </w:r>
          </w:p>
        </w:tc>
        <w:tc>
          <w:tcPr>
            <w:tcW w:w="224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w:t>
            </w:r>
          </w:p>
        </w:tc>
      </w:tr>
      <w:tr>
        <w:trPr/>
        <w:tc>
          <w:tcPr>
            <w:tcW w:w="19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326" w:type="dxa"/>
            <w:tcBorders/>
            <w:vAlign w:val="center"/>
          </w:tcPr>
          <w:p>
            <w:pPr>
              <w:pStyle w:val="TableContents"/>
              <w:bidi w:val="0"/>
              <w:spacing w:before="0" w:after="1"/>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c>
          <w:tcPr>
            <w:tcW w:w="326" w:type="dxa"/>
            <w:tcBorders/>
            <w:vAlign w:val="center"/>
          </w:tcPr>
          <w:p>
            <w:pPr>
              <w:pStyle w:val="TableContents"/>
              <w:bidi w:val="0"/>
              <w:spacing w:before="0" w:after="1"/>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326" w:type="dxa"/>
            <w:tcBorders/>
            <w:vAlign w:val="center"/>
          </w:tcPr>
          <w:p>
            <w:pPr>
              <w:pStyle w:val="TableContents"/>
              <w:bidi w:val="0"/>
              <w:spacing w:before="0" w:after="1"/>
              <w:ind w:left="0" w:right="0" w:hanging="0"/>
              <w:jc w:val="center"/>
              <w:rPr/>
            </w:pPr>
            <w:r>
              <w:rPr/>
              <w:t>    </w:t>
            </w:r>
          </w:p>
        </w:tc>
        <w:tc>
          <w:tcPr>
            <w:tcW w:w="10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199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lease cost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22,357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17,347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42,832</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34,353</w:t>
            </w:r>
          </w:p>
        </w:tc>
      </w:tr>
      <w:tr>
        <w:trPr/>
        <w:tc>
          <w:tcPr>
            <w:tcW w:w="199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Variable lease cost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3,060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5,255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6,117</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10,165</w:t>
            </w:r>
          </w:p>
        </w:tc>
      </w:tr>
      <w:tr>
        <w:trPr/>
        <w:tc>
          <w:tcPr>
            <w:tcW w:w="199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Short-term lease cost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13,745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17,916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22,659</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0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24,893</w:t>
            </w:r>
          </w:p>
        </w:tc>
      </w:tr>
      <w:tr>
        <w:trPr/>
        <w:tc>
          <w:tcPr>
            <w:tcW w:w="199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Sublease income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(537)</w:t>
            </w:r>
          </w:p>
        </w:tc>
      </w:tr>
      <w:tr>
        <w:trPr/>
        <w:tc>
          <w:tcPr>
            <w:tcW w:w="199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lease cost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39,140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40,312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71,564</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68,874</w:t>
            </w:r>
          </w:p>
        </w:tc>
      </w:tr>
    </w:tbl>
    <w:p>
      <w:pPr>
        <w:pStyle w:val="TextBody"/>
        <w:bidi w:val="0"/>
        <w:spacing w:before="0" w:after="24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Maturities of our operating lease liabilities as of June 30, 2024 are as follows (in thousands):</w:t>
      </w:r>
    </w:p>
    <w:p>
      <w:pPr>
        <w:pStyle w:val="TextBody"/>
        <w:bidi w:val="0"/>
        <w:spacing w:before="0" w:after="240"/>
        <w:ind w:left="0" w:right="0" w:firstLine="720"/>
        <w:jc w:val="left"/>
        <w:rPr/>
      </w:pPr>
      <w:r>
        <w:rPr/>
        <w:t>​</w:t>
      </w:r>
    </w:p>
    <w:tbl>
      <w:tblPr>
        <w:tblW w:w="7790" w:type="dxa"/>
        <w:jc w:val="left"/>
        <w:tblInd w:w="0" w:type="dxa"/>
        <w:tblLayout w:type="fixed"/>
        <w:tblCellMar>
          <w:top w:w="0" w:type="dxa"/>
          <w:left w:w="0" w:type="dxa"/>
          <w:bottom w:w="0" w:type="dxa"/>
          <w:right w:w="0" w:type="dxa"/>
        </w:tblCellMar>
      </w:tblPr>
      <w:tblGrid>
        <w:gridCol w:w="3316"/>
        <w:gridCol w:w="326"/>
        <w:gridCol w:w="211"/>
        <w:gridCol w:w="811"/>
        <w:gridCol w:w="326"/>
        <w:gridCol w:w="315"/>
        <w:gridCol w:w="1035"/>
        <w:gridCol w:w="326"/>
        <w:gridCol w:w="211"/>
        <w:gridCol w:w="913"/>
      </w:tblGrid>
      <w:tr>
        <w:trPr/>
        <w:tc>
          <w:tcPr>
            <w:tcW w:w="33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12" name="Frame1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33985" cy="175260"/>
                      <wp:effectExtent l="0" t="0" r="0" b="0"/>
                      <wp:wrapNone/>
                      <wp:docPr id="113" name="Frame1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514985" cy="175260"/>
                      <wp:effectExtent l="0" t="0" r="0" b="0"/>
                      <wp:wrapNone/>
                      <wp:docPr id="114" name="Frame113"/>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7010" cy="175260"/>
                      <wp:effectExtent l="0" t="0" r="0" b="0"/>
                      <wp:wrapNone/>
                      <wp:docPr id="115" name="Frame1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0025" cy="175260"/>
                      <wp:effectExtent l="0" t="0" r="0" b="0"/>
                      <wp:wrapNone/>
                      <wp:docPr id="116" name="Frame115"/>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57225" cy="175260"/>
                      <wp:effectExtent l="0" t="0" r="0" b="0"/>
                      <wp:wrapNone/>
                      <wp:docPr id="117" name="Frame116"/>
                      <a:graphic xmlns:a="http://schemas.openxmlformats.org/drawingml/2006/main">
                        <a:graphicData uri="http://schemas.microsoft.com/office/word/2010/wordprocessingShape">
                          <wps:wsp>
                            <wps:cNvSpPr txBox="1"/>
                            <wps:spPr>
                              <a:xfrm>
                                <a:off x="0" y="0"/>
                                <a:ext cx="657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118" name="Frame1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33985" cy="175260"/>
                      <wp:effectExtent l="0" t="0" r="0" b="0"/>
                      <wp:wrapNone/>
                      <wp:docPr id="119" name="Frame1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579755" cy="175260"/>
                      <wp:effectExtent l="0" t="0" r="0" b="0"/>
                      <wp:wrapNone/>
                      <wp:docPr id="120" name="Frame119"/>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350"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Facilities and</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left"/>
              <w:rPr/>
            </w:pPr>
            <w:r>
              <w:rPr/>
              <w:t>​</w:t>
            </w:r>
          </w:p>
        </w:tc>
      </w:tr>
      <w:tr>
        <w:trPr/>
        <w:tc>
          <w:tcPr>
            <w:tcW w:w="33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Vessels</w:t>
            </w:r>
          </w:p>
        </w:tc>
        <w:tc>
          <w:tcPr>
            <w:tcW w:w="326" w:type="dxa"/>
            <w:tcBorders/>
            <w:vAlign w:val="center"/>
          </w:tcPr>
          <w:p>
            <w:pPr>
              <w:pStyle w:val="TableContents"/>
              <w:bidi w:val="0"/>
              <w:spacing w:before="0" w:after="1"/>
              <w:ind w:left="0" w:right="0" w:hanging="0"/>
              <w:jc w:val="center"/>
              <w:rPr/>
            </w:pPr>
            <w:r>
              <w:rPr/>
              <w:t>    </w:t>
            </w:r>
          </w:p>
        </w:tc>
        <w:tc>
          <w:tcPr>
            <w:tcW w:w="13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Equipment</w:t>
            </w:r>
          </w:p>
        </w:tc>
        <w:tc>
          <w:tcPr>
            <w:tcW w:w="326" w:type="dxa"/>
            <w:tcBorders/>
            <w:vAlign w:val="center"/>
          </w:tcPr>
          <w:p>
            <w:pPr>
              <w:pStyle w:val="TableContents"/>
              <w:bidi w:val="0"/>
              <w:spacing w:before="0" w:after="1"/>
              <w:ind w:left="0" w:right="0" w:hanging="0"/>
              <w:jc w:val="center"/>
              <w:rPr/>
            </w:pPr>
            <w:r>
              <w:rPr/>
              <w:t>    </w:t>
            </w:r>
          </w:p>
        </w:tc>
        <w:tc>
          <w:tcPr>
            <w:tcW w:w="112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Total</w:t>
            </w:r>
          </w:p>
        </w:tc>
      </w:tr>
      <w:tr>
        <w:trPr/>
        <w:tc>
          <w:tcPr>
            <w:tcW w:w="33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than one year</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76,796</w:t>
            </w:r>
          </w:p>
        </w:tc>
        <w:tc>
          <w:tcPr>
            <w:tcW w:w="326" w:type="dxa"/>
            <w:tcBorders/>
            <w:shd w:fill="CCEEFF" w:val="clear"/>
            <w:vAlign w:val="center"/>
          </w:tcPr>
          <w:p>
            <w:pPr>
              <w:pStyle w:val="TableContents"/>
              <w:bidi w:val="0"/>
              <w:spacing w:before="0" w:after="1"/>
              <w:ind w:left="0" w:right="0" w:hanging="0"/>
              <w:jc w:val="left"/>
              <w:rPr/>
            </w:pPr>
            <w:r>
              <w:rPr/>
              <w:t>​</w:t>
            </w:r>
          </w:p>
        </w:tc>
        <w:tc>
          <w:tcPr>
            <w:tcW w:w="31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3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6,452</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83,248</w:t>
            </w:r>
          </w:p>
        </w:tc>
      </w:tr>
      <w:tr>
        <w:trPr/>
        <w:tc>
          <w:tcPr>
            <w:tcW w:w="331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One to two years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74,553</w:t>
            </w:r>
          </w:p>
        </w:tc>
        <w:tc>
          <w:tcPr>
            <w:tcW w:w="326"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2,279</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76,832</w:t>
            </w:r>
          </w:p>
        </w:tc>
      </w:tr>
      <w:tr>
        <w:trPr/>
        <w:tc>
          <w:tcPr>
            <w:tcW w:w="33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Two to three years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61,771</w:t>
            </w:r>
          </w:p>
        </w:tc>
        <w:tc>
          <w:tcPr>
            <w:tcW w:w="326" w:type="dxa"/>
            <w:tcBorders/>
            <w:shd w:fill="CCEEFF" w:val="clear"/>
            <w:vAlign w:val="center"/>
          </w:tcPr>
          <w:p>
            <w:pPr>
              <w:pStyle w:val="TableContents"/>
              <w:bidi w:val="0"/>
              <w:spacing w:before="0" w:after="1"/>
              <w:ind w:left="0" w:right="0" w:hanging="0"/>
              <w:jc w:val="left"/>
              <w:rPr/>
            </w:pPr>
            <w:r>
              <w:rPr/>
              <w:t>​</w:t>
            </w:r>
          </w:p>
        </w:tc>
        <w:tc>
          <w:tcPr>
            <w:tcW w:w="315"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1,968</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63,739</w:t>
            </w:r>
          </w:p>
        </w:tc>
      </w:tr>
      <w:tr>
        <w:trPr/>
        <w:tc>
          <w:tcPr>
            <w:tcW w:w="331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Three to four years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60,482</w:t>
            </w:r>
          </w:p>
        </w:tc>
        <w:tc>
          <w:tcPr>
            <w:tcW w:w="326"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1,885</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62,367</w:t>
            </w:r>
          </w:p>
        </w:tc>
      </w:tr>
      <w:tr>
        <w:trPr/>
        <w:tc>
          <w:tcPr>
            <w:tcW w:w="33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Four to five years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52,748</w:t>
            </w:r>
          </w:p>
        </w:tc>
        <w:tc>
          <w:tcPr>
            <w:tcW w:w="326" w:type="dxa"/>
            <w:tcBorders/>
            <w:shd w:fill="CCEEFF" w:val="clear"/>
            <w:vAlign w:val="center"/>
          </w:tcPr>
          <w:p>
            <w:pPr>
              <w:pStyle w:val="TableContents"/>
              <w:bidi w:val="0"/>
              <w:spacing w:before="0" w:after="1"/>
              <w:ind w:left="0" w:right="0" w:hanging="0"/>
              <w:jc w:val="left"/>
              <w:rPr/>
            </w:pPr>
            <w:r>
              <w:rPr/>
              <w:t>​</w:t>
            </w:r>
          </w:p>
        </w:tc>
        <w:tc>
          <w:tcPr>
            <w:tcW w:w="315"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1,714</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54,462</w:t>
            </w:r>
          </w:p>
        </w:tc>
      </w:tr>
      <w:tr>
        <w:trPr/>
        <w:tc>
          <w:tcPr>
            <w:tcW w:w="331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Over five years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112,848</w:t>
            </w:r>
          </w:p>
        </w:tc>
        <w:tc>
          <w:tcPr>
            <w:tcW w:w="326" w:type="dxa"/>
            <w:tcBorders/>
            <w:vAlign w:val="center"/>
          </w:tcPr>
          <w:p>
            <w:pPr>
              <w:pStyle w:val="TableContents"/>
              <w:bidi w:val="0"/>
              <w:spacing w:before="0" w:after="1"/>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4,231</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117,079</w:t>
            </w:r>
          </w:p>
        </w:tc>
      </w:tr>
      <w:tr>
        <w:trPr/>
        <w:tc>
          <w:tcPr>
            <w:tcW w:w="33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lease payments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439,198</w:t>
            </w:r>
          </w:p>
        </w:tc>
        <w:tc>
          <w:tcPr>
            <w:tcW w:w="326" w:type="dxa"/>
            <w:tcBorders/>
            <w:shd w:fill="CCEEFF" w:val="clear"/>
            <w:vAlign w:val="center"/>
          </w:tcPr>
          <w:p>
            <w:pPr>
              <w:pStyle w:val="TableContents"/>
              <w:bidi w:val="0"/>
              <w:spacing w:before="0" w:after="1"/>
              <w:ind w:left="0" w:right="0" w:hanging="0"/>
              <w:jc w:val="left"/>
              <w:rPr/>
            </w:pPr>
            <w:r>
              <w:rPr/>
              <w:t>​</w:t>
            </w:r>
          </w:p>
        </w:tc>
        <w:tc>
          <w:tcPr>
            <w:tcW w:w="31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3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18,529</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457,727</w:t>
            </w:r>
          </w:p>
        </w:tc>
      </w:tr>
      <w:tr>
        <w:trPr/>
        <w:tc>
          <w:tcPr>
            <w:tcW w:w="331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imputed interest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(93,830)</w:t>
            </w:r>
          </w:p>
        </w:tc>
        <w:tc>
          <w:tcPr>
            <w:tcW w:w="326" w:type="dxa"/>
            <w:tcBorders/>
            <w:vAlign w:val="center"/>
          </w:tcPr>
          <w:p>
            <w:pPr>
              <w:pStyle w:val="TableContents"/>
              <w:bidi w:val="0"/>
              <w:spacing w:before="0" w:after="1"/>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(3,239)</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(97,069)</w:t>
            </w:r>
          </w:p>
        </w:tc>
      </w:tr>
      <w:tr>
        <w:trPr/>
        <w:tc>
          <w:tcPr>
            <w:tcW w:w="33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operating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345,368</w:t>
            </w:r>
          </w:p>
        </w:tc>
        <w:tc>
          <w:tcPr>
            <w:tcW w:w="326" w:type="dxa"/>
            <w:tcBorders/>
            <w:shd w:fill="CCEEFF" w:val="clear"/>
            <w:vAlign w:val="center"/>
          </w:tcPr>
          <w:p>
            <w:pPr>
              <w:pStyle w:val="TableContents"/>
              <w:bidi w:val="0"/>
              <w:spacing w:before="0" w:after="1"/>
              <w:ind w:left="0" w:right="0" w:hanging="0"/>
              <w:jc w:val="left"/>
              <w:rPr/>
            </w:pPr>
            <w:r>
              <w:rPr/>
              <w:t>​</w:t>
            </w:r>
          </w:p>
        </w:tc>
        <w:tc>
          <w:tcPr>
            <w:tcW w:w="31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3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15,290</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360,658</w:t>
            </w:r>
          </w:p>
        </w:tc>
      </w:tr>
      <w:tr>
        <w:trPr/>
        <w:tc>
          <w:tcPr>
            <w:tcW w:w="33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pPr>
            <w:r>
              <w:rPr/>
              <w:t>​</w:t>
            </w:r>
          </w:p>
        </w:tc>
        <w:tc>
          <w:tcPr>
            <w:tcW w:w="103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pPr>
            <w:r>
              <w:rPr/>
              <w:t>​</w:t>
            </w:r>
          </w:p>
        </w:tc>
      </w:tr>
      <w:tr>
        <w:trPr/>
        <w:tc>
          <w:tcPr>
            <w:tcW w:w="33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Current operating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51,750</w:t>
            </w:r>
          </w:p>
        </w:tc>
        <w:tc>
          <w:tcPr>
            <w:tcW w:w="326" w:type="dxa"/>
            <w:tcBorders/>
            <w:shd w:fill="CCEEFF" w:val="clear"/>
            <w:vAlign w:val="center"/>
          </w:tcPr>
          <w:p>
            <w:pPr>
              <w:pStyle w:val="TableContents"/>
              <w:bidi w:val="0"/>
              <w:spacing w:before="0" w:after="1"/>
              <w:ind w:left="0" w:right="0" w:hanging="0"/>
              <w:jc w:val="left"/>
              <w:rPr/>
            </w:pPr>
            <w:r>
              <w:rPr/>
              <w:t>​</w:t>
            </w:r>
          </w:p>
        </w:tc>
        <w:tc>
          <w:tcPr>
            <w:tcW w:w="31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3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5,967</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57,717</w:t>
            </w:r>
          </w:p>
        </w:tc>
      </w:tr>
      <w:tr>
        <w:trPr/>
        <w:tc>
          <w:tcPr>
            <w:tcW w:w="331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Non-current operating lease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293,618</w:t>
            </w:r>
          </w:p>
        </w:tc>
        <w:tc>
          <w:tcPr>
            <w:tcW w:w="326" w:type="dxa"/>
            <w:tcBorders/>
            <w:vAlign w:val="center"/>
          </w:tcPr>
          <w:p>
            <w:pPr>
              <w:pStyle w:val="TableContents"/>
              <w:bidi w:val="0"/>
              <w:spacing w:before="0" w:after="1"/>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9,323</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302,941</w:t>
            </w:r>
          </w:p>
        </w:tc>
      </w:tr>
      <w:tr>
        <w:trPr/>
        <w:tc>
          <w:tcPr>
            <w:tcW w:w="33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operating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345,368</w:t>
            </w:r>
          </w:p>
        </w:tc>
        <w:tc>
          <w:tcPr>
            <w:tcW w:w="326" w:type="dxa"/>
            <w:tcBorders/>
            <w:shd w:fill="CCEEFF" w:val="clear"/>
            <w:vAlign w:val="center"/>
          </w:tcPr>
          <w:p>
            <w:pPr>
              <w:pStyle w:val="TableContents"/>
              <w:bidi w:val="0"/>
              <w:spacing w:before="0" w:after="1"/>
              <w:ind w:left="0" w:right="0" w:hanging="0"/>
              <w:jc w:val="left"/>
              <w:rPr/>
            </w:pPr>
            <w:r>
              <w:rPr/>
              <w:t>​</w:t>
            </w:r>
          </w:p>
        </w:tc>
        <w:tc>
          <w:tcPr>
            <w:tcW w:w="31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3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15,290</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360,658</w:t>
            </w:r>
          </w:p>
        </w:tc>
      </w:tr>
    </w:tbl>
    <w:p>
      <w:pPr>
        <w:pStyle w:val="TextBody"/>
        <w:bidi w:val="0"/>
        <w:spacing w:before="0" w:after="24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Maturities of our operating lease liabilities as of December 31, 2023 are as follows (in thousands):</w:t>
      </w:r>
    </w:p>
    <w:p>
      <w:pPr>
        <w:pStyle w:val="TextBody"/>
        <w:bidi w:val="0"/>
        <w:spacing w:before="0" w:after="240"/>
        <w:ind w:left="0" w:right="0" w:firstLine="720"/>
        <w:jc w:val="left"/>
        <w:rPr/>
      </w:pPr>
      <w:r>
        <w:rPr/>
        <w:t>​</w:t>
      </w:r>
    </w:p>
    <w:tbl>
      <w:tblPr>
        <w:tblW w:w="7790" w:type="dxa"/>
        <w:jc w:val="left"/>
        <w:tblInd w:w="0" w:type="dxa"/>
        <w:tblLayout w:type="fixed"/>
        <w:tblCellMar>
          <w:top w:w="0" w:type="dxa"/>
          <w:left w:w="0" w:type="dxa"/>
          <w:bottom w:w="0" w:type="dxa"/>
          <w:right w:w="0" w:type="dxa"/>
        </w:tblCellMar>
      </w:tblPr>
      <w:tblGrid>
        <w:gridCol w:w="3316"/>
        <w:gridCol w:w="326"/>
        <w:gridCol w:w="211"/>
        <w:gridCol w:w="811"/>
        <w:gridCol w:w="326"/>
        <w:gridCol w:w="315"/>
        <w:gridCol w:w="1035"/>
        <w:gridCol w:w="326"/>
        <w:gridCol w:w="211"/>
        <w:gridCol w:w="913"/>
      </w:tblGrid>
      <w:tr>
        <w:trPr/>
        <w:tc>
          <w:tcPr>
            <w:tcW w:w="3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7010" cy="175260"/>
                      <wp:effectExtent l="0" t="0" r="0" b="0"/>
                      <wp:wrapNone/>
                      <wp:docPr id="121" name="Frame1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3985" cy="175260"/>
                      <wp:effectExtent l="0" t="0" r="0" b="0"/>
                      <wp:wrapNone/>
                      <wp:docPr id="122" name="Frame1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514985" cy="175260"/>
                      <wp:effectExtent l="0" t="0" r="0" b="0"/>
                      <wp:wrapNone/>
                      <wp:docPr id="123" name="Frame122"/>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7010" cy="175260"/>
                      <wp:effectExtent l="0" t="0" r="0" b="0"/>
                      <wp:wrapNone/>
                      <wp:docPr id="124" name="Frame1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0025" cy="175260"/>
                      <wp:effectExtent l="0" t="0" r="0" b="0"/>
                      <wp:wrapNone/>
                      <wp:docPr id="125" name="Frame124"/>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57225" cy="175260"/>
                      <wp:effectExtent l="0" t="0" r="0" b="0"/>
                      <wp:wrapNone/>
                      <wp:docPr id="126" name="Frame125"/>
                      <a:graphic xmlns:a="http://schemas.openxmlformats.org/drawingml/2006/main">
                        <a:graphicData uri="http://schemas.microsoft.com/office/word/2010/wordprocessingShape">
                          <wps:wsp>
                            <wps:cNvSpPr txBox="1"/>
                            <wps:spPr>
                              <a:xfrm>
                                <a:off x="0" y="0"/>
                                <a:ext cx="657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7010" cy="175260"/>
                      <wp:effectExtent l="0" t="0" r="0" b="0"/>
                      <wp:wrapNone/>
                      <wp:docPr id="127" name="Frame1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33985" cy="175260"/>
                      <wp:effectExtent l="0" t="0" r="0" b="0"/>
                      <wp:wrapNone/>
                      <wp:docPr id="128" name="Frame1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579755" cy="175260"/>
                      <wp:effectExtent l="0" t="0" r="0" b="0"/>
                      <wp:wrapNone/>
                      <wp:docPr id="129" name="Frame128"/>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350"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Facilities and</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left"/>
              <w:rPr/>
            </w:pPr>
            <w:r>
              <w:rPr/>
              <w:t>​</w:t>
            </w:r>
          </w:p>
        </w:tc>
      </w:tr>
      <w:tr>
        <w:trPr/>
        <w:tc>
          <w:tcPr>
            <w:tcW w:w="3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Vessels</w:t>
            </w:r>
          </w:p>
        </w:tc>
        <w:tc>
          <w:tcPr>
            <w:tcW w:w="326" w:type="dxa"/>
            <w:tcBorders/>
            <w:vAlign w:val="center"/>
          </w:tcPr>
          <w:p>
            <w:pPr>
              <w:pStyle w:val="TableContents"/>
              <w:bidi w:val="0"/>
              <w:spacing w:before="0" w:after="0"/>
              <w:ind w:left="0" w:right="0" w:hanging="0"/>
              <w:jc w:val="center"/>
              <w:rPr/>
            </w:pPr>
            <w:r>
              <w:rPr/>
              <w:t>    </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Equipment</w:t>
            </w:r>
          </w:p>
        </w:tc>
        <w:tc>
          <w:tcPr>
            <w:tcW w:w="326" w:type="dxa"/>
            <w:tcBorders/>
            <w:vAlign w:val="center"/>
          </w:tcPr>
          <w:p>
            <w:pPr>
              <w:pStyle w:val="TableContents"/>
              <w:bidi w:val="0"/>
              <w:spacing w:before="0" w:after="0"/>
              <w:ind w:left="0" w:right="0" w:hanging="0"/>
              <w:jc w:val="center"/>
              <w:rPr/>
            </w:pPr>
            <w:r>
              <w:rPr/>
              <w:t>    </w:t>
            </w:r>
          </w:p>
        </w:tc>
        <w:tc>
          <w:tcPr>
            <w:tcW w:w="11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Total</w:t>
            </w:r>
          </w:p>
        </w:tc>
      </w:tr>
      <w:tr>
        <w:trPr/>
        <w:tc>
          <w:tcPr>
            <w:tcW w:w="33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than one year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67,488</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3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6,639</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74,127</w:t>
            </w:r>
          </w:p>
        </w:tc>
      </w:tr>
      <w:tr>
        <w:trPr/>
        <w:tc>
          <w:tcPr>
            <w:tcW w:w="33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One to two years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55,453</w:t>
            </w:r>
          </w:p>
        </w:tc>
        <w:tc>
          <w:tcPr>
            <w:tcW w:w="32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 </w:t>
            </w:r>
          </w:p>
        </w:tc>
        <w:tc>
          <w:tcPr>
            <w:tcW w:w="103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3,508</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58,961</w:t>
            </w:r>
          </w:p>
        </w:tc>
      </w:tr>
      <w:tr>
        <w:trPr/>
        <w:tc>
          <w:tcPr>
            <w:tcW w:w="33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Two to three years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35,200</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 </w:t>
            </w:r>
          </w:p>
        </w:tc>
        <w:tc>
          <w:tcPr>
            <w:tcW w:w="103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1,289</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1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36,489</w:t>
            </w:r>
          </w:p>
        </w:tc>
      </w:tr>
      <w:tr>
        <w:trPr/>
        <w:tc>
          <w:tcPr>
            <w:tcW w:w="33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Three to four years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26,245</w:t>
            </w:r>
          </w:p>
        </w:tc>
        <w:tc>
          <w:tcPr>
            <w:tcW w:w="32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 </w:t>
            </w:r>
          </w:p>
        </w:tc>
        <w:tc>
          <w:tcPr>
            <w:tcW w:w="103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1,272</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27,517</w:t>
            </w:r>
          </w:p>
        </w:tc>
      </w:tr>
      <w:tr>
        <w:trPr/>
        <w:tc>
          <w:tcPr>
            <w:tcW w:w="33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Four to five years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3,040</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 </w:t>
            </w:r>
          </w:p>
        </w:tc>
        <w:tc>
          <w:tcPr>
            <w:tcW w:w="103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1,244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1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4,284</w:t>
            </w:r>
          </w:p>
        </w:tc>
      </w:tr>
      <w:tr>
        <w:trPr/>
        <w:tc>
          <w:tcPr>
            <w:tcW w:w="33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Over five years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1,926</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1,926</w:t>
            </w:r>
          </w:p>
        </w:tc>
      </w:tr>
      <w:tr>
        <w:trPr/>
        <w:tc>
          <w:tcPr>
            <w:tcW w:w="33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lease payments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187,426</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3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15,878</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203,304</w:t>
            </w:r>
          </w:p>
        </w:tc>
      </w:tr>
      <w:tr>
        <w:trPr/>
        <w:tc>
          <w:tcPr>
            <w:tcW w:w="33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imputed interest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(22,419)</w:t>
            </w:r>
          </w:p>
        </w:tc>
        <w:tc>
          <w:tcPr>
            <w:tcW w:w="326"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(2,038)</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(24,457)</w:t>
            </w:r>
          </w:p>
        </w:tc>
      </w:tr>
      <w:tr>
        <w:trPr/>
        <w:tc>
          <w:tcPr>
            <w:tcW w:w="33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165,007</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13,840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178,847</w:t>
            </w:r>
          </w:p>
        </w:tc>
      </w:tr>
      <w:tr>
        <w:trPr/>
        <w:tc>
          <w:tcPr>
            <w:tcW w:w="3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10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right"/>
              <w:rPr/>
            </w:pPr>
            <w:r>
              <w:rPr/>
              <w:t>​</w:t>
            </w:r>
          </w:p>
        </w:tc>
      </w:tr>
      <w:tr>
        <w:trPr/>
        <w:tc>
          <w:tcPr>
            <w:tcW w:w="33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Current 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56,602</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3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6,060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62,662</w:t>
            </w:r>
          </w:p>
        </w:tc>
      </w:tr>
      <w:tr>
        <w:trPr/>
        <w:tc>
          <w:tcPr>
            <w:tcW w:w="33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Non-current operating lease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108,405</w:t>
            </w:r>
          </w:p>
        </w:tc>
        <w:tc>
          <w:tcPr>
            <w:tcW w:w="326"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7,780</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116,185</w:t>
            </w:r>
          </w:p>
        </w:tc>
      </w:tr>
      <w:tr>
        <w:trPr/>
        <w:tc>
          <w:tcPr>
            <w:tcW w:w="33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165,007</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13,840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178,847</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10</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Arial;Helvetica;sans-serif" w:hAnsi="Arial;Helvetica;sans-serif"/>
          <w:sz w:val="20"/>
        </w:rPr>
      </w:pPr>
      <w:bookmarkStart w:id="837" w:name="Tc_b-OjQYdaJES4gIju9QP9xg_5_0"/>
      <w:bookmarkStart w:id="838" w:name="Tc_g0JEihfis0qoK5XbA49xmg_4_5"/>
      <w:bookmarkStart w:id="839" w:name="Tc_HCYnwWsZMkKm_vQ05xu44g_4_2"/>
      <w:bookmarkStart w:id="840" w:name="Tc_dgsJX8Bw6kGJtUGUdT-eWQ_4_0"/>
      <w:bookmarkStart w:id="841" w:name="Tc_EjcwEW-ou0qpLEqQl86bEA_3_5"/>
      <w:bookmarkStart w:id="842" w:name="Tc_RH03ucIQ_UqvH9mcO79VBQ_3_2"/>
      <w:bookmarkStart w:id="843" w:name="Tc_VB_Frp5tTUqda_PEKimQ2w_2_2"/>
      <w:bookmarkStart w:id="844" w:name="Tc_pA1_CHTsQE2_FXTtWJ33tg_1_2"/>
      <w:bookmarkStart w:id="845" w:name="_bdc31c5c_b885_4a6a_8f96_8e56da4fc7da"/>
      <w:bookmarkStart w:id="846" w:name="Tc_q84_Wy7enE-yhi1hJBbaug_4_6"/>
      <w:bookmarkStart w:id="847" w:name="Tc_g0gV1khXek-ghCo-E4ysgg_4_3"/>
      <w:bookmarkStart w:id="848" w:name="Tc_HpHIrYcy3k2ogk3Sla9IZA_4_0"/>
      <w:bookmarkStart w:id="849" w:name="Tc_7lUDUOGcSUOJpfgou3talA_3_6"/>
      <w:bookmarkStart w:id="850" w:name="Tc_YWO0lQert0WDsCS4v7-q1w_3_3"/>
      <w:bookmarkStart w:id="851" w:name="Tc_eELGl6Y750KscJCsWsfQRw_3_0"/>
      <w:bookmarkStart w:id="852" w:name="Tc_j-XFwztCsEKkNuMQjLJedA_2_5"/>
      <w:bookmarkStart w:id="853" w:name="Tc_d8oukbdZGEiY9hsyVcAPRA_2_2"/>
      <w:bookmarkStart w:id="854" w:name="Tc_e7c18KXD-EGzCnvsxRCRUQ_1_5"/>
      <w:bookmarkStart w:id="855" w:name="Tc_NMNN0TOOVUeR7AAySyO1aQ_1_2"/>
      <w:bookmarkStart w:id="856" w:name="_dcb7d764_413d_4029_9877_b9dc0aedaf7a"/>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r>
        <w:rPr>
          <w:rFonts w:ascii="Arial;Helvetica;sans-serif" w:hAnsi="Arial;Helvetica;sans-serif"/>
          <w:sz w:val="20"/>
        </w:rPr>
        <w:t>The following table presents the weighted average remaining lease term and discount rate:</w:t>
      </w:r>
    </w:p>
    <w:p>
      <w:pPr>
        <w:pStyle w:val="TextBody"/>
        <w:bidi w:val="0"/>
        <w:spacing w:before="0" w:after="240"/>
        <w:ind w:left="0" w:right="0" w:firstLine="720"/>
        <w:jc w:val="left"/>
        <w:rPr/>
      </w:pPr>
      <w:r>
        <w:rPr/>
        <w:t>​</w:t>
      </w:r>
    </w:p>
    <w:tbl>
      <w:tblPr>
        <w:tblW w:w="6528" w:type="dxa"/>
        <w:jc w:val="left"/>
        <w:tblInd w:w="0" w:type="dxa"/>
        <w:tblLayout w:type="fixed"/>
        <w:tblCellMar>
          <w:top w:w="0" w:type="dxa"/>
          <w:left w:w="0" w:type="dxa"/>
          <w:bottom w:w="0" w:type="dxa"/>
          <w:right w:w="0" w:type="dxa"/>
        </w:tblCellMar>
      </w:tblPr>
      <w:tblGrid>
        <w:gridCol w:w="3556"/>
        <w:gridCol w:w="326"/>
        <w:gridCol w:w="481"/>
        <w:gridCol w:w="586"/>
        <w:gridCol w:w="109"/>
        <w:gridCol w:w="635"/>
        <w:gridCol w:w="835"/>
      </w:tblGrid>
      <w:tr>
        <w:trPr/>
        <w:tc>
          <w:tcPr>
            <w:tcW w:w="35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07010" cy="175260"/>
                      <wp:effectExtent l="0" t="0" r="0" b="0"/>
                      <wp:wrapNone/>
                      <wp:docPr id="130" name="Frame1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305435" cy="175260"/>
                      <wp:effectExtent l="0" t="0" r="0" b="0"/>
                      <wp:wrapNone/>
                      <wp:docPr id="131" name="Frame130"/>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372110" cy="175260"/>
                      <wp:effectExtent l="0" t="0" r="0" b="0"/>
                      <wp:wrapNone/>
                      <wp:docPr id="132" name="Frame13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9215" cy="175260"/>
                      <wp:effectExtent l="0" t="0" r="0" b="0"/>
                      <wp:wrapNone/>
                      <wp:docPr id="133" name="Frame1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403225" cy="175260"/>
                      <wp:effectExtent l="0" t="0" r="0" b="0"/>
                      <wp:wrapNone/>
                      <wp:docPr id="134" name="Frame133"/>
                      <a:graphic xmlns:a="http://schemas.openxmlformats.org/drawingml/2006/main">
                        <a:graphicData uri="http://schemas.microsoft.com/office/word/2010/wordprocessingShape">
                          <wps:wsp>
                            <wps:cNvSpPr txBox="1"/>
                            <wps:spPr>
                              <a:xfrm>
                                <a:off x="0" y="0"/>
                                <a:ext cx="403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530225" cy="175260"/>
                      <wp:effectExtent l="0" t="0" r="0" b="0"/>
                      <wp:wrapNone/>
                      <wp:docPr id="135" name="Frame134"/>
                      <a:graphic xmlns:a="http://schemas.openxmlformats.org/drawingml/2006/main">
                        <a:graphicData uri="http://schemas.microsoft.com/office/word/2010/wordprocessingShape">
                          <wps:wsp>
                            <wps:cNvSpPr txBox="1"/>
                            <wps:spPr>
                              <a:xfrm>
                                <a:off x="0" y="0"/>
                                <a:ext cx="530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67"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w:t>
            </w:r>
          </w:p>
        </w:tc>
        <w:tc>
          <w:tcPr>
            <w:tcW w:w="109" w:type="dxa"/>
            <w:tcBorders/>
            <w:vAlign w:val="center"/>
          </w:tcPr>
          <w:p>
            <w:pPr>
              <w:pStyle w:val="TableContents"/>
              <w:bidi w:val="0"/>
              <w:spacing w:before="0" w:after="1"/>
              <w:ind w:left="0" w:right="0" w:hanging="0"/>
              <w:jc w:val="left"/>
              <w:rPr/>
            </w:pPr>
            <w:r>
              <w:rPr/>
              <w:t>​</w:t>
            </w:r>
          </w:p>
        </w:tc>
        <w:tc>
          <w:tcPr>
            <w:tcW w:w="1470"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December 31, </w:t>
            </w:r>
          </w:p>
        </w:tc>
      </w:tr>
      <w:tr>
        <w:trPr/>
        <w:tc>
          <w:tcPr>
            <w:tcW w:w="35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109" w:type="dxa"/>
            <w:tcBorders/>
            <w:vAlign w:val="center"/>
          </w:tcPr>
          <w:p>
            <w:pPr>
              <w:pStyle w:val="TableContents"/>
              <w:bidi w:val="0"/>
              <w:spacing w:before="0" w:after="1"/>
              <w:ind w:left="0" w:right="0" w:hanging="0"/>
              <w:jc w:val="left"/>
              <w:rPr/>
            </w:pPr>
            <w:r>
              <w:rPr/>
              <w:t>​</w:t>
            </w:r>
          </w:p>
        </w:tc>
        <w:tc>
          <w:tcPr>
            <w:tcW w:w="14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355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Weighted average remaining lease term</w:t>
            </w:r>
          </w:p>
        </w:tc>
        <w:tc>
          <w:tcPr>
            <w:tcW w:w="326" w:type="dxa"/>
            <w:tcBorders/>
            <w:shd w:fill="CCEEFF" w:val="clear"/>
            <w:vAlign w:val="center"/>
          </w:tcPr>
          <w:p>
            <w:pPr>
              <w:pStyle w:val="TableContents"/>
              <w:bidi w:val="0"/>
              <w:spacing w:before="0" w:after="1"/>
              <w:ind w:left="0" w:right="0" w:hanging="0"/>
              <w:jc w:val="left"/>
              <w:rPr/>
            </w:pPr>
            <w:r>
              <w:rPr/>
              <w:t> </w:t>
            </w:r>
          </w:p>
        </w:tc>
        <w:tc>
          <w:tcPr>
            <w:tcW w:w="48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6.1</w:t>
            </w:r>
          </w:p>
        </w:tc>
        <w:tc>
          <w:tcPr>
            <w:tcW w:w="58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years</w:t>
            </w:r>
          </w:p>
        </w:tc>
        <w:tc>
          <w:tcPr>
            <w:tcW w:w="109" w:type="dxa"/>
            <w:tcBorders/>
            <w:shd w:fill="CCEEFF" w:val="clear"/>
            <w:vAlign w:val="center"/>
          </w:tcPr>
          <w:p>
            <w:pPr>
              <w:pStyle w:val="TableContents"/>
              <w:bidi w:val="0"/>
              <w:spacing w:before="0" w:after="1"/>
              <w:ind w:left="0" w:right="0" w:hanging="0"/>
              <w:jc w:val="left"/>
              <w:rPr/>
            </w:pPr>
            <w:r>
              <w:rPr/>
              <w:t>​</w:t>
            </w:r>
          </w:p>
        </w:tc>
        <w:tc>
          <w:tcPr>
            <w:tcW w:w="63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w:t>
            </w:r>
          </w:p>
        </w:tc>
        <w:tc>
          <w:tcPr>
            <w:tcW w:w="83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years</w:t>
            </w:r>
          </w:p>
        </w:tc>
      </w:tr>
      <w:tr>
        <w:trPr/>
        <w:tc>
          <w:tcPr>
            <w:tcW w:w="355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Weighted average discount rate</w:t>
            </w:r>
          </w:p>
        </w:tc>
        <w:tc>
          <w:tcPr>
            <w:tcW w:w="326" w:type="dxa"/>
            <w:tcBorders/>
            <w:vAlign w:val="center"/>
          </w:tcPr>
          <w:p>
            <w:pPr>
              <w:pStyle w:val="TableContents"/>
              <w:bidi w:val="0"/>
              <w:spacing w:before="0" w:after="1"/>
              <w:ind w:left="0" w:right="0" w:hanging="0"/>
              <w:jc w:val="left"/>
              <w:rPr/>
            </w:pPr>
            <w:r>
              <w:rPr/>
              <w:t> </w:t>
            </w:r>
          </w:p>
        </w:tc>
        <w:tc>
          <w:tcPr>
            <w:tcW w:w="48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7.93</w:t>
            </w:r>
          </w:p>
        </w:tc>
        <w:tc>
          <w:tcPr>
            <w:tcW w:w="58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109" w:type="dxa"/>
            <w:tcBorders/>
            <w:vAlign w:val="center"/>
          </w:tcPr>
          <w:p>
            <w:pPr>
              <w:pStyle w:val="TableContents"/>
              <w:bidi w:val="0"/>
              <w:spacing w:before="0" w:after="1"/>
              <w:ind w:left="0" w:right="0" w:hanging="0"/>
              <w:jc w:val="left"/>
              <w:rPr/>
            </w:pPr>
            <w:r>
              <w:rPr/>
              <w:t>​</w:t>
            </w:r>
          </w:p>
        </w:tc>
        <w:tc>
          <w:tcPr>
            <w:tcW w:w="63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8.20</w:t>
            </w:r>
          </w:p>
        </w:tc>
        <w:tc>
          <w:tcPr>
            <w:tcW w:w="835"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24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presents other information related to our operating leases (in thousands):</w:t>
      </w:r>
    </w:p>
    <w:p>
      <w:pPr>
        <w:pStyle w:val="TextBody"/>
        <w:bidi w:val="0"/>
        <w:spacing w:before="0" w:after="240"/>
        <w:ind w:left="0" w:right="0" w:firstLine="720"/>
        <w:jc w:val="left"/>
        <w:rPr/>
      </w:pPr>
      <w:r>
        <w:rPr/>
        <w:t>​</w:t>
      </w:r>
    </w:p>
    <w:tbl>
      <w:tblPr>
        <w:tblW w:w="9447" w:type="dxa"/>
        <w:jc w:val="left"/>
        <w:tblInd w:w="0" w:type="dxa"/>
        <w:tblLayout w:type="fixed"/>
        <w:tblCellMar>
          <w:top w:w="0" w:type="dxa"/>
          <w:left w:w="0" w:type="dxa"/>
          <w:bottom w:w="0" w:type="dxa"/>
          <w:right w:w="0" w:type="dxa"/>
        </w:tblCellMar>
      </w:tblPr>
      <w:tblGrid>
        <w:gridCol w:w="6841"/>
        <w:gridCol w:w="326"/>
        <w:gridCol w:w="211"/>
        <w:gridCol w:w="796"/>
        <w:gridCol w:w="326"/>
        <w:gridCol w:w="211"/>
        <w:gridCol w:w="736"/>
      </w:tblGrid>
      <w:tr>
        <w:trPr/>
        <w:tc>
          <w:tcPr>
            <w:tcW w:w="68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7010" cy="175260"/>
                      <wp:effectExtent l="0" t="0" r="0" b="0"/>
                      <wp:wrapNone/>
                      <wp:docPr id="136" name="Frame1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33985" cy="175260"/>
                      <wp:effectExtent l="0" t="0" r="0" b="0"/>
                      <wp:wrapNone/>
                      <wp:docPr id="137" name="Frame1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505460" cy="175260"/>
                      <wp:effectExtent l="0" t="0" r="0" b="0"/>
                      <wp:wrapNone/>
                      <wp:docPr id="138" name="Frame13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39" name="Frame1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33985" cy="175260"/>
                      <wp:effectExtent l="0" t="0" r="0" b="0"/>
                      <wp:wrapNone/>
                      <wp:docPr id="140" name="Frame1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467360" cy="175260"/>
                      <wp:effectExtent l="0" t="0" r="0" b="0"/>
                      <wp:wrapNone/>
                      <wp:docPr id="141" name="Frame140"/>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8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280"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Six Months Ended </w:t>
            </w:r>
          </w:p>
        </w:tc>
      </w:tr>
      <w:tr>
        <w:trPr/>
        <w:tc>
          <w:tcPr>
            <w:tcW w:w="68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28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w:t>
            </w:r>
          </w:p>
        </w:tc>
      </w:tr>
      <w:tr>
        <w:trPr/>
        <w:tc>
          <w:tcPr>
            <w:tcW w:w="68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326" w:type="dxa"/>
            <w:tcBorders/>
            <w:vAlign w:val="center"/>
          </w:tcPr>
          <w:p>
            <w:pPr>
              <w:pStyle w:val="TableContents"/>
              <w:bidi w:val="0"/>
              <w:spacing w:before="0" w:after="1"/>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684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Cash paid for operating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38,877</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3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32,964</w:t>
            </w:r>
          </w:p>
        </w:tc>
      </w:tr>
      <w:tr>
        <w:trPr/>
        <w:tc>
          <w:tcPr>
            <w:tcW w:w="6841"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Right-of-use assets obtained in exchange for new operating lease liabilities </w:t>
            </w:r>
            <w:r>
              <w:rPr>
                <w:rFonts w:ascii="Arial;Helvetica;sans-serif" w:hAnsi="Arial;Helvetica;sans-serif"/>
                <w:sz w:val="15"/>
              </w:rPr>
              <w:t>(1)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207,511</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6,234</w:t>
            </w:r>
          </w:p>
        </w:tc>
      </w:tr>
    </w:tbl>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902"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Our operating lease additions during the six-month period ended June 30, 2024 are primarily related to the charter extensions for</w:t>
            </w:r>
            <w:r>
              <w:rPr>
                <w:caps w:val="false"/>
                <w:smallCaps w:val="false"/>
              </w:rPr>
              <w:t xml:space="preserve"> </w:t>
            </w:r>
            <w:r>
              <w:rPr>
                <w:rFonts w:ascii="Arial;Helvetica;sans-serif" w:hAnsi="Arial;Helvetica;sans-serif"/>
                <w:b w:val="false"/>
                <w:i w:val="false"/>
                <w:caps w:val="false"/>
                <w:smallCaps w:val="false"/>
                <w:sz w:val="20"/>
              </w:rPr>
              <w:t xml:space="preserve">the </w:t>
            </w:r>
            <w:r>
              <w:rPr>
                <w:rFonts w:ascii="Arial;Helvetica;sans-serif" w:hAnsi="Arial;Helvetica;sans-serif"/>
                <w:b w:val="false"/>
                <w:i/>
                <w:sz w:val="20"/>
              </w:rPr>
              <w:t>Siem Helix 1</w:t>
            </w:r>
            <w:r>
              <w:rPr>
                <w:rFonts w:ascii="Arial;Helvetica;sans-serif" w:hAnsi="Arial;Helvetica;sans-serif"/>
                <w:b w:val="false"/>
                <w:i w:val="false"/>
                <w:caps w:val="false"/>
                <w:smallCaps w:val="false"/>
                <w:sz w:val="20"/>
              </w:rPr>
              <w:t xml:space="preserve">, the </w:t>
            </w:r>
            <w:r>
              <w:rPr>
                <w:rFonts w:ascii="Arial;Helvetica;sans-serif" w:hAnsi="Arial;Helvetica;sans-serif"/>
                <w:b w:val="false"/>
                <w:i/>
                <w:sz w:val="20"/>
              </w:rPr>
              <w:t>Siem Helix 2</w:t>
            </w:r>
            <w:r>
              <w:rPr>
                <w:rFonts w:ascii="Arial;Helvetica;sans-serif" w:hAnsi="Arial;Helvetica;sans-serif"/>
                <w:b w:val="false"/>
                <w:i w:val="false"/>
                <w:caps w:val="false"/>
                <w:smallCaps w:val="false"/>
                <w:sz w:val="20"/>
              </w:rPr>
              <w:t xml:space="preserve">, the </w:t>
            </w:r>
            <w:r>
              <w:rPr>
                <w:rFonts w:ascii="Arial;Helvetica;sans-serif" w:hAnsi="Arial;Helvetica;sans-serif"/>
                <w:b w:val="false"/>
                <w:i/>
                <w:sz w:val="20"/>
              </w:rPr>
              <w:t>Grand Canyon II</w:t>
            </w:r>
            <w:r>
              <w:rPr>
                <w:caps w:val="false"/>
                <w:smallCaps w:val="false"/>
              </w:rPr>
              <w:t xml:space="preserve"> </w:t>
            </w:r>
            <w:r>
              <w:rPr>
                <w:rFonts w:ascii="Arial;Helvetica;sans-serif" w:hAnsi="Arial;Helvetica;sans-serif"/>
                <w:b w:val="false"/>
                <w:i w:val="false"/>
                <w:caps w:val="false"/>
                <w:smallCaps w:val="false"/>
                <w:sz w:val="20"/>
              </w:rPr>
              <w:t xml:space="preserve">and the </w:t>
            </w:r>
            <w:r>
              <w:rPr>
                <w:rFonts w:ascii="Arial;Helvetica;sans-serif" w:hAnsi="Arial;Helvetica;sans-serif"/>
                <w:b w:val="false"/>
                <w:i/>
                <w:sz w:val="20"/>
              </w:rPr>
              <w:t>Shelia Bordelon</w:t>
            </w:r>
            <w:r>
              <w:rPr>
                <w:caps w:val="false"/>
                <w:smallCaps w:val="false"/>
              </w:rPr>
              <w:t xml:space="preserve"> </w:t>
            </w:r>
            <w:r>
              <w:rPr>
                <w:rFonts w:ascii="Arial;Helvetica;sans-serif" w:hAnsi="Arial;Helvetica;sans-serif"/>
                <w:b w:val="false"/>
                <w:i w:val="false"/>
                <w:caps w:val="false"/>
                <w:smallCaps w:val="false"/>
                <w:sz w:val="20"/>
              </w:rPr>
              <w:t>(Note 13).</w:t>
            </w:r>
            <w:r>
              <w:rPr>
                <w:caps w:val="false"/>
                <w:smallCaps w:val="false"/>
              </w:rPr>
              <w:t xml:space="preserve"> </w:t>
            </w:r>
            <w:r>
              <w:rPr>
                <w:rFonts w:ascii="Arial;Helvetica;sans-serif" w:hAnsi="Arial;Helvetica;sans-serif"/>
                <w:b w:val="false"/>
                <w:i w:val="false"/>
                <w:caps w:val="false"/>
                <w:smallCaps w:val="false"/>
                <w:sz w:val="20"/>
              </w:rPr>
              <w:t xml:space="preserve">Our operating lease additions during the six-month period ended June 30, 2023 are primarily related to the vessel charter for the </w:t>
            </w:r>
            <w:r>
              <w:rPr>
                <w:rFonts w:ascii="Arial;Helvetica;sans-serif" w:hAnsi="Arial;Helvetica;sans-serif"/>
                <w:b w:val="false"/>
                <w:i/>
                <w:sz w:val="20"/>
              </w:rPr>
              <w:t>Glomar Wave</w:t>
            </w:r>
            <w:r>
              <w:rPr>
                <w:rFonts w:ascii="Arial;Helvetica;sans-serif" w:hAnsi="Arial;Helvetica;sans-serif"/>
                <w:b w:val="false"/>
                <w:i w:val="false"/>
                <w:caps w:val="false"/>
                <w:smallCaps w:val="false"/>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857" w:name="_Hlk84234521"/>
      <w:bookmarkStart w:id="858" w:name="Tc_CCTDkW97NEm4379z77q5aA_14_8"/>
      <w:bookmarkStart w:id="859" w:name="Tc_Ad38wnyJnkiVOMJ2rg1JGA_14_5"/>
      <w:bookmarkStart w:id="860" w:name="Tc_VTCDzBG9PkWHo1maxq35ZA_14_2"/>
      <w:bookmarkStart w:id="861" w:name="Tc_6kiMFpGDZECzaodEKM6kwQ_14_0"/>
      <w:bookmarkStart w:id="862" w:name="Tc_GucNM6OwU0OjcTv-fE5ngA_13_6"/>
      <w:bookmarkStart w:id="863" w:name="Tc_Zzcgz8i1xEmwpopYLMQtFw_13_0"/>
      <w:bookmarkStart w:id="864" w:name="Tc_LvgcKpRm8EuGLQqr5-6WkA_12_0"/>
      <w:bookmarkStart w:id="865" w:name="Tc_vatP1US7-EKon8Q2uFpeCg_11_0"/>
      <w:bookmarkStart w:id="866" w:name="Tc_aeYtEwRPw06AtpxjaSXE7Q_10_3"/>
      <w:bookmarkStart w:id="867" w:name="Tc__EVSBKVP7Umr2sDkVrIJgA_10_0"/>
      <w:bookmarkStart w:id="868" w:name="Tc_WupC-Vff30eHUSiRZQ1Lyw_9_0"/>
      <w:bookmarkStart w:id="869" w:name="Tc_cXBpXw1TrE6FCGd7B0Q-Uw_8_3"/>
      <w:bookmarkStart w:id="870" w:name="Tc_g7S_TFGoKEWl9TeH1tf2Hw_8_0"/>
      <w:bookmarkStart w:id="871" w:name="Tc_pTPGVDeKd0mTWYbfF3bO3g_7_9"/>
      <w:bookmarkStart w:id="872" w:name="Tc_JhqbARphIkyItwZVxAoKsg_7_6"/>
      <w:bookmarkStart w:id="873" w:name="Tc_WyaZViWX9Uyv6SjQ45yqmg_7_3"/>
      <w:bookmarkStart w:id="874" w:name="Tc_GwI68PMcVk-1Ucu8NuJOaw_7_0"/>
      <w:bookmarkStart w:id="875" w:name="Tc_lj14DDybbkS6d907vqxMMQ_6_9"/>
      <w:bookmarkStart w:id="876" w:name="Tc_rvHZbGFtrESUiYHdbexNvA_6_6"/>
      <w:bookmarkStart w:id="877" w:name="Tc_2jmCAU-4m0qVnjX9HqCh8w_6_3"/>
      <w:bookmarkStart w:id="878" w:name="Tc_QAFJlEtpMkmj8b9jDajLPw_6_0"/>
      <w:bookmarkStart w:id="879" w:name="Tc_AGNtPL-wi02bnGbJW52dnQ_5_6"/>
      <w:bookmarkStart w:id="880" w:name="Tc_vPHqS988TUiTv1v2hTpABA_5_0"/>
      <w:bookmarkStart w:id="881" w:name="Tc_U2NwybH20kKE1TZWzVCVjQ_4_6"/>
      <w:bookmarkStart w:id="882" w:name="Tc_EMoUso8bkU-rwTtJ52bb6A_4_0"/>
      <w:bookmarkStart w:id="883" w:name="Tc_D53bSJjgrkuAQ2jRSS7_jA_3_8"/>
      <w:bookmarkStart w:id="884" w:name="Tc_NkROC9kDYkSDVtlh-Qp1xg_3_6"/>
      <w:bookmarkStart w:id="885" w:name="Tc_1XzlqOUgTUisFSD1zctaQA_3_5"/>
      <w:bookmarkStart w:id="886" w:name="Tc_vaPV8e2jY0qRGIGC9iPmiw_3_2"/>
      <w:bookmarkStart w:id="887" w:name="Tc_t4rscvSuQ0iRImMcK9mJqQ_3_0"/>
      <w:bookmarkStart w:id="888" w:name="Tc_8q54lnS2sEKnaDC-Fve-qQ_2_8"/>
      <w:bookmarkStart w:id="889" w:name="Tc_yhfxuT5gJ0GAuNeYmr5X6g_2_5"/>
      <w:bookmarkStart w:id="890" w:name="Tc_vMEPVbLkaUeGAa1AGS7x7Q_2_2"/>
      <w:bookmarkStart w:id="891" w:name="Tc_TIN8Up8KQk2fslE1ZQvV9w_1_5"/>
      <w:bookmarkStart w:id="892" w:name="Tc_3lK-P2OOTkeJQAYCQuLJkw_1_2"/>
      <w:bookmarkStart w:id="893" w:name="_76dcbd0c_fd5a_4625_a29a_3ed6e1b6ef1c"/>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r>
        <w:rPr>
          <w:rFonts w:ascii="Arial;Helvetica;sans-serif" w:hAnsi="Arial;Helvetica;sans-serif"/>
          <w:b/>
          <w:sz w:val="20"/>
        </w:rPr>
        <w:t>Note 5 — Long-Term Debt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Scheduled maturities of our long-term debt outstanding as of June 30, 2024 are as follows (in thousands):</w:t>
      </w:r>
    </w:p>
    <w:p>
      <w:pPr>
        <w:pStyle w:val="TextBody"/>
        <w:bidi w:val="0"/>
        <w:spacing w:before="0" w:after="240"/>
        <w:ind w:left="0" w:right="0" w:firstLine="720"/>
        <w:jc w:val="left"/>
        <w:rPr/>
      </w:pPr>
      <w:r>
        <w:rPr/>
        <w:t>​</w:t>
      </w:r>
    </w:p>
    <w:tbl>
      <w:tblPr>
        <w:tblW w:w="7297" w:type="dxa"/>
        <w:jc w:val="left"/>
        <w:tblInd w:w="0" w:type="dxa"/>
        <w:tblLayout w:type="fixed"/>
        <w:tblCellMar>
          <w:top w:w="0" w:type="dxa"/>
          <w:left w:w="0" w:type="dxa"/>
          <w:bottom w:w="0" w:type="dxa"/>
          <w:right w:w="0" w:type="dxa"/>
        </w:tblCellMar>
      </w:tblPr>
      <w:tblGrid>
        <w:gridCol w:w="3271"/>
        <w:gridCol w:w="326"/>
        <w:gridCol w:w="211"/>
        <w:gridCol w:w="706"/>
        <w:gridCol w:w="326"/>
        <w:gridCol w:w="211"/>
        <w:gridCol w:w="796"/>
        <w:gridCol w:w="326"/>
        <w:gridCol w:w="211"/>
        <w:gridCol w:w="913"/>
      </w:tblGrid>
      <w:tr>
        <w:trPr/>
        <w:tc>
          <w:tcPr>
            <w:tcW w:w="32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07010" cy="175260"/>
                      <wp:effectExtent l="0" t="0" r="0" b="0"/>
                      <wp:wrapNone/>
                      <wp:docPr id="142" name="Frame1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33985" cy="175260"/>
                      <wp:effectExtent l="0" t="0" r="0" b="0"/>
                      <wp:wrapNone/>
                      <wp:docPr id="143" name="Frame1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448310" cy="175260"/>
                      <wp:effectExtent l="0" t="0" r="0" b="0"/>
                      <wp:wrapNone/>
                      <wp:docPr id="144" name="Frame143"/>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7010" cy="175260"/>
                      <wp:effectExtent l="0" t="0" r="0" b="0"/>
                      <wp:wrapNone/>
                      <wp:docPr id="145" name="Frame1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33985" cy="175260"/>
                      <wp:effectExtent l="0" t="0" r="0" b="0"/>
                      <wp:wrapNone/>
                      <wp:docPr id="146" name="Frame1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505460" cy="175260"/>
                      <wp:effectExtent l="0" t="0" r="0" b="0"/>
                      <wp:wrapNone/>
                      <wp:docPr id="147" name="Frame14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07010" cy="175260"/>
                      <wp:effectExtent l="0" t="0" r="0" b="0"/>
                      <wp:wrapNone/>
                      <wp:docPr id="148" name="Frame1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33985" cy="175260"/>
                      <wp:effectExtent l="0" t="0" r="0" b="0"/>
                      <wp:wrapNone/>
                      <wp:docPr id="149" name="Frame1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579755" cy="175260"/>
                      <wp:effectExtent l="0" t="0" r="0" b="0"/>
                      <wp:wrapNone/>
                      <wp:docPr id="150" name="Frame149"/>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17"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MARAD</w:t>
            </w:r>
          </w:p>
        </w:tc>
        <w:tc>
          <w:tcPr>
            <w:tcW w:w="326" w:type="dxa"/>
            <w:tcBorders/>
            <w:vAlign w:val="center"/>
          </w:tcPr>
          <w:p>
            <w:pPr>
              <w:pStyle w:val="TableContents"/>
              <w:bidi w:val="0"/>
              <w:spacing w:before="0" w:after="1"/>
              <w:ind w:left="0" w:right="0" w:hanging="0"/>
              <w:jc w:val="center"/>
              <w:rPr/>
            </w:pPr>
            <w:r>
              <w:rPr/>
              <w:t>​</w:t>
            </w:r>
          </w:p>
        </w:tc>
        <w:tc>
          <w:tcPr>
            <w:tcW w:w="1007"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2029</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center"/>
              <w:rPr/>
            </w:pPr>
            <w:r>
              <w:rPr/>
              <w:t>​</w:t>
            </w:r>
          </w:p>
        </w:tc>
      </w:tr>
      <w:tr>
        <w:trPr/>
        <w:tc>
          <w:tcPr>
            <w:tcW w:w="32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Debt</w:t>
            </w:r>
          </w:p>
        </w:tc>
        <w:tc>
          <w:tcPr>
            <w:tcW w:w="326" w:type="dxa"/>
            <w:tcBorders/>
            <w:vAlign w:val="center"/>
          </w:tcPr>
          <w:p>
            <w:pPr>
              <w:pStyle w:val="TableContents"/>
              <w:bidi w:val="0"/>
              <w:spacing w:before="0" w:after="1"/>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Notes</w:t>
            </w:r>
          </w:p>
        </w:tc>
        <w:tc>
          <w:tcPr>
            <w:tcW w:w="326" w:type="dxa"/>
            <w:tcBorders/>
            <w:vAlign w:val="center"/>
          </w:tcPr>
          <w:p>
            <w:pPr>
              <w:pStyle w:val="TableContents"/>
              <w:bidi w:val="0"/>
              <w:spacing w:before="0" w:after="1"/>
              <w:ind w:left="0" w:right="0" w:hanging="0"/>
              <w:jc w:val="center"/>
              <w:rPr/>
            </w:pPr>
            <w:r>
              <w:rPr/>
              <w:t>    </w:t>
            </w:r>
          </w:p>
        </w:tc>
        <w:tc>
          <w:tcPr>
            <w:tcW w:w="112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Total</w:t>
            </w:r>
          </w:p>
        </w:tc>
      </w:tr>
      <w:tr>
        <w:trPr/>
        <w:tc>
          <w:tcPr>
            <w:tcW w:w="327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than one year</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8,965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8,965</w:t>
            </w:r>
          </w:p>
        </w:tc>
      </w:tr>
      <w:tr>
        <w:trPr/>
        <w:tc>
          <w:tcPr>
            <w:tcW w:w="327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One to two years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9,412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9,412</w:t>
            </w:r>
          </w:p>
        </w:tc>
      </w:tr>
      <w:tr>
        <w:trPr/>
        <w:tc>
          <w:tcPr>
            <w:tcW w:w="327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Two to three years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9,881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9,881</w:t>
            </w:r>
          </w:p>
        </w:tc>
      </w:tr>
      <w:tr>
        <w:trPr/>
        <w:tc>
          <w:tcPr>
            <w:tcW w:w="327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Three to four years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pPr>
            <w:r>
              <w:rPr/>
              <w:t>—</w:t>
            </w:r>
          </w:p>
        </w:tc>
      </w:tr>
      <w:tr>
        <w:trPr/>
        <w:tc>
          <w:tcPr>
            <w:tcW w:w="327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Four to five years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pPr>
            <w:r>
              <w:rPr/>
              <w:t>—</w:t>
            </w:r>
          </w:p>
        </w:tc>
      </w:tr>
      <w:tr>
        <w:trPr/>
        <w:tc>
          <w:tcPr>
            <w:tcW w:w="327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Over five years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300,000</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300,000</w:t>
            </w:r>
          </w:p>
        </w:tc>
      </w:tr>
      <w:tr>
        <w:trPr/>
        <w:tc>
          <w:tcPr>
            <w:tcW w:w="327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Gross debt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28,258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300,000</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328,258</w:t>
            </w:r>
          </w:p>
        </w:tc>
      </w:tr>
      <w:tr>
        <w:trPr/>
        <w:tc>
          <w:tcPr>
            <w:tcW w:w="3271"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Unamortized debt discount </w:t>
            </w:r>
            <w:r>
              <w:rPr>
                <w:rFonts w:ascii="Arial;Helvetica;sans-serif" w:hAnsi="Arial;Helvetica;sans-serif"/>
                <w:sz w:val="15"/>
              </w:rPr>
              <w:t>(1)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(1,297)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(1,297)</w:t>
            </w:r>
          </w:p>
        </w:tc>
      </w:tr>
      <w:tr>
        <w:trPr/>
        <w:tc>
          <w:tcPr>
            <w:tcW w:w="3271" w:type="dxa"/>
            <w:tcBorders/>
            <w:shd w:fill="CCEEFF" w:val="clear"/>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Unamortized debt issuance costs </w:t>
            </w:r>
            <w:r>
              <w:rPr>
                <w:rFonts w:ascii="Arial;Helvetica;sans-serif" w:hAnsi="Arial;Helvetica;san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(1,342)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(6,990)</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(8,332)</w:t>
            </w:r>
          </w:p>
        </w:tc>
      </w:tr>
      <w:tr>
        <w:trPr/>
        <w:tc>
          <w:tcPr>
            <w:tcW w:w="327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debt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26,916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291,713</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318,629</w:t>
            </w:r>
          </w:p>
        </w:tc>
      </w:tr>
      <w:tr>
        <w:trPr/>
        <w:tc>
          <w:tcPr>
            <w:tcW w:w="327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current maturities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(8,965)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(8,965)</w:t>
            </w:r>
          </w:p>
        </w:tc>
      </w:tr>
      <w:tr>
        <w:trPr/>
        <w:tc>
          <w:tcPr>
            <w:tcW w:w="327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Long-term debt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17,951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291,713</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bottom w:val="double" w:sz="6" w:space="0" w:color="000000"/>
            </w:tcBorders>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309,664</w:t>
            </w:r>
          </w:p>
        </w:tc>
      </w:tr>
    </w:tbl>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Debt discount and debt issuance costs are amortized to interest expense over the term of the applicable debt agreement.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Below is a summary of our indebtedness: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Credit Agreement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On September 30, 2021 we entered into an asset-based credit agreement with Bank of America, N.A. (“Bank of America”), Wells Fargo Bank, N.A. and Zions Bancorporation and subsequently we entered into amendments to the credit agreement on July 1, 2022, June 23, 2023 and November 15, 2023 (collectively, the “Amended ABL Facility”). The Amended ABL Facility provides a $120 million asset-based revolving credit facility, which matures on September 30, 2026, with a springing maturity 91 days prior to the maturity of any outstanding indebtedness with a principal amount in excess of $50 million. The Amended ABL Facility also permits us to request an increase of the facility by up to $30 million, subject to certain conditions.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11</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sz w:val="20"/>
        </w:rPr>
      </w:pPr>
      <w:bookmarkStart w:id="894" w:name="_Hlk84236071"/>
      <w:bookmarkStart w:id="895" w:name="_Hlk84236044"/>
      <w:bookmarkEnd w:id="894"/>
      <w:bookmarkEnd w:id="895"/>
      <w:r>
        <w:rPr>
          <w:rFonts w:ascii="Arial;Helvetica;sans-serif" w:hAnsi="Arial;Helvetica;sans-serif"/>
          <w:sz w:val="20"/>
        </w:rPr>
        <w:t>Commitments under the Amended ABL Facility are comprised of separate U.S. and U.K. revolving credit facility commitments of $85 million and $35 million, respectively. The Amended ABL Facility provides funding based on a borrowing base calculation that includes eligible U.S. and U.K. customer accounts receivable and cash, and provides for a $20 million sub-limit for the issuance of letters of credit. As of June 30, 2024, we had no borrowings under the Amended ABL Facility, and our available borrowing capacity, based on the borrowing base, totaled $95.1 million, net of $3.3 million of letters of credit issued.</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and certain of our U.S. and U.K. subsidiaries are the current borrowers under the Amended ABL Facility, whose obligations under the Amended ABL Facility are guaranteed by those borrowers and certain other U.S. and U.K. subsidiaries, excluding Cal Dive I – Title XI, Inc. (“CDI Title XI”), Helix Offshore Services Limited and certain other enumerated subsidiaries. Other subsidiaries may be added as guarantors of the facility in the future. The Amended ABL Facility is secured by all accounts receivable and designated deposit accounts of the U.S. borrowers and guarantors, and by substantially all of the assets of the U.K. borrowers and guarantors.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U.S. borrowings under the Amended ABL Facility bear interest at the Term SOFR rate (also known as CME Term SOFR as administered by CME Group, Inc.) plus a margin of 1.50% to 2.00% or at a base rate plus a margin of 0.50% to 1.00%. U.K. borrowings under the Amended ABL Facility denominated in U.S. dollars bear interest at the </w:t>
      </w:r>
      <w:r>
        <w:rPr>
          <w:rFonts w:ascii="Arial;Helvetica;sans-serif" w:hAnsi="Arial;Helvetica;sans-serif"/>
          <w:b w:val="false"/>
          <w:i w:val="false"/>
          <w:caps w:val="false"/>
          <w:smallCaps w:val="false"/>
          <w:sz w:val="20"/>
        </w:rPr>
        <w:t>Term SOFR</w:t>
      </w:r>
      <w:r>
        <w:rPr>
          <w:rFonts w:ascii="Arial;Helvetica;sans-serif" w:hAnsi="Arial;Helvetica;sans-serif"/>
          <w:sz w:val="20"/>
        </w:rPr>
        <w:t xml:space="preserve"> </w:t>
      </w:r>
      <w:r>
        <w:rPr>
          <w:rFonts w:ascii="Arial;Helvetica;sans-serif" w:hAnsi="Arial;Helvetica;sans-serif"/>
          <w:b w:val="false"/>
          <w:i w:val="false"/>
          <w:caps w:val="false"/>
          <w:smallCaps w:val="false"/>
          <w:sz w:val="20"/>
        </w:rPr>
        <w:t>rate</w:t>
      </w:r>
      <w:r>
        <w:rPr>
          <w:rFonts w:ascii="Arial;Helvetica;sans-serif" w:hAnsi="Arial;Helvetica;sans-serif"/>
          <w:sz w:val="20"/>
        </w:rPr>
        <w:t xml:space="preserve"> with SOFR adjustment of 0.10% and U.K. borrowings denominated in the British pound bear interest at the SONIA daily rate, each plus a margin of 1.50% to 2.00%. We also pay a commitment fee of 0.375% to 0.50% per annum on the unused portion of the facility.</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Amended ABL Facility includes certain limitations on our ability to incur additional indebtedness, grant liens on assets, pay dividends and make distributions on equity interests, dispose of assets, make investments, repay certain indebtedness, engage in mergers, and other matters, in each case subject to certain exceptions. The Amended ABL Facility contains customary default provisions which, if triggered, could result in acceleration of all amounts then outstanding. The Amended ABL Facility requires us to satisfy and maintain a fixed charge coverage ratio of not less than 1.0 to 1.0 if availability is less than the greater of 10% of the borrowing base or $12 million.</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Amended ABL Facility also (i) limits the amount of permitted debt for the deferred purchase price of property not to exceed $50 million, and (ii) provides for potential ESG-related pricing adjustments based on specific metrics and performance targets determined by us and Bank of America, as agent with respect to the Amended ABL Facility.</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MARAD Debt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In 2005, Helix’s subsidiary CDI – Title XI issued its U.S. Government Guaranteed Ship Financing Bonds, Q4000 Series, to refinance the construction financing originally granted in 2002 of the </w:t>
      </w:r>
      <w:r>
        <w:rPr>
          <w:rFonts w:ascii="Arial;Helvetica;sans-serif" w:hAnsi="Arial;Helvetica;sans-serif"/>
          <w:i/>
          <w:sz w:val="20"/>
        </w:rPr>
        <w:t>Q4000</w:t>
      </w:r>
      <w:r>
        <w:rPr>
          <w:rFonts w:ascii="Arial;Helvetica;sans-serif" w:hAnsi="Arial;Helvetica;sans-serif"/>
          <w:sz w:val="20"/>
        </w:rPr>
        <w:t xml:space="preserve"> vessel (the “MARAD Debt”). The MARAD Debt is guaranteed by the U.S. government pursuant to Title XI of the Merchant Marine Act of 1936, administered by the Maritime Administration (“MARAD”). The obligation of CDI Title XI to reimburse MARAD in the event CDI Title XI fails to repay the MARAD Debt is collateralized by the </w:t>
      </w:r>
      <w:r>
        <w:rPr>
          <w:rFonts w:ascii="Arial;Helvetica;sans-serif" w:hAnsi="Arial;Helvetica;sans-serif"/>
          <w:i/>
          <w:sz w:val="20"/>
        </w:rPr>
        <w:t>Q4000</w:t>
      </w:r>
      <w:r>
        <w:rPr>
          <w:rFonts w:ascii="Arial;Helvetica;sans-serif" w:hAnsi="Arial;Helvetica;sans-serif"/>
          <w:sz w:val="20"/>
        </w:rPr>
        <w:t xml:space="preserve"> and is guaranteed 50% by us. In addition, we have agreed to bareboat charter the </w:t>
      </w:r>
      <w:r>
        <w:rPr>
          <w:rFonts w:ascii="Arial;Helvetica;sans-serif" w:hAnsi="Arial;Helvetica;sans-serif"/>
          <w:i/>
          <w:sz w:val="20"/>
        </w:rPr>
        <w:t>Q4000</w:t>
      </w:r>
      <w:r>
        <w:rPr>
          <w:rFonts w:ascii="Arial;Helvetica;sans-serif" w:hAnsi="Arial;Helvetica;sans-serif"/>
          <w:sz w:val="20"/>
        </w:rPr>
        <w:t xml:space="preserve"> from CDI Title XI for so long as the MARAD Debt remains outstanding. The MARAD Debt is payable in equal semi-annual installments through February 2027 and bears interest at a rate of 4.93%. We believe the agreements relating to the bonds and the terms and conditions of our obligations to MARAD in respect of the MARAD Debt were typical for U.S. government-guaranteed ship financing transactions when they were entered into, including customary restrictions on incurring additional liens on the </w:t>
      </w:r>
      <w:r>
        <w:rPr>
          <w:rFonts w:ascii="Arial;Helvetica;sans-serif" w:hAnsi="Arial;Helvetica;sans-serif"/>
          <w:i/>
          <w:sz w:val="20"/>
        </w:rPr>
        <w:t>Q4000</w:t>
      </w:r>
      <w:r>
        <w:rPr>
          <w:rFonts w:ascii="Arial;Helvetica;sans-serif" w:hAnsi="Arial;Helvetica;sans-serif"/>
          <w:sz w:val="20"/>
        </w:rPr>
        <w:t xml:space="preserve"> and trading restrictions with respect to the vessel as well as working capital requirements.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Senior Notes Due 2029 (“2029 Notes”)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On December 1, 2023, we issued $300 million aggregate principal amount of the 2029 Notes. The net proceeds from the issuance of the 2029 Notes were approximately $291.1 million, after deducting the purchasers’ discount and debt issuance costs. We used cash proceeds from the offering to retire the Convertible Senior Notes due 2026 (the “2026 Notes”). See details regarding the 2026 Notes below.</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2029 Notes bear interest at a coupon interest rate of 9.75% per annum payable semi-annually in arrears on March 1 and September 1 of each year, beginning on March 1, 2024. The 2029 Notes mature on March 1, 2029 unless earlier redeemed or repurchased by us.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12</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Arial;Helvetica;sans-serif" w:hAnsi="Arial;Helvetica;sans-serif"/>
          <w:sz w:val="20"/>
        </w:rPr>
      </w:pPr>
      <w:bookmarkStart w:id="896" w:name="Tc_rRtdLCj6K0yT849zSiu1mA_5_0"/>
      <w:bookmarkStart w:id="897" w:name="Tc_SencCqwvaUi7vQmka1q8hQ_4_0"/>
      <w:bookmarkStart w:id="898" w:name="Tc_IsY9ngNd2E6dRrnP2k1djA_3_0"/>
      <w:bookmarkStart w:id="899" w:name="Tc_xovA3cSaJEGg7ti2ctIb0A_2_2"/>
      <w:bookmarkStart w:id="900" w:name="Tc_MZggNSd3h0iQF04-lNoMcQ_2_0"/>
      <w:bookmarkStart w:id="901" w:name="Tc_k3C4oJBj0E-_z1nVuTFSOw_1_2"/>
      <w:bookmarkStart w:id="902" w:name="_d87b7b94_7049_45ac_b9d5_4237b123b252"/>
      <w:bookmarkEnd w:id="896"/>
      <w:bookmarkEnd w:id="897"/>
      <w:bookmarkEnd w:id="898"/>
      <w:bookmarkEnd w:id="899"/>
      <w:bookmarkEnd w:id="900"/>
      <w:bookmarkEnd w:id="901"/>
      <w:bookmarkEnd w:id="902"/>
      <w:r>
        <w:rPr>
          <w:rFonts w:ascii="Arial;Helvetica;sans-serif" w:hAnsi="Arial;Helvetica;sans-serif"/>
          <w:sz w:val="20"/>
        </w:rPr>
        <w:t>Prior to March 1, 2026, we may, at our option, redeem the 2029 Notes, in whole or in part, at a price equal to 100% of the aggregate principal amount of the notes to be redeemed, plus a make-whole premium and accrued and unpaid interest, if any, to, but excluding, the redemption date. On or after March 1, 2026, we may, at our option, redeem the 2029 Notes, in whole or in part, at the redemption prices (expressed as percentages of the principal amount of the notes to be redeemed) set forth below, plus accrued and unpaid interest, if any, to, but excluding, the redemption date. Prior to March 1, 2026, following certain equity offerings we may, at our option, on any one or more occasions, redeem up to 40% of the 2029 Notes at a price equal to 109.750% of the aggregate principal amount of the notes to be redeemed, plus accrued and unpaid interest, if any, to, but excluding, the redemption date, in an amount not exceeding the proceeds of such equity offerings.</w:t>
      </w:r>
    </w:p>
    <w:p>
      <w:pPr>
        <w:pStyle w:val="TextBody"/>
        <w:bidi w:val="0"/>
        <w:spacing w:before="0" w:after="240"/>
        <w:ind w:left="0" w:right="0" w:hanging="0"/>
        <w:jc w:val="left"/>
        <w:rPr/>
      </w:pPr>
      <w:r>
        <w:rPr/>
        <w:t>​</w:t>
      </w:r>
    </w:p>
    <w:tbl>
      <w:tblPr>
        <w:tblW w:w="3403" w:type="dxa"/>
        <w:jc w:val="left"/>
        <w:tblInd w:w="0" w:type="dxa"/>
        <w:tblLayout w:type="fixed"/>
        <w:tblCellMar>
          <w:top w:w="0" w:type="dxa"/>
          <w:left w:w="0" w:type="dxa"/>
          <w:bottom w:w="0" w:type="dxa"/>
          <w:right w:w="0" w:type="dxa"/>
        </w:tblCellMar>
      </w:tblPr>
      <w:tblGrid>
        <w:gridCol w:w="1801"/>
        <w:gridCol w:w="326"/>
        <w:gridCol w:w="1276"/>
      </w:tblGrid>
      <w:tr>
        <w:trPr/>
        <w:tc>
          <w:tcPr>
            <w:tcW w:w="18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07010" cy="175260"/>
                      <wp:effectExtent l="0" t="0" r="0" b="0"/>
                      <wp:wrapNone/>
                      <wp:docPr id="151" name="Frame1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810260" cy="175260"/>
                      <wp:effectExtent l="0" t="0" r="0" b="0"/>
                      <wp:wrapNone/>
                      <wp:docPr id="152" name="Frame151"/>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76" w:type="dxa"/>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Redemption</w:t>
            </w:r>
          </w:p>
        </w:tc>
      </w:tr>
      <w:tr>
        <w:trPr/>
        <w:tc>
          <w:tcPr>
            <w:tcW w:w="180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Year</w:t>
            </w:r>
          </w:p>
        </w:tc>
        <w:tc>
          <w:tcPr>
            <w:tcW w:w="326" w:type="dxa"/>
            <w:tcBorders/>
            <w:vAlign w:val="center"/>
          </w:tcPr>
          <w:p>
            <w:pPr>
              <w:pStyle w:val="TableContents"/>
              <w:bidi w:val="0"/>
              <w:spacing w:before="0" w:after="1"/>
              <w:ind w:left="0" w:right="0" w:hanging="0"/>
              <w:jc w:val="left"/>
              <w:rPr/>
            </w:pPr>
            <w:r>
              <w:rPr/>
              <w:t>    </w:t>
            </w:r>
          </w:p>
        </w:tc>
        <w:tc>
          <w:tcPr>
            <w:tcW w:w="127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Price</w:t>
            </w:r>
          </w:p>
        </w:tc>
      </w:tr>
      <w:tr>
        <w:trPr/>
        <w:tc>
          <w:tcPr>
            <w:tcW w:w="180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2026</w:t>
            </w:r>
          </w:p>
        </w:tc>
        <w:tc>
          <w:tcPr>
            <w:tcW w:w="326" w:type="dxa"/>
            <w:tcBorders/>
            <w:shd w:fill="CCEEFF" w:val="clear"/>
            <w:vAlign w:val="center"/>
          </w:tcPr>
          <w:p>
            <w:pPr>
              <w:pStyle w:val="TableContents"/>
              <w:bidi w:val="0"/>
              <w:spacing w:before="0" w:after="1"/>
              <w:ind w:left="0" w:right="0" w:hanging="0"/>
              <w:jc w:val="left"/>
              <w:rPr/>
            </w:pPr>
            <w:r>
              <w:rPr/>
              <w:t>​</w:t>
            </w:r>
          </w:p>
        </w:tc>
        <w:tc>
          <w:tcPr>
            <w:tcW w:w="1276" w:type="dxa"/>
            <w:tcBorders/>
            <w:shd w:fill="CCEEFF" w:val="cle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104.875%</w:t>
            </w:r>
          </w:p>
        </w:tc>
      </w:tr>
      <w:tr>
        <w:trPr/>
        <w:tc>
          <w:tcPr>
            <w:tcW w:w="180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2027</w:t>
            </w:r>
          </w:p>
        </w:tc>
        <w:tc>
          <w:tcPr>
            <w:tcW w:w="326" w:type="dxa"/>
            <w:tcBorders/>
            <w:vAlign w:val="center"/>
          </w:tcPr>
          <w:p>
            <w:pPr>
              <w:pStyle w:val="TableContents"/>
              <w:bidi w:val="0"/>
              <w:spacing w:before="0" w:after="1"/>
              <w:ind w:left="0" w:right="0" w:hanging="0"/>
              <w:jc w:val="left"/>
              <w:rPr/>
            </w:pPr>
            <w:r>
              <w:rPr/>
              <w:t>​</w:t>
            </w:r>
          </w:p>
        </w:tc>
        <w:tc>
          <w:tcPr>
            <w:tcW w:w="1276" w:type="dxa"/>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102.438%</w:t>
            </w:r>
          </w:p>
        </w:tc>
      </w:tr>
      <w:tr>
        <w:trPr/>
        <w:tc>
          <w:tcPr>
            <w:tcW w:w="180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2028 and thereafter</w:t>
            </w:r>
          </w:p>
        </w:tc>
        <w:tc>
          <w:tcPr>
            <w:tcW w:w="326" w:type="dxa"/>
            <w:tcBorders/>
            <w:shd w:fill="CCEEFF" w:val="clear"/>
            <w:vAlign w:val="center"/>
          </w:tcPr>
          <w:p>
            <w:pPr>
              <w:pStyle w:val="TableContents"/>
              <w:bidi w:val="0"/>
              <w:spacing w:before="0" w:after="1"/>
              <w:ind w:left="0" w:right="0" w:hanging="0"/>
              <w:jc w:val="left"/>
              <w:rPr/>
            </w:pPr>
            <w:r>
              <w:rPr/>
              <w:t>​</w:t>
            </w:r>
          </w:p>
        </w:tc>
        <w:tc>
          <w:tcPr>
            <w:tcW w:w="1276" w:type="dxa"/>
            <w:tcBorders/>
            <w:shd w:fill="CCEEFF" w:val="cle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100.000%</w:t>
            </w:r>
          </w:p>
        </w:tc>
      </w:tr>
    </w:tbl>
    <w:p>
      <w:pPr>
        <w:pStyle w:val="TextBody"/>
        <w:bidi w:val="0"/>
        <w:spacing w:before="0" w:after="240"/>
        <w:ind w:left="0" w:right="0" w:hanging="0"/>
        <w:jc w:val="left"/>
        <w:rPr/>
      </w:pPr>
      <w:r>
        <w:rPr/>
        <w: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Upon the occurrence of a Change of Control Triggering Event, as defined in the indenture governing the 2029 Notes, we may be required to make an offer to repurchase all of the notes then outstanding at a price equal to 101% of the principal amount thereof, plus accrued and unpaid interest, if any, to, but not including, the repurchase date.</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indenture governing the 2029 Notes contains customary terms and covenants, including limitations on additional indebtedness, restricted payments, liens, asset sales, transactions with affiliates, mergers and consolidations, designation of unrestricted subsidiaries, and dividend and other restrictions affecting restricted subsidiaries.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2029 Notes are guaranteed on a senior unsecured basis by the subsidiaries that guarantee the Amended ABL Facility, as well as certain future subsidiaries that may guarantee certain of our indebtedness, including the Amended ABL Facility. The 2029 Notes are junior in right of payment to all our existing and future secured indebtedness and obligations and rank equally in right of payment with all our existing and future senior unsecured indebtedness. The 2029 Notes rank senior in right of payment to any of our future subordinated indebtedness and are fully and unconditionally guaranteed by the guarantors described above on a senior basis.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2026 Notes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During December 2023 and the first quarter 2024, we retired the 2026 Notes through various transactions using proceeds from the 2029 Notes as well as the issuance of our common stock.</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In December 2023, we entered into privately negotiated agreements with certain holders of the 2026 Notes to repurchase $159.8 million aggregate principal amount of the 2026 Notes (the “2026 Notes Repurchases”) for 1.5 million shares of our common stock and aggregate cash payments of $229.7 million, plus accrued and unpaid cash interest of $3.8 million. We recognized pre-tax inducement charges of $37.4 million for the 2026 Notes Repurchases in the fourth quarter 2023, representing the total settlement value in excess of the total conversion value of the 2026 Notes Repurchases when the final negotiated offers were accepted. The conversion value paid in excess of the carrying amount of the 2026 Notes Repurchases is reflected in “Common stock” in the shareholders’ equity section of the accompanying condensed consolidated balance sheets.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In December 2023, $0.2 million aggregate principal amount of the 2026 Notes was tendered for conversion. We settled the conversions for $0.3 million cash in March 2024. The conversion value paid in excess of the $0.2 million carrying amount of the 2026 Notes that were tentered for conversion is reflected in “Common stock” in the shareholders’ equity section of the accompanying condensed consolidated balance sheet.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13</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sz w:val="20"/>
        </w:rPr>
      </w:pPr>
      <w:bookmarkStart w:id="903" w:name="Tc_zO23Tl_BZkqVxrQuGmXRhg_6_11"/>
      <w:bookmarkStart w:id="904" w:name="Tc_AR28XEN6IE2W6rNq00EhlQ_6_8"/>
      <w:bookmarkStart w:id="905" w:name="Tc_jPxpZwMn4kK2FW_5h4GILg_6_5"/>
      <w:bookmarkStart w:id="906" w:name="Tc_ayy9KozvFUaNO5KwoYEoYg_6_2"/>
      <w:bookmarkStart w:id="907" w:name="Tc_hqRDH6PSc0ynZDeYhjzbZQ_6_0"/>
      <w:bookmarkStart w:id="908" w:name="Tc_iR0Kt6xIik2OUd0f4qcgDw_5_0"/>
      <w:bookmarkStart w:id="909" w:name="Tc_s_-rBzQgeUqPZfCAw3Kzmw_4_11"/>
      <w:bookmarkStart w:id="910" w:name="Tc_m9iRCZtiV0mWgSQeHrVbTA_4_8"/>
      <w:bookmarkStart w:id="911" w:name="Tc_zGt_PAx1c02VNOq2KKoQ6g_4_5"/>
      <w:bookmarkStart w:id="912" w:name="Tc_0buEBQk4MUOEecN4YlyqZg_4_2"/>
      <w:bookmarkStart w:id="913" w:name="Tc_fhzdZCgT8EOa8KJsBtD-og_4_0"/>
      <w:bookmarkStart w:id="914" w:name="Tc_o5yjJTwxEkObzNSW5p_SrQ_3_11"/>
      <w:bookmarkStart w:id="915" w:name="Tc_ms0IVhPA9ECrnoeUu98c3g_3_8"/>
      <w:bookmarkStart w:id="916" w:name="Tc_dGkli_4CC0CYzfbgksQS_g_3_5"/>
      <w:bookmarkStart w:id="917" w:name="Tc_Sch1I_PAdUSp_0s5VVs9Kg_3_2"/>
      <w:bookmarkStart w:id="918" w:name="Tc_1WR4vfZZMkqYQpg-DmBBYA_2_8"/>
      <w:bookmarkStart w:id="919" w:name="Tc_lu9NyRShjk2px_YMJsqBOw_2_2"/>
      <w:bookmarkStart w:id="920" w:name="Tc_Gnqj4UGdBkSWPYqKQobSrw_1_8"/>
      <w:bookmarkStart w:id="921" w:name="Tc_duWggYREtEu-6QwkFmaCeg_1_2"/>
      <w:bookmarkStart w:id="922" w:name="_f9ae9937_1ce9_47cb_b736_1b6516d33057"/>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r>
        <w:rPr>
          <w:rFonts w:ascii="Arial;Helvetica;sans-serif" w:hAnsi="Arial;Helvetica;sans-serif"/>
          <w:sz w:val="20"/>
        </w:rPr>
        <w:t>In January 2024, we issued a notice for the redemption of the remaining $40.0 million aggregate principal amount of the 2026 Notes to be settled in March 2024 (the “2026 Notes Redemptions”). The redemption price consisted of the principal amount and the make-whole premium, plus accrued and unpaid interest. Our redemption notice enabled holders of $39.7 million aggregate principal amount of the 2026 Notes to tender their notes for conversion prior to the redemption date, with the remaining $0.3 million aggregate principal amount of the notes redeemed. We settled both the conversions and redemptions for an aggregate $60.2 million cash in March 2024 and recognized pre-tax losses of $20.9 million. These losses are reflected in “Losses related to convertible senior notes” in the accompanying condensed consolidated statement of operations.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2026 Notes had a coupon interest rate of 6.75% per annum and an effective interest rate of 7.6%. For the six-month period ended June 30, 2024, total interest expense related to the 2026 Notes was $0.4 million with coupon interest expense of $0.3 million and the amortization of debt issuance costs of $0.1 million. For the three- and six-month periods ended June 30, 2023, total interest expense related to the 2026 Notes was $3.7 million and $7.4 million, respectively, with coupon interest expense of $3.4 million and $6.8 million, respectively, and the amortization of debt issuance costs of $0.3 million and $0.6 million, respectively.</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2026 Capped Calls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In connection with the 2026 Notes offering, we had entered into capped call transactions (the “2026 Capped Calls”) with three separate counterparties to hedge the dilution risk of the 2026 Notes. Concurrently with the 2026 Notes Repurchases in December 2023, we terminated a proportionate amount of the 2026 Capped Calls and received $15.6 million in cash, recognizing an increase to “Common stock” of $14.2 million and a $1.4 million gain. Concurrent with the settlement of the 2026 Notes Redemptions in March 2024, we terminated the remaining 2026 Capped Calls and received $4.4 million in cash, recognizing an increase to “Common stock” in the shareholders’ equity section of the accompanying condensed consolidated balance sheet.</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Other</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In accordance with the Amended ABL Facility, the MARAD Debt and the 2029 Notes, we are required to comply with certain covenants, including minimum liquidity and a springing fixed charge coverage ratio (applicable under certain conditions that are currently not applicable) with respect to the Amended ABL Facility and the maintenance of net worth, working capital and debt-to-equity requirements with respect to the MARAD Debt. As of June 30, 2024, we were in compliance with these covenants.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Convertible Senior Notes due 2023 (the “2023 Notes”) matured on September 15, 2023. Upon maturity of the 2023 Notes, we paid $29.6 million in cash to settle the conversion of $29.2 million aggregate principal amount of the notes, plus accrued and unpaid interest. We recorded the conversion value in excess of such principal amount converted to “Common stock” in the accompanying condensed consolidated balance sheets. Notes representing the remaining $0.8 million aggregate principal amount of the 2023 Notes were redeemed at par, plus accrued and unpaid interest. The 2023 Notes had a coupon interest rate of 4.125% per annum and an effective interest rate of 4.8%. For the three- and six-month periods ended June 30, 2023, total interest expense related to the 2023 Notes was $0.3 million and $0.7 million, respectively, primarily from coupon interest expense.</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details the components of our net interest expense (in thousands):</w:t>
      </w:r>
    </w:p>
    <w:p>
      <w:pPr>
        <w:pStyle w:val="TextBody"/>
        <w:bidi w:val="0"/>
        <w:spacing w:before="0" w:after="240"/>
        <w:ind w:left="0" w:right="0" w:firstLine="720"/>
        <w:jc w:val="left"/>
        <w:rPr/>
      </w:pPr>
      <w:r>
        <w:rPr/>
        <w:t>​</w:t>
      </w:r>
    </w:p>
    <w:tbl>
      <w:tblPr>
        <w:tblW w:w="6877" w:type="dxa"/>
        <w:jc w:val="left"/>
        <w:tblInd w:w="0" w:type="dxa"/>
        <w:tblLayout w:type="fixed"/>
        <w:tblCellMar>
          <w:top w:w="0" w:type="dxa"/>
          <w:left w:w="0" w:type="dxa"/>
          <w:bottom w:w="0" w:type="dxa"/>
          <w:right w:w="0" w:type="dxa"/>
        </w:tblCellMar>
      </w:tblPr>
      <w:tblGrid>
        <w:gridCol w:w="1921"/>
        <w:gridCol w:w="326"/>
        <w:gridCol w:w="217"/>
        <w:gridCol w:w="727"/>
        <w:gridCol w:w="335"/>
        <w:gridCol w:w="217"/>
        <w:gridCol w:w="603"/>
        <w:gridCol w:w="326"/>
        <w:gridCol w:w="211"/>
        <w:gridCol w:w="706"/>
        <w:gridCol w:w="326"/>
        <w:gridCol w:w="211"/>
        <w:gridCol w:w="751"/>
      </w:tblGrid>
      <w:tr>
        <w:trPr/>
        <w:tc>
          <w:tcPr>
            <w:tcW w:w="19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37795" cy="175260"/>
                      <wp:effectExtent l="0" t="0" r="0" b="0"/>
                      <wp:wrapNone/>
                      <wp:docPr id="153" name="Frame152"/>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461645" cy="175260"/>
                      <wp:effectExtent l="0" t="0" r="0" b="0"/>
                      <wp:wrapNone/>
                      <wp:docPr id="154" name="Frame153"/>
                      <a:graphic xmlns:a="http://schemas.openxmlformats.org/drawingml/2006/main">
                        <a:graphicData uri="http://schemas.microsoft.com/office/word/2010/wordprocessingShape">
                          <wps:wsp>
                            <wps:cNvSpPr txBox="1"/>
                            <wps:spPr>
                              <a:xfrm>
                                <a:off x="0" y="0"/>
                                <a:ext cx="461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2725" cy="175260"/>
                      <wp:effectExtent l="0" t="0" r="0" b="0"/>
                      <wp:wrapNone/>
                      <wp:docPr id="155" name="Frame154"/>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37795" cy="175260"/>
                      <wp:effectExtent l="0" t="0" r="0" b="0"/>
                      <wp:wrapNone/>
                      <wp:docPr id="156" name="Frame155"/>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382905" cy="175260"/>
                      <wp:effectExtent l="0" t="0" r="0" b="0"/>
                      <wp:wrapNone/>
                      <wp:docPr id="157" name="Frame156"/>
                      <a:graphic xmlns:a="http://schemas.openxmlformats.org/drawingml/2006/main">
                        <a:graphicData uri="http://schemas.microsoft.com/office/word/2010/wordprocessingShape">
                          <wps:wsp>
                            <wps:cNvSpPr txBox="1"/>
                            <wps:spPr>
                              <a:xfrm>
                                <a:off x="0" y="0"/>
                                <a:ext cx="382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7010" cy="175260"/>
                      <wp:effectExtent l="0" t="0" r="0" b="0"/>
                      <wp:wrapNone/>
                      <wp:docPr id="158" name="Frame1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33985" cy="175260"/>
                      <wp:effectExtent l="0" t="0" r="0" b="0"/>
                      <wp:wrapNone/>
                      <wp:docPr id="159" name="Frame1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448310" cy="175260"/>
                      <wp:effectExtent l="0" t="0" r="0" b="0"/>
                      <wp:wrapNone/>
                      <wp:docPr id="160" name="Frame159"/>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7010" cy="175260"/>
                      <wp:effectExtent l="0" t="0" r="0" b="0"/>
                      <wp:wrapNone/>
                      <wp:docPr id="161" name="Frame1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33985" cy="175260"/>
                      <wp:effectExtent l="0" t="0" r="0" b="0"/>
                      <wp:wrapNone/>
                      <wp:docPr id="162" name="Frame1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476885" cy="175260"/>
                      <wp:effectExtent l="0" t="0" r="0" b="0"/>
                      <wp:wrapNone/>
                      <wp:docPr id="163" name="Frame162"/>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99"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Three Months Ended </w:t>
            </w:r>
          </w:p>
        </w:tc>
        <w:tc>
          <w:tcPr>
            <w:tcW w:w="326" w:type="dxa"/>
            <w:tcBorders/>
            <w:vAlign w:val="center"/>
          </w:tcPr>
          <w:p>
            <w:pPr>
              <w:pStyle w:val="TableContents"/>
              <w:bidi w:val="0"/>
              <w:spacing w:before="0" w:after="1"/>
              <w:ind w:left="0" w:right="0" w:hanging="0"/>
              <w:jc w:val="center"/>
              <w:rPr/>
            </w:pPr>
            <w:r>
              <w:rPr/>
              <w:t>​</w:t>
            </w:r>
          </w:p>
        </w:tc>
        <w:tc>
          <w:tcPr>
            <w:tcW w:w="2205"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Six Months Ended </w:t>
            </w:r>
          </w:p>
        </w:tc>
      </w:tr>
      <w:tr>
        <w:trPr/>
        <w:tc>
          <w:tcPr>
            <w:tcW w:w="19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9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w:t>
            </w:r>
          </w:p>
        </w:tc>
        <w:tc>
          <w:tcPr>
            <w:tcW w:w="326" w:type="dxa"/>
            <w:tcBorders/>
            <w:vAlign w:val="center"/>
          </w:tcPr>
          <w:p>
            <w:pPr>
              <w:pStyle w:val="TableContents"/>
              <w:bidi w:val="0"/>
              <w:spacing w:before="0" w:after="1"/>
              <w:ind w:left="0" w:right="0" w:hanging="0"/>
              <w:jc w:val="center"/>
              <w:rPr/>
            </w:pPr>
            <w:r>
              <w:rPr/>
              <w:t>​</w:t>
            </w:r>
          </w:p>
        </w:tc>
        <w:tc>
          <w:tcPr>
            <w:tcW w:w="220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w:t>
            </w:r>
          </w:p>
        </w:tc>
      </w:tr>
      <w:tr>
        <w:trPr/>
        <w:tc>
          <w:tcPr>
            <w:tcW w:w="19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4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335" w:type="dxa"/>
            <w:tcBorders/>
            <w:vAlign w:val="center"/>
          </w:tcPr>
          <w:p>
            <w:pPr>
              <w:pStyle w:val="TableContents"/>
              <w:bidi w:val="0"/>
              <w:spacing w:before="0" w:after="1"/>
              <w:ind w:left="0" w:right="0" w:hanging="0"/>
              <w:jc w:val="center"/>
              <w:rPr/>
            </w:pPr>
            <w:r>
              <w:rPr/>
              <w:t>    </w:t>
            </w:r>
          </w:p>
        </w:tc>
        <w:tc>
          <w:tcPr>
            <w:tcW w:w="8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c>
          <w:tcPr>
            <w:tcW w:w="326" w:type="dxa"/>
            <w:tcBorders/>
            <w:vAlign w:val="center"/>
          </w:tcPr>
          <w:p>
            <w:pPr>
              <w:pStyle w:val="TableContents"/>
              <w:bidi w:val="0"/>
              <w:spacing w:before="0" w:after="1"/>
              <w:ind w:left="0" w:right="0" w:hanging="0"/>
              <w:jc w:val="center"/>
              <w:rPr/>
            </w:pPr>
            <w:r>
              <w:rPr/>
              <w:t>    </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326" w:type="dxa"/>
            <w:tcBorders/>
            <w:vAlign w:val="center"/>
          </w:tcPr>
          <w:p>
            <w:pPr>
              <w:pStyle w:val="TableContents"/>
              <w:bidi w:val="0"/>
              <w:spacing w:before="0" w:after="1"/>
              <w:ind w:left="0" w:right="0" w:hanging="0"/>
              <w:jc w:val="center"/>
              <w:rPr/>
            </w:pPr>
            <w:r>
              <w:rPr/>
              <w:t>    </w:t>
            </w:r>
          </w:p>
        </w:tc>
        <w:tc>
          <w:tcPr>
            <w:tcW w:w="9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192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2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8,402</w:t>
            </w:r>
          </w:p>
        </w:tc>
        <w:tc>
          <w:tcPr>
            <w:tcW w:w="335"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4,857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17,180</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9,726</w:t>
            </w:r>
          </w:p>
        </w:tc>
      </w:tr>
      <w:tr>
        <w:trPr/>
        <w:tc>
          <w:tcPr>
            <w:tcW w:w="192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xml:space="preserve">Interest income </w:t>
            </w:r>
          </w:p>
        </w:tc>
        <w:tc>
          <w:tcPr>
            <w:tcW w:w="326"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7"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(2,511)</w:t>
            </w:r>
          </w:p>
        </w:tc>
        <w:tc>
          <w:tcPr>
            <w:tcW w:w="335"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(629)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(5,812)</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(1,311)</w:t>
            </w:r>
          </w:p>
        </w:tc>
      </w:tr>
      <w:tr>
        <w:trPr/>
        <w:tc>
          <w:tcPr>
            <w:tcW w:w="192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2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5,891</w:t>
            </w:r>
          </w:p>
        </w:tc>
        <w:tc>
          <w:tcPr>
            <w:tcW w:w="335" w:type="dxa"/>
            <w:tcBorders/>
            <w:shd w:fill="CCEEFF" w:val="clear"/>
            <w:vAlign w:val="center"/>
          </w:tcPr>
          <w:p>
            <w:pPr>
              <w:pStyle w:val="TableContents"/>
              <w:bidi w:val="0"/>
              <w:spacing w:before="0" w:after="1"/>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4,228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11,368</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8,415</w:t>
            </w:r>
          </w:p>
        </w:tc>
      </w:tr>
    </w:tbl>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14</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Note 6 — Income Taxes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operate in multiple jurisdictions with complex tax laws subject to interpretation and judgment. We believe that our application of such laws and the tax impact thereof are reasonable and fairly presented in our condensed consolidated financial statements.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For the three- and six-month periods ended June 30, 2024, we recognized income tax provision of $14.7 million and $13.0 million, respectively, resulting in effective tax rates of 31.3% and 68.5%, respectively. The effective tax rate for the three-month period ended June 30, 2024 was higher than the U.S. statutory rate primarily due to certain non-deductible expenses and non-creditable foreign income taxes. The effective rate for the six-month period ended June 30, 2024 was higher than the U.S. statutory rate primarily due to the non-deductibility of certain losses associated with the 2026 Notes Redemptions, which was characterized as a discrete event and reported in the first quarter. For the three- and six-month periods ended June 30, 2023, we recognized income tax expense of $3.3 million and $1.3 million, respectively, resulting in effective tax rates of 31.8% and 40.1%, respectively. The effective tax rates for these periods were higher than the U.S. statutory rate primarily due to certain non-deductible expenses and non-creditable foreign income taxes.</w:t>
      </w:r>
    </w:p>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Note 7 — Share Repurchase Programs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In February 2023, our Board of Directors (our “Board”) authorized a share repurchase program to repurchase issued and outstanding shares of our common stock up to $200 million (the “2023 Repurchase Program”). During the six-month period ended June 30, 2024, we repurchased a total of 937,585 shares of our common stock pursuant to the 2023 Repurchase Program for approximately $10.2 million or an average of $10.87 per share.</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2023 Repurchase Program has no set expiration date. Repurchases under the 2023 Repurchase Program have been made through open market purchases in compliance with Rule 10b-18 under the Exchange Act, but may also be made through privately negotiated transactions or plans, instructions or contracts established under Rule 10b5-1 under the Exchange Act. The manner, timing and amount of any purchase will be determined by management at its discretion based on an evaluation of market conditions, stock price, liquidity and other factors. The 2023 Repurchase Program does not obligate us to acquire any particular amount of common stock and may be modified or superseded at any time at our discretion. Any repurchased shares are cancelled.</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15</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bookmarkStart w:id="923" w:name="Tc_ViKJGz1Daku8_l9DJGjHHg_21_17"/>
      <w:bookmarkStart w:id="924" w:name="Tc__FWOZoM5_EefD_DHvC32YQ_21_14"/>
      <w:bookmarkStart w:id="925" w:name="Tc_iFX7W1BmJUyyM3Kgui-yVQ_21_11"/>
      <w:bookmarkStart w:id="926" w:name="Tc_qq5bDtdxBE-_qThE5xplgA_21_8"/>
      <w:bookmarkStart w:id="927" w:name="Tc_1rwEnJn3qUOLZbnvZNZ55Q_21_5"/>
      <w:bookmarkStart w:id="928" w:name="Tc_PtEDLUs4RUK-D1-8-ltaVA_21_2"/>
      <w:bookmarkStart w:id="929" w:name="Tc_4Qaz9LwzzkOQm1puM6W5Cg_21_0"/>
      <w:bookmarkStart w:id="930" w:name="Tc_th8CvqR05kilR7QkElweXw_20_0"/>
      <w:bookmarkStart w:id="931" w:name="Tc_rwSXH254X0q740AUnv8k0w_19_17"/>
      <w:bookmarkStart w:id="932" w:name="Tc_gK0iTTq35U-_KbPidb4vzQ_19_14"/>
      <w:bookmarkStart w:id="933" w:name="Tc_8Q-5NR7q_UyHlZ9BqvhRvQ_19_12"/>
      <w:bookmarkStart w:id="934" w:name="Tc_-QMiqqbFHEW0Ct65SKMJ9Q_19_11"/>
      <w:bookmarkStart w:id="935" w:name="Tc_BfXjU9YL6kmCYKDapDqVWQ_19_8"/>
      <w:bookmarkStart w:id="936" w:name="Tc_sPTLNzJRtkuKG88tm3W5Yg_19_5"/>
      <w:bookmarkStart w:id="937" w:name="Tc_FgU6YN8xG0qQymlKMnZe3A_19_2"/>
      <w:bookmarkStart w:id="938" w:name="Tc_xc7M3mt1ZUG-hMHxQ5VTvw_19_0"/>
      <w:bookmarkStart w:id="939" w:name="Tc_S1OcctIG9kq93Sba3xZa1Q_18_0"/>
      <w:bookmarkStart w:id="940" w:name="Tc_791xgwDMAE-3Hj0_CYb7sg_16_17"/>
      <w:bookmarkStart w:id="941" w:name="Tc_lfRxR_D_lECqPMR4nY7P5A_16_14"/>
      <w:bookmarkStart w:id="942" w:name="Tc_nuwcOyxgPkyhwliTtFzQwA_16_11"/>
      <w:bookmarkStart w:id="943" w:name="Tc_5I6ViVPo1E61iSkoOA3PQw_16_8"/>
      <w:bookmarkStart w:id="944" w:name="Tc_p96-UchSlEqM9yQ70Eo8xQ_16_5"/>
      <w:bookmarkStart w:id="945" w:name="Tc_OqTZaqDExEivY__--t9FVw_16_2"/>
      <w:bookmarkStart w:id="946" w:name="Tc_qfXwQZ9CBkycH7mBTo_a9Q_16_0"/>
      <w:bookmarkStart w:id="947" w:name="Tc_ywiOPRXxHEWepTztjVw16w_15_0"/>
      <w:bookmarkStart w:id="948" w:name="Tc_YqyAWhG41EyaxlodtRc1Jw_14_17"/>
      <w:bookmarkStart w:id="949" w:name="Tc_DEDUAXaaO02dUfKjN5EyKQ_14_14"/>
      <w:bookmarkStart w:id="950" w:name="Tc_8POCchgwl0ys_z4b1fas4g_14_12"/>
      <w:bookmarkStart w:id="951" w:name="Tc_Zk-_kD3jOEOmrc3IlhIXeg_14_11"/>
      <w:bookmarkStart w:id="952" w:name="Tc_CbMsFDktPE6TwBhtb-iRUg_14_8"/>
      <w:bookmarkStart w:id="953" w:name="Tc_1-6vsI0MN0Kt1bTfwS2CMw_14_5"/>
      <w:bookmarkStart w:id="954" w:name="Tc_cEW96cjtNU6AXWB-NYWTEg_14_2"/>
      <w:bookmarkStart w:id="955" w:name="Tc_tPjMTbEHFky8wF0l1L57Rw_14_0"/>
      <w:bookmarkStart w:id="956" w:name="Tc_VL2QqTx0xk-IDRojr3ot6A_13_0"/>
      <w:bookmarkStart w:id="957" w:name="Tc_sZiq59qDi0WB9CJA_4o6WA_11_17"/>
      <w:bookmarkStart w:id="958" w:name="Tc_YcaeTGmtKE-sBvDUyaSP-w_11_14"/>
      <w:bookmarkStart w:id="959" w:name="Tc_rg8oKdBpSUqwGkxuHVzUCQ_11_11"/>
      <w:bookmarkStart w:id="960" w:name="Tc_-0NKaSnt9E2OqMBCZS9SbQ_11_8"/>
      <w:bookmarkStart w:id="961" w:name="Tc_YMPIP7JwFUOXadK3Sx5GbA_11_5"/>
      <w:bookmarkStart w:id="962" w:name="Tc_ZTlYOVetA0aQ8r1VdveJwA_11_2"/>
      <w:bookmarkStart w:id="963" w:name="Tc_5WttjnfEZ0elyg-wp619ow_11_0"/>
      <w:bookmarkStart w:id="964" w:name="Tc_0j5kJFHeuk6ZN-70Z2KUvQ_10_0"/>
      <w:bookmarkStart w:id="965" w:name="Tc_H8jzwRnWAEenEW3_TuNdEA_9_17"/>
      <w:bookmarkStart w:id="966" w:name="Tc_q7HoXYdGHk6jiF_uG63bSw_9_14"/>
      <w:bookmarkStart w:id="967" w:name="Tc_7qyl-xwimka6LHizbvEmIQ_9_12"/>
      <w:bookmarkStart w:id="968" w:name="Tc_2lUrCk9nZkSkXmkB2b1fVA_9_11"/>
      <w:bookmarkStart w:id="969" w:name="Tc_-q1KnAcMCkaJEjEHqHUXEw_9_8"/>
      <w:bookmarkStart w:id="970" w:name="Tc_5jb91xrRoUeiQbah2yrUFw_9_5"/>
      <w:bookmarkStart w:id="971" w:name="Tc_-Dg-F17VBUGYyQMJINMJqw_9_2"/>
      <w:bookmarkStart w:id="972" w:name="Tc_VAXMmIATFEOWQDCoaNuNGQ_9_0"/>
      <w:bookmarkStart w:id="973" w:name="Tc__WDwrF94Kk6J77eI3j42bQ_8_0"/>
      <w:bookmarkStart w:id="974" w:name="Tc_lDOlgMMMDkS8fLqWb6etZA_6_17"/>
      <w:bookmarkStart w:id="975" w:name="Tc_gPI2ax7ic0y-vsNSZGu7xA_6_14"/>
      <w:bookmarkStart w:id="976" w:name="Tc_wiy7ApvlYkuZQZe7qOApZQ_6_11"/>
      <w:bookmarkStart w:id="977" w:name="Tc_vO3LGgjb_U6C3KoVrszCSQ_6_8"/>
      <w:bookmarkStart w:id="978" w:name="Tc_pzyq4l28OkKftL2_hEs61A_6_5"/>
      <w:bookmarkStart w:id="979" w:name="Tc_SoRGmJIrCkmttEXF-ErbIg_6_2"/>
      <w:bookmarkStart w:id="980" w:name="Tc_8U0FaOEjl0WIlQfGPwsAWQ_6_0"/>
      <w:bookmarkStart w:id="981" w:name="Tc_7bki4FJYJk-ezDCyy001EQ_5_0"/>
      <w:bookmarkStart w:id="982" w:name="Tc_EAoiDDy0E0y8Ri8E0rQvgg_4_17"/>
      <w:bookmarkStart w:id="983" w:name="Tc_9GOrPXsMF02OEUkQOeQRuA_4_14"/>
      <w:bookmarkStart w:id="984" w:name="Tc_3EY86iUED0OgCyliVHu_gw_4_12"/>
      <w:bookmarkStart w:id="985" w:name="Tc_KxLSJ4L640mJMBj8LDH9ag_4_11"/>
      <w:bookmarkStart w:id="986" w:name="Tc_5rSlJDJSF0S-fr8Ep_3UnA_4_8"/>
      <w:bookmarkStart w:id="987" w:name="Tc_70uNZ6mDukqA_Vny3aYfIQ_4_5"/>
      <w:bookmarkStart w:id="988" w:name="Tc_LwpBH9Rp90S4lkVq7Z8qpA_4_2"/>
      <w:bookmarkStart w:id="989" w:name="Tc_mZOGq4hid0SIKzyOMI2UHQ_4_0"/>
      <w:bookmarkStart w:id="990" w:name="Tc_z-18gneup0WLdEILJzdbnw_3_0"/>
      <w:bookmarkStart w:id="991" w:name="Tc_Fy7rMafjbEuVWJHW-sHXDw_2_17"/>
      <w:bookmarkStart w:id="992" w:name="Tc_bUVMLR3tq0C4-JuLC5TQKg_2_14"/>
      <w:bookmarkStart w:id="993" w:name="Tc_acqNU507VEyVABeD-p2n3g_2_11"/>
      <w:bookmarkStart w:id="994" w:name="Tc_HXzIrc0r7kaSJOEwjcYODg_2_8"/>
      <w:bookmarkStart w:id="995" w:name="Tc_tTtixf0A_kaDdLk5aXGUNg_2_5"/>
      <w:bookmarkStart w:id="996" w:name="Tc_ZB2M1Voli0CaPBQ-tEfR5g_2_2"/>
      <w:bookmarkStart w:id="997" w:name="Tc_lbSiTct71kKkRRgwPbWxrw_1_17"/>
      <w:bookmarkStart w:id="998" w:name="Tc_70Pllasa_0e0bCPEEzGnMw_1_14"/>
      <w:bookmarkStart w:id="999" w:name="Tc_cDC9WBWNOU6YLkkImncI-g_1_11"/>
      <w:bookmarkStart w:id="1000" w:name="Tc_hKP0MthCmkK1TB0De5EfBQ_1_8"/>
      <w:bookmarkStart w:id="1001" w:name="Tc_1ai0CxfhckKEEfSPd-2RNA_1_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r>
        <w:rPr>
          <w:rFonts w:ascii="Arial;Helvetica;sans-serif" w:hAnsi="Arial;Helvetica;sans-serif"/>
          <w:b/>
          <w:sz w:val="20"/>
        </w:rPr>
        <w:t>Note 8 — Revenue from Contracts with Customers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Disaggregation of Revenue</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service contracts generally contain provisions for specific time, material and equipment charges that are billed in accordance with the terms of such contracts (dayrate contracts) but we occasionally contract on a lump sum basis (lump sum contracts). We record revenues net of taxes collected from customers and remitted to governmental authorities.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Our revenues are primarily derived from short-term and long-term service contracts with customers. Contracts are classified as long-term if all or part of the contract is to be performed over a period extending beyond 12 months from the effective date of the contract. Long-term contracts may include multi-year agreements whereby the commitment for services in any one year may be short in duration. The following table provides information about disaggregated revenue by contract duration (in thousands):</w:t>
      </w:r>
    </w:p>
    <w:p>
      <w:pPr>
        <w:pStyle w:val="TextBody"/>
        <w:bidi w:val="0"/>
        <w:spacing w:before="0" w:after="240"/>
        <w:ind w:left="0" w:right="0" w:firstLine="720"/>
        <w:jc w:val="left"/>
        <w:rPr/>
      </w:pPr>
      <w:r>
        <w:rPr/>
        <w:t>​</w:t>
      </w:r>
    </w:p>
    <w:tbl>
      <w:tblPr>
        <w:tblW w:w="10272" w:type="dxa"/>
        <w:jc w:val="left"/>
        <w:tblInd w:w="0" w:type="dxa"/>
        <w:tblLayout w:type="fixed"/>
        <w:tblCellMar>
          <w:top w:w="0" w:type="dxa"/>
          <w:left w:w="0" w:type="dxa"/>
          <w:bottom w:w="0" w:type="dxa"/>
          <w:right w:w="0" w:type="dxa"/>
        </w:tblCellMar>
      </w:tblPr>
      <w:tblGrid>
        <w:gridCol w:w="1036"/>
        <w:gridCol w:w="326"/>
        <w:gridCol w:w="254"/>
        <w:gridCol w:w="962"/>
        <w:gridCol w:w="326"/>
        <w:gridCol w:w="211"/>
        <w:gridCol w:w="796"/>
        <w:gridCol w:w="326"/>
        <w:gridCol w:w="301"/>
        <w:gridCol w:w="1110"/>
        <w:gridCol w:w="326"/>
        <w:gridCol w:w="266"/>
        <w:gridCol w:w="875"/>
        <w:gridCol w:w="326"/>
        <w:gridCol w:w="302"/>
        <w:gridCol w:w="1079"/>
        <w:gridCol w:w="326"/>
        <w:gridCol w:w="211"/>
        <w:gridCol w:w="913"/>
      </w:tblGrid>
      <w:tr>
        <w:trPr/>
        <w:tc>
          <w:tcPr>
            <w:tcW w:w="10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07010" cy="175260"/>
                      <wp:effectExtent l="0" t="0" r="0" b="0"/>
                      <wp:wrapNone/>
                      <wp:docPr id="164" name="Frame1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61290" cy="175260"/>
                      <wp:effectExtent l="0" t="0" r="0" b="0"/>
                      <wp:wrapNone/>
                      <wp:docPr id="165" name="Frame164"/>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10870" cy="175260"/>
                      <wp:effectExtent l="0" t="0" r="0" b="0"/>
                      <wp:wrapNone/>
                      <wp:docPr id="166" name="Frame165"/>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07010" cy="175260"/>
                      <wp:effectExtent l="0" t="0" r="0" b="0"/>
                      <wp:wrapNone/>
                      <wp:docPr id="167" name="Frame1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33985" cy="175260"/>
                      <wp:effectExtent l="0" t="0" r="0" b="0"/>
                      <wp:wrapNone/>
                      <wp:docPr id="168" name="Frame1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505460" cy="175260"/>
                      <wp:effectExtent l="0" t="0" r="0" b="0"/>
                      <wp:wrapNone/>
                      <wp:docPr id="169" name="Frame16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07010" cy="175260"/>
                      <wp:effectExtent l="0" t="0" r="0" b="0"/>
                      <wp:wrapNone/>
                      <wp:docPr id="170" name="Frame1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91135" cy="175260"/>
                      <wp:effectExtent l="0" t="0" r="0" b="0"/>
                      <wp:wrapNone/>
                      <wp:docPr id="171" name="Frame170"/>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704850" cy="175260"/>
                      <wp:effectExtent l="0" t="0" r="0" b="0"/>
                      <wp:wrapNone/>
                      <wp:docPr id="172" name="Frame171"/>
                      <a:graphic xmlns:a="http://schemas.openxmlformats.org/drawingml/2006/main">
                        <a:graphicData uri="http://schemas.microsoft.com/office/word/2010/wordprocessingShape">
                          <wps:wsp>
                            <wps:cNvSpPr txBox="1"/>
                            <wps:spPr>
                              <a:xfrm>
                                <a:off x="0" y="0"/>
                                <a:ext cx="704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7010" cy="175260"/>
                      <wp:effectExtent l="0" t="0" r="0" b="0"/>
                      <wp:wrapNone/>
                      <wp:docPr id="173" name="Frame1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68910" cy="175260"/>
                      <wp:effectExtent l="0" t="0" r="0" b="0"/>
                      <wp:wrapNone/>
                      <wp:docPr id="174" name="Frame173"/>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555625" cy="175260"/>
                      <wp:effectExtent l="0" t="0" r="0" b="0"/>
                      <wp:wrapNone/>
                      <wp:docPr id="175" name="Frame174"/>
                      <a:graphic xmlns:a="http://schemas.openxmlformats.org/drawingml/2006/main">
                        <a:graphicData uri="http://schemas.microsoft.com/office/word/2010/wordprocessingShape">
                          <wps:wsp>
                            <wps:cNvSpPr txBox="1"/>
                            <wps:spPr>
                              <a:xfrm>
                                <a:off x="0" y="0"/>
                                <a:ext cx="555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7010" cy="175260"/>
                      <wp:effectExtent l="0" t="0" r="0" b="0"/>
                      <wp:wrapNone/>
                      <wp:docPr id="176" name="Frame1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91770" cy="175260"/>
                      <wp:effectExtent l="0" t="0" r="0" b="0"/>
                      <wp:wrapNone/>
                      <wp:docPr id="177" name="Frame176"/>
                      <a:graphic xmlns:a="http://schemas.openxmlformats.org/drawingml/2006/main">
                        <a:graphicData uri="http://schemas.microsoft.com/office/word/2010/wordprocessingShape">
                          <wps:wsp>
                            <wps:cNvSpPr txBox="1"/>
                            <wps:spPr>
                              <a:xfrm>
                                <a:off x="0" y="0"/>
                                <a:ext cx="191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85165" cy="175260"/>
                      <wp:effectExtent l="0" t="0" r="0" b="0"/>
                      <wp:wrapNone/>
                      <wp:docPr id="178" name="Frame177"/>
                      <a:graphic xmlns:a="http://schemas.openxmlformats.org/drawingml/2006/main">
                        <a:graphicData uri="http://schemas.microsoft.com/office/word/2010/wordprocessingShape">
                          <wps:wsp>
                            <wps:cNvSpPr txBox="1"/>
                            <wps:spPr>
                              <a:xfrm>
                                <a:off x="0" y="0"/>
                                <a:ext cx="685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7010" cy="175260"/>
                      <wp:effectExtent l="0" t="0" r="0" b="0"/>
                      <wp:wrapNone/>
                      <wp:docPr id="179" name="Frame1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33985" cy="175260"/>
                      <wp:effectExtent l="0" t="0" r="0" b="0"/>
                      <wp:wrapNone/>
                      <wp:docPr id="180" name="Frame1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579755" cy="175260"/>
                      <wp:effectExtent l="0" t="0" r="0" b="0"/>
                      <wp:wrapNone/>
                      <wp:docPr id="181" name="Frame180"/>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Well</w:t>
            </w:r>
          </w:p>
        </w:tc>
        <w:tc>
          <w:tcPr>
            <w:tcW w:w="326" w:type="dxa"/>
            <w:tcBorders/>
            <w:vAlign w:val="center"/>
          </w:tcPr>
          <w:p>
            <w:pPr>
              <w:pStyle w:val="TableContents"/>
              <w:bidi w:val="0"/>
              <w:spacing w:before="0" w:after="1"/>
              <w:ind w:left="0" w:right="0" w:hanging="0"/>
              <w:jc w:val="center"/>
              <w:rPr/>
            </w:pPr>
            <w:r>
              <w:rPr/>
              <w:t>​</w:t>
            </w:r>
          </w:p>
        </w:tc>
        <w:tc>
          <w:tcPr>
            <w:tcW w:w="1007"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411"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Shallow Water</w:t>
            </w:r>
          </w:p>
        </w:tc>
        <w:tc>
          <w:tcPr>
            <w:tcW w:w="326" w:type="dxa"/>
            <w:tcBorders/>
            <w:vAlign w:val="center"/>
          </w:tcPr>
          <w:p>
            <w:pPr>
              <w:pStyle w:val="TableContents"/>
              <w:bidi w:val="0"/>
              <w:spacing w:before="0" w:after="1"/>
              <w:ind w:left="0" w:right="0" w:hanging="0"/>
              <w:jc w:val="center"/>
              <w:rPr/>
            </w:pPr>
            <w:r>
              <w:rPr/>
              <w:t>​</w:t>
            </w:r>
          </w:p>
        </w:tc>
        <w:tc>
          <w:tcPr>
            <w:tcW w:w="1141"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Production</w:t>
            </w:r>
          </w:p>
        </w:tc>
        <w:tc>
          <w:tcPr>
            <w:tcW w:w="326" w:type="dxa"/>
            <w:tcBorders/>
            <w:vAlign w:val="center"/>
          </w:tcPr>
          <w:p>
            <w:pPr>
              <w:pStyle w:val="TableContents"/>
              <w:bidi w:val="0"/>
              <w:spacing w:before="0" w:after="1"/>
              <w:ind w:left="0" w:right="0" w:hanging="0"/>
              <w:jc w:val="center"/>
              <w:rPr/>
            </w:pPr>
            <w:r>
              <w:rPr/>
              <w:t>​</w:t>
            </w:r>
          </w:p>
        </w:tc>
        <w:tc>
          <w:tcPr>
            <w:tcW w:w="1381"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Intercompany</w:t>
            </w:r>
          </w:p>
        </w:tc>
        <w:tc>
          <w:tcPr>
            <w:tcW w:w="326" w:type="dxa"/>
            <w:tcBorders/>
            <w:vAlign w:val="center"/>
          </w:tcPr>
          <w:p>
            <w:pPr>
              <w:pStyle w:val="TableContents"/>
              <w:bidi w:val="0"/>
              <w:spacing w:before="0" w:after="1"/>
              <w:ind w:left="0" w:right="0" w:hanging="0"/>
              <w:jc w:val="center"/>
              <w:rPr/>
            </w:pPr>
            <w:r>
              <w:rPr/>
              <w:t>​</w:t>
            </w:r>
          </w:p>
        </w:tc>
        <w:tc>
          <w:tcPr>
            <w:tcW w:w="1124"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Total</w:t>
            </w:r>
          </w:p>
        </w:tc>
      </w:tr>
      <w:tr>
        <w:trPr/>
        <w:tc>
          <w:tcPr>
            <w:tcW w:w="10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Intervention</w:t>
            </w:r>
          </w:p>
        </w:tc>
        <w:tc>
          <w:tcPr>
            <w:tcW w:w="326" w:type="dxa"/>
            <w:tcBorders/>
            <w:vAlign w:val="center"/>
          </w:tcPr>
          <w:p>
            <w:pPr>
              <w:pStyle w:val="TableContents"/>
              <w:bidi w:val="0"/>
              <w:spacing w:before="0" w:after="1"/>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Robotics</w:t>
            </w:r>
          </w:p>
        </w:tc>
        <w:tc>
          <w:tcPr>
            <w:tcW w:w="326" w:type="dxa"/>
            <w:tcBorders/>
            <w:vAlign w:val="center"/>
          </w:tcPr>
          <w:p>
            <w:pPr>
              <w:pStyle w:val="TableContents"/>
              <w:bidi w:val="0"/>
              <w:spacing w:before="0" w:after="1"/>
              <w:ind w:left="0" w:right="0" w:hanging="0"/>
              <w:jc w:val="center"/>
              <w:rPr/>
            </w:pPr>
            <w:r>
              <w:rPr/>
              <w:t>    </w:t>
            </w:r>
          </w:p>
        </w:tc>
        <w:tc>
          <w:tcPr>
            <w:tcW w:w="14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Abandonment</w:t>
            </w:r>
          </w:p>
        </w:tc>
        <w:tc>
          <w:tcPr>
            <w:tcW w:w="326" w:type="dxa"/>
            <w:tcBorders/>
            <w:vAlign w:val="center"/>
          </w:tcPr>
          <w:p>
            <w:pPr>
              <w:pStyle w:val="TableContents"/>
              <w:bidi w:val="0"/>
              <w:spacing w:before="0" w:after="1"/>
              <w:ind w:left="0" w:right="0" w:hanging="0"/>
              <w:jc w:val="center"/>
              <w:rPr/>
            </w:pPr>
            <w:r>
              <w:rPr/>
              <w:t>    </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Facilities</w:t>
            </w:r>
          </w:p>
        </w:tc>
        <w:tc>
          <w:tcPr>
            <w:tcW w:w="326" w:type="dxa"/>
            <w:tcBorders/>
            <w:vAlign w:val="center"/>
          </w:tcPr>
          <w:p>
            <w:pPr>
              <w:pStyle w:val="TableContents"/>
              <w:bidi w:val="0"/>
              <w:spacing w:before="0" w:after="1"/>
              <w:ind w:left="0" w:right="0" w:hanging="0"/>
              <w:jc w:val="center"/>
              <w:rPr/>
            </w:pPr>
            <w:r>
              <w:rPr/>
              <w:t>    </w:t>
            </w:r>
          </w:p>
        </w:tc>
        <w:tc>
          <w:tcPr>
            <w:tcW w:w="13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Eliminations</w:t>
            </w:r>
          </w:p>
        </w:tc>
        <w:tc>
          <w:tcPr>
            <w:tcW w:w="326" w:type="dxa"/>
            <w:tcBorders/>
            <w:vAlign w:val="center"/>
          </w:tcPr>
          <w:p>
            <w:pPr>
              <w:pStyle w:val="TableContents"/>
              <w:bidi w:val="0"/>
              <w:spacing w:before="0" w:after="1"/>
              <w:ind w:left="0" w:right="0" w:hanging="0"/>
              <w:jc w:val="center"/>
              <w:rPr/>
            </w:pPr>
            <w:r>
              <w:rPr/>
              <w:t>    </w:t>
            </w:r>
          </w:p>
        </w:tc>
        <w:tc>
          <w:tcPr>
            <w:tcW w:w="112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Revenue</w:t>
            </w:r>
          </w:p>
        </w:tc>
      </w:tr>
      <w:tr>
        <w:trPr/>
        <w:tc>
          <w:tcPr>
            <w:tcW w:w="2578" w:type="dxa"/>
            <w:gridSpan w:val="4"/>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Three months ended June 30, 2024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01" w:type="dxa"/>
            <w:tcBorders/>
            <w:shd w:fill="CCEEFF" w:val="clear"/>
            <w:vAlign w:val="center"/>
          </w:tcPr>
          <w:p>
            <w:pPr>
              <w:pStyle w:val="TableContents"/>
              <w:bidi w:val="0"/>
              <w:spacing w:before="0" w:after="1"/>
              <w:ind w:left="0" w:right="0" w:hanging="0"/>
              <w:jc w:val="left"/>
              <w:rPr/>
            </w:pPr>
            <w:r>
              <w:rPr/>
              <w:t>​</w:t>
            </w:r>
          </w:p>
        </w:tc>
        <w:tc>
          <w:tcPr>
            <w:tcW w:w="1110"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66" w:type="dxa"/>
            <w:tcBorders/>
            <w:shd w:fill="CCEEFF" w:val="clear"/>
            <w:vAlign w:val="center"/>
          </w:tcPr>
          <w:p>
            <w:pPr>
              <w:pStyle w:val="TableContents"/>
              <w:bidi w:val="0"/>
              <w:spacing w:before="0" w:after="1"/>
              <w:ind w:left="0" w:right="0" w:hanging="0"/>
              <w:jc w:val="left"/>
              <w:rPr/>
            </w:pPr>
            <w:r>
              <w:rPr/>
              <w:t>​</w:t>
            </w:r>
          </w:p>
        </w:tc>
        <w:tc>
          <w:tcPr>
            <w:tcW w:w="875"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302" w:type="dxa"/>
            <w:tcBorders/>
            <w:shd w:fill="CCEEFF" w:val="clear"/>
            <w:vAlign w:val="center"/>
          </w:tcPr>
          <w:p>
            <w:pPr>
              <w:pStyle w:val="TableContents"/>
              <w:bidi w:val="0"/>
              <w:spacing w:before="0" w:after="1"/>
              <w:ind w:left="0" w:right="0" w:hanging="0"/>
              <w:jc w:val="left"/>
              <w:rPr/>
            </w:pPr>
            <w:r>
              <w:rPr/>
              <w:t>​</w:t>
            </w:r>
          </w:p>
        </w:tc>
        <w:tc>
          <w:tcPr>
            <w:tcW w:w="1079"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pPr>
            <w:r>
              <w:rPr/>
              <w:t>  </w:t>
            </w:r>
          </w:p>
        </w:tc>
      </w:tr>
      <w:tr>
        <w:trPr/>
        <w:tc>
          <w:tcPr>
            <w:tcW w:w="103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Short-term</w:t>
            </w:r>
          </w:p>
        </w:tc>
        <w:tc>
          <w:tcPr>
            <w:tcW w:w="326"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153,152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44,193</w:t>
            </w:r>
          </w:p>
        </w:tc>
        <w:tc>
          <w:tcPr>
            <w:tcW w:w="32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1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42,369</w:t>
            </w:r>
          </w:p>
        </w:tc>
        <w:tc>
          <w:tcPr>
            <w:tcW w:w="3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239,608</w:t>
            </w:r>
          </w:p>
        </w:tc>
      </w:tr>
      <w:tr>
        <w:trPr/>
        <w:tc>
          <w:tcPr>
            <w:tcW w:w="10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Long-term</w:t>
            </w:r>
          </w:p>
        </w:tc>
        <w:tc>
          <w:tcPr>
            <w:tcW w:w="326" w:type="dxa"/>
            <w:tcBorders/>
            <w:shd w:fill="CCEEFF" w:val="clear"/>
            <w:vAlign w:val="center"/>
          </w:tcPr>
          <w:p>
            <w:pPr>
              <w:pStyle w:val="TableContents"/>
              <w:bidi w:val="0"/>
              <w:spacing w:before="0" w:after="1"/>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71,527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37,056</w:t>
            </w:r>
          </w:p>
        </w:tc>
        <w:tc>
          <w:tcPr>
            <w:tcW w:w="326" w:type="dxa"/>
            <w:tcBorders/>
            <w:shd w:fill="CCEEFF" w:val="clear"/>
            <w:vAlign w:val="center"/>
          </w:tcPr>
          <w:p>
            <w:pPr>
              <w:pStyle w:val="TableContents"/>
              <w:bidi w:val="0"/>
              <w:spacing w:before="0" w:after="1"/>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8,472</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25,400</w:t>
            </w:r>
          </w:p>
        </w:tc>
        <w:tc>
          <w:tcPr>
            <w:tcW w:w="326" w:type="dxa"/>
            <w:tcBorders/>
            <w:shd w:fill="CCEEFF" w:val="clear"/>
            <w:vAlign w:val="center"/>
          </w:tcPr>
          <w:p>
            <w:pPr>
              <w:pStyle w:val="TableContents"/>
              <w:bidi w:val="0"/>
              <w:spacing w:before="0" w:after="1"/>
              <w:ind w:left="0" w:right="0" w:hanging="0"/>
              <w:jc w:val="left"/>
              <w:rPr/>
            </w:pPr>
            <w:r>
              <w:rPr/>
              <w:t>​</w:t>
            </w:r>
          </w:p>
        </w:tc>
        <w:tc>
          <w:tcPr>
            <w:tcW w:w="30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(17,266)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125,189</w:t>
            </w:r>
          </w:p>
        </w:tc>
      </w:tr>
      <w:tr>
        <w:trPr/>
        <w:tc>
          <w:tcPr>
            <w:tcW w:w="103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w:t>
            </w:r>
          </w:p>
        </w:tc>
        <w:tc>
          <w:tcPr>
            <w:tcW w:w="326" w:type="dxa"/>
            <w:tcBorders/>
            <w:vAlign w:val="center"/>
          </w:tcPr>
          <w:p>
            <w:pPr>
              <w:pStyle w:val="TableContents"/>
              <w:bidi w:val="0"/>
              <w:spacing w:before="0" w:after="1"/>
              <w:ind w:left="0" w:right="0" w:hanging="0"/>
              <w:jc w:val="left"/>
              <w:rPr/>
            </w:pPr>
            <w:r>
              <w:rPr/>
              <w:t>​</w:t>
            </w:r>
          </w:p>
        </w:tc>
        <w:tc>
          <w:tcPr>
            <w:tcW w:w="254"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2"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224,679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81,249</w:t>
            </w:r>
          </w:p>
        </w:tc>
        <w:tc>
          <w:tcPr>
            <w:tcW w:w="326" w:type="dxa"/>
            <w:tcBorders/>
            <w:vAlign w:val="center"/>
          </w:tcPr>
          <w:p>
            <w:pPr>
              <w:pStyle w:val="TableContents"/>
              <w:bidi w:val="0"/>
              <w:spacing w:before="0" w:after="1"/>
              <w:ind w:left="0" w:right="0" w:hanging="0"/>
              <w:jc w:val="left"/>
              <w:rPr/>
            </w:pPr>
            <w:r>
              <w:rPr/>
              <w:t>​</w:t>
            </w:r>
          </w:p>
        </w:tc>
        <w:tc>
          <w:tcPr>
            <w:tcW w:w="30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10"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50,841</w:t>
            </w:r>
          </w:p>
        </w:tc>
        <w:tc>
          <w:tcPr>
            <w:tcW w:w="326" w:type="dxa"/>
            <w:tcBorders/>
            <w:vAlign w:val="center"/>
          </w:tcPr>
          <w:p>
            <w:pPr>
              <w:pStyle w:val="TableContents"/>
              <w:bidi w:val="0"/>
              <w:spacing w:before="0" w:after="1"/>
              <w:ind w:left="0" w:right="0" w:hanging="0"/>
              <w:jc w:val="left"/>
              <w:rPr/>
            </w:pPr>
            <w:r>
              <w:rPr/>
              <w:t>​</w:t>
            </w:r>
          </w:p>
        </w:tc>
        <w:tc>
          <w:tcPr>
            <w:tcW w:w="266"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75"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25,400</w:t>
            </w:r>
          </w:p>
        </w:tc>
        <w:tc>
          <w:tcPr>
            <w:tcW w:w="326" w:type="dxa"/>
            <w:tcBorders/>
            <w:vAlign w:val="center"/>
          </w:tcPr>
          <w:p>
            <w:pPr>
              <w:pStyle w:val="TableContents"/>
              <w:bidi w:val="0"/>
              <w:spacing w:before="0" w:after="1"/>
              <w:ind w:left="0" w:right="0" w:hanging="0"/>
              <w:jc w:val="left"/>
              <w:rPr/>
            </w:pPr>
            <w:r>
              <w:rPr/>
              <w:t>​</w:t>
            </w:r>
          </w:p>
        </w:tc>
        <w:tc>
          <w:tcPr>
            <w:tcW w:w="302"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9"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(17,372)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364,797</w:t>
            </w:r>
          </w:p>
        </w:tc>
      </w:tr>
      <w:tr>
        <w:trPr/>
        <w:tc>
          <w:tcPr>
            <w:tcW w:w="10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pPr>
            <w:r>
              <w:rPr/>
              <w:t>​</w:t>
            </w:r>
          </w:p>
        </w:tc>
        <w:tc>
          <w:tcPr>
            <w:tcW w:w="96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w:t>
            </w:r>
          </w:p>
        </w:tc>
        <w:tc>
          <w:tcPr>
            <w:tcW w:w="1110"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87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pPr>
            <w:r>
              <w:rPr/>
              <w:t>​</w:t>
            </w:r>
          </w:p>
        </w:tc>
        <w:tc>
          <w:tcPr>
            <w:tcW w:w="107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left"/>
              <w:rPr/>
            </w:pPr>
            <w:r>
              <w:rPr/>
              <w:t>​</w:t>
            </w:r>
          </w:p>
        </w:tc>
      </w:tr>
      <w:tr>
        <w:trPr/>
        <w:tc>
          <w:tcPr>
            <w:tcW w:w="2578" w:type="dxa"/>
            <w:gridSpan w:val="4"/>
            <w:tcBorders/>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Three months ended June 30, 2023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 </w:t>
            </w:r>
          </w:p>
        </w:tc>
        <w:tc>
          <w:tcPr>
            <w:tcW w:w="1110"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 </w:t>
            </w:r>
          </w:p>
        </w:tc>
        <w:tc>
          <w:tcPr>
            <w:tcW w:w="875"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 </w:t>
            </w:r>
          </w:p>
        </w:tc>
        <w:tc>
          <w:tcPr>
            <w:tcW w:w="1079"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3" w:type="dxa"/>
            <w:tcBorders/>
            <w:vAlign w:val="center"/>
          </w:tcPr>
          <w:p>
            <w:pPr>
              <w:pStyle w:val="TableContents"/>
              <w:bidi w:val="0"/>
              <w:spacing w:before="0" w:after="1"/>
              <w:ind w:left="0" w:right="0" w:hanging="0"/>
              <w:jc w:val="right"/>
              <w:rPr/>
            </w:pPr>
            <w:r>
              <w:rPr/>
              <w:t>  </w:t>
            </w:r>
          </w:p>
        </w:tc>
      </w:tr>
      <w:tr>
        <w:trPr/>
        <w:tc>
          <w:tcPr>
            <w:tcW w:w="10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Short-term</w:t>
            </w:r>
          </w:p>
        </w:tc>
        <w:tc>
          <w:tcPr>
            <w:tcW w:w="326"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75,621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38,069</w:t>
            </w:r>
          </w:p>
        </w:tc>
        <w:tc>
          <w:tcPr>
            <w:tcW w:w="32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1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74,116</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187,780</w:t>
            </w:r>
          </w:p>
        </w:tc>
      </w:tr>
      <w:tr>
        <w:trPr/>
        <w:tc>
          <w:tcPr>
            <w:tcW w:w="103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Long-term</w:t>
            </w:r>
          </w:p>
        </w:tc>
        <w:tc>
          <w:tcPr>
            <w:tcW w:w="326" w:type="dxa"/>
            <w:tcBorders/>
            <w:vAlign w:val="center"/>
          </w:tcPr>
          <w:p>
            <w:pPr>
              <w:pStyle w:val="TableContents"/>
              <w:bidi w:val="0"/>
              <w:spacing w:before="0" w:after="1"/>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78,600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31,981</w:t>
            </w:r>
          </w:p>
        </w:tc>
        <w:tc>
          <w:tcPr>
            <w:tcW w:w="326" w:type="dxa"/>
            <w:tcBorders/>
            <w:vAlign w:val="center"/>
          </w:tcPr>
          <w:p>
            <w:pPr>
              <w:pStyle w:val="TableContents"/>
              <w:bidi w:val="0"/>
              <w:spacing w:before="0" w:after="1"/>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10"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2,190</w:t>
            </w:r>
          </w:p>
        </w:tc>
        <w:tc>
          <w:tcPr>
            <w:tcW w:w="326" w:type="dxa"/>
            <w:tcBorders/>
            <w:vAlign w:val="center"/>
          </w:tcPr>
          <w:p>
            <w:pPr>
              <w:pStyle w:val="TableContents"/>
              <w:bidi w:val="0"/>
              <w:spacing w:before="0" w:after="1"/>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23,128</w:t>
            </w:r>
          </w:p>
        </w:tc>
        <w:tc>
          <w:tcPr>
            <w:tcW w:w="326" w:type="dxa"/>
            <w:tcBorders/>
            <w:vAlign w:val="center"/>
          </w:tcPr>
          <w:p>
            <w:pPr>
              <w:pStyle w:val="TableContents"/>
              <w:bidi w:val="0"/>
              <w:spacing w:before="0" w:after="1"/>
              <w:ind w:left="0" w:right="0" w:hanging="0"/>
              <w:jc w:val="left"/>
              <w:rPr/>
            </w:pPr>
            <w:r>
              <w:rPr/>
              <w:t>​</w:t>
            </w:r>
          </w:p>
        </w:tc>
        <w:tc>
          <w:tcPr>
            <w:tcW w:w="30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7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(14,862)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121,037</w:t>
            </w:r>
          </w:p>
        </w:tc>
      </w:tr>
      <w:tr>
        <w:trPr/>
        <w:tc>
          <w:tcPr>
            <w:tcW w:w="10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25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154,221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70,050</w:t>
            </w:r>
          </w:p>
        </w:tc>
        <w:tc>
          <w:tcPr>
            <w:tcW w:w="326" w:type="dxa"/>
            <w:tcBorders/>
            <w:shd w:fill="CCEEFF" w:val="clear"/>
            <w:vAlign w:val="center"/>
          </w:tcPr>
          <w:p>
            <w:pPr>
              <w:pStyle w:val="TableContents"/>
              <w:bidi w:val="0"/>
              <w:spacing w:before="0" w:after="1"/>
              <w:ind w:left="0" w:right="0" w:hanging="0"/>
              <w:jc w:val="left"/>
              <w:rPr/>
            </w:pPr>
            <w:r>
              <w:rPr/>
              <w:t>​</w:t>
            </w:r>
          </w:p>
        </w:tc>
        <w:tc>
          <w:tcPr>
            <w:tcW w:w="30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1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76,306</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23,128</w:t>
            </w:r>
          </w:p>
        </w:tc>
        <w:tc>
          <w:tcPr>
            <w:tcW w:w="326" w:type="dxa"/>
            <w:tcBorders/>
            <w:shd w:fill="CCEEFF" w:val="clear"/>
            <w:vAlign w:val="center"/>
          </w:tcPr>
          <w:p>
            <w:pPr>
              <w:pStyle w:val="TableContents"/>
              <w:bidi w:val="0"/>
              <w:spacing w:before="0" w:after="1"/>
              <w:ind w:left="0" w:right="0" w:hanging="0"/>
              <w:jc w:val="left"/>
              <w:rPr/>
            </w:pPr>
            <w:r>
              <w:rPr/>
              <w:t>​</w:t>
            </w:r>
          </w:p>
        </w:tc>
        <w:tc>
          <w:tcPr>
            <w:tcW w:w="30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(14,888)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308,817</w:t>
            </w:r>
          </w:p>
        </w:tc>
      </w:tr>
      <w:tr>
        <w:trPr/>
        <w:tc>
          <w:tcPr>
            <w:tcW w:w="10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w:t>
            </w:r>
          </w:p>
        </w:tc>
        <w:tc>
          <w:tcPr>
            <w:tcW w:w="111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87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w:t>
            </w:r>
          </w:p>
        </w:tc>
        <w:tc>
          <w:tcPr>
            <w:tcW w:w="107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left"/>
              <w:rPr/>
            </w:pPr>
            <w:r>
              <w:rPr/>
              <w:t>​</w:t>
            </w:r>
          </w:p>
        </w:tc>
      </w:tr>
      <w:tr>
        <w:trPr/>
        <w:tc>
          <w:tcPr>
            <w:tcW w:w="2578" w:type="dxa"/>
            <w:gridSpan w:val="4"/>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Six months ended June 30, 2024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 </w:t>
            </w:r>
          </w:p>
        </w:tc>
        <w:tc>
          <w:tcPr>
            <w:tcW w:w="1110"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 </w:t>
            </w:r>
          </w:p>
        </w:tc>
        <w:tc>
          <w:tcPr>
            <w:tcW w:w="875"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pPr>
            <w:r>
              <w:rPr/>
              <w:t> </w:t>
            </w:r>
          </w:p>
        </w:tc>
        <w:tc>
          <w:tcPr>
            <w:tcW w:w="1079"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3" w:type="dxa"/>
            <w:tcBorders/>
            <w:shd w:fill="CCEEFF" w:val="clear"/>
            <w:vAlign w:val="center"/>
          </w:tcPr>
          <w:p>
            <w:pPr>
              <w:pStyle w:val="TableContents"/>
              <w:bidi w:val="0"/>
              <w:spacing w:before="0" w:after="1"/>
              <w:ind w:left="0" w:right="0" w:hanging="0"/>
              <w:jc w:val="right"/>
              <w:rPr/>
            </w:pPr>
            <w:r>
              <w:rPr/>
              <w:t>  </w:t>
            </w:r>
          </w:p>
        </w:tc>
      </w:tr>
      <w:tr>
        <w:trPr/>
        <w:tc>
          <w:tcPr>
            <w:tcW w:w="103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Short-term</w:t>
            </w:r>
          </w:p>
        </w:tc>
        <w:tc>
          <w:tcPr>
            <w:tcW w:w="326"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287,566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69,369</w:t>
            </w:r>
          </w:p>
        </w:tc>
        <w:tc>
          <w:tcPr>
            <w:tcW w:w="32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1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67,732</w:t>
            </w:r>
          </w:p>
        </w:tc>
        <w:tc>
          <w:tcPr>
            <w:tcW w:w="3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(6,433)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418,234</w:t>
            </w:r>
          </w:p>
        </w:tc>
      </w:tr>
      <w:tr>
        <w:trPr/>
        <w:tc>
          <w:tcPr>
            <w:tcW w:w="10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Long-term</w:t>
            </w:r>
          </w:p>
        </w:tc>
        <w:tc>
          <w:tcPr>
            <w:tcW w:w="326" w:type="dxa"/>
            <w:tcBorders/>
            <w:shd w:fill="CCEEFF" w:val="clear"/>
            <w:vAlign w:val="center"/>
          </w:tcPr>
          <w:p>
            <w:pPr>
              <w:pStyle w:val="TableContents"/>
              <w:bidi w:val="0"/>
              <w:spacing w:before="0" w:after="1"/>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153,572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62,189</w:t>
            </w:r>
          </w:p>
        </w:tc>
        <w:tc>
          <w:tcPr>
            <w:tcW w:w="326" w:type="dxa"/>
            <w:tcBorders/>
            <w:shd w:fill="CCEEFF" w:val="clear"/>
            <w:vAlign w:val="center"/>
          </w:tcPr>
          <w:p>
            <w:pPr>
              <w:pStyle w:val="TableContents"/>
              <w:bidi w:val="0"/>
              <w:spacing w:before="0" w:after="1"/>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9,962</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49,552</w:t>
            </w:r>
          </w:p>
        </w:tc>
        <w:tc>
          <w:tcPr>
            <w:tcW w:w="326" w:type="dxa"/>
            <w:tcBorders/>
            <w:shd w:fill="CCEEFF" w:val="clear"/>
            <w:vAlign w:val="center"/>
          </w:tcPr>
          <w:p>
            <w:pPr>
              <w:pStyle w:val="TableContents"/>
              <w:bidi w:val="0"/>
              <w:spacing w:before="0" w:after="1"/>
              <w:ind w:left="0" w:right="0" w:hanging="0"/>
              <w:jc w:val="left"/>
              <w:rPr/>
            </w:pPr>
            <w:r>
              <w:rPr/>
              <w:t>​</w:t>
            </w:r>
          </w:p>
        </w:tc>
        <w:tc>
          <w:tcPr>
            <w:tcW w:w="30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(32,501)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242,774</w:t>
            </w:r>
          </w:p>
        </w:tc>
      </w:tr>
      <w:tr>
        <w:trPr/>
        <w:tc>
          <w:tcPr>
            <w:tcW w:w="103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w:t>
            </w:r>
          </w:p>
        </w:tc>
        <w:tc>
          <w:tcPr>
            <w:tcW w:w="326" w:type="dxa"/>
            <w:tcBorders/>
            <w:vAlign w:val="center"/>
          </w:tcPr>
          <w:p>
            <w:pPr>
              <w:pStyle w:val="TableContents"/>
              <w:bidi w:val="0"/>
              <w:spacing w:before="0" w:after="1"/>
              <w:ind w:left="0" w:right="0" w:hanging="0"/>
              <w:jc w:val="left"/>
              <w:rPr/>
            </w:pPr>
            <w:r>
              <w:rPr/>
              <w:t>​</w:t>
            </w:r>
          </w:p>
        </w:tc>
        <w:tc>
          <w:tcPr>
            <w:tcW w:w="254"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2"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441,138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131,558</w:t>
            </w:r>
          </w:p>
        </w:tc>
        <w:tc>
          <w:tcPr>
            <w:tcW w:w="326" w:type="dxa"/>
            <w:tcBorders/>
            <w:vAlign w:val="center"/>
          </w:tcPr>
          <w:p>
            <w:pPr>
              <w:pStyle w:val="TableContents"/>
              <w:bidi w:val="0"/>
              <w:spacing w:before="0" w:after="1"/>
              <w:ind w:left="0" w:right="0" w:hanging="0"/>
              <w:jc w:val="left"/>
              <w:rPr/>
            </w:pPr>
            <w:r>
              <w:rPr/>
              <w:t>​</w:t>
            </w:r>
          </w:p>
        </w:tc>
        <w:tc>
          <w:tcPr>
            <w:tcW w:w="30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10"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77,694</w:t>
            </w:r>
          </w:p>
        </w:tc>
        <w:tc>
          <w:tcPr>
            <w:tcW w:w="326" w:type="dxa"/>
            <w:tcBorders/>
            <w:vAlign w:val="center"/>
          </w:tcPr>
          <w:p>
            <w:pPr>
              <w:pStyle w:val="TableContents"/>
              <w:bidi w:val="0"/>
              <w:spacing w:before="0" w:after="1"/>
              <w:ind w:left="0" w:right="0" w:hanging="0"/>
              <w:jc w:val="left"/>
              <w:rPr/>
            </w:pPr>
            <w:r>
              <w:rPr/>
              <w:t>​</w:t>
            </w:r>
          </w:p>
        </w:tc>
        <w:tc>
          <w:tcPr>
            <w:tcW w:w="266"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75"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49,552</w:t>
            </w:r>
          </w:p>
        </w:tc>
        <w:tc>
          <w:tcPr>
            <w:tcW w:w="326" w:type="dxa"/>
            <w:tcBorders/>
            <w:vAlign w:val="center"/>
          </w:tcPr>
          <w:p>
            <w:pPr>
              <w:pStyle w:val="TableContents"/>
              <w:bidi w:val="0"/>
              <w:spacing w:before="0" w:after="1"/>
              <w:ind w:left="0" w:right="0" w:hanging="0"/>
              <w:jc w:val="left"/>
              <w:rPr/>
            </w:pPr>
            <w:r>
              <w:rPr/>
              <w:t>​</w:t>
            </w:r>
          </w:p>
        </w:tc>
        <w:tc>
          <w:tcPr>
            <w:tcW w:w="302"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9"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(38,934)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661,008</w:t>
            </w:r>
          </w:p>
        </w:tc>
      </w:tr>
      <w:tr>
        <w:trPr/>
        <w:tc>
          <w:tcPr>
            <w:tcW w:w="10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pPr>
            <w:r>
              <w:rPr/>
              <w:t>​</w:t>
            </w:r>
          </w:p>
        </w:tc>
        <w:tc>
          <w:tcPr>
            <w:tcW w:w="96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w:t>
            </w:r>
          </w:p>
        </w:tc>
        <w:tc>
          <w:tcPr>
            <w:tcW w:w="1110"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87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pPr>
            <w:r>
              <w:rPr/>
              <w:t>​</w:t>
            </w:r>
          </w:p>
        </w:tc>
        <w:tc>
          <w:tcPr>
            <w:tcW w:w="107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left"/>
              <w:rPr/>
            </w:pPr>
            <w:r>
              <w:rPr/>
              <w:t>​</w:t>
            </w:r>
          </w:p>
        </w:tc>
      </w:tr>
      <w:tr>
        <w:trPr/>
        <w:tc>
          <w:tcPr>
            <w:tcW w:w="2578" w:type="dxa"/>
            <w:gridSpan w:val="4"/>
            <w:tcBorders/>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Six months ended June 30, 2023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 </w:t>
            </w:r>
          </w:p>
        </w:tc>
        <w:tc>
          <w:tcPr>
            <w:tcW w:w="1110"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 </w:t>
            </w:r>
          </w:p>
        </w:tc>
        <w:tc>
          <w:tcPr>
            <w:tcW w:w="875"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 </w:t>
            </w:r>
          </w:p>
        </w:tc>
        <w:tc>
          <w:tcPr>
            <w:tcW w:w="1079"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3" w:type="dxa"/>
            <w:tcBorders/>
            <w:vAlign w:val="center"/>
          </w:tcPr>
          <w:p>
            <w:pPr>
              <w:pStyle w:val="TableContents"/>
              <w:bidi w:val="0"/>
              <w:spacing w:before="0" w:after="1"/>
              <w:ind w:left="0" w:right="0" w:hanging="0"/>
              <w:jc w:val="right"/>
              <w:rPr/>
            </w:pPr>
            <w:r>
              <w:rPr/>
              <w:t>  </w:t>
            </w:r>
          </w:p>
        </w:tc>
      </w:tr>
      <w:tr>
        <w:trPr/>
        <w:tc>
          <w:tcPr>
            <w:tcW w:w="10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Short-term</w:t>
            </w:r>
          </w:p>
        </w:tc>
        <w:tc>
          <w:tcPr>
            <w:tcW w:w="326"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153,388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73,274</w:t>
            </w:r>
          </w:p>
        </w:tc>
        <w:tc>
          <w:tcPr>
            <w:tcW w:w="32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1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123,497</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350,133</w:t>
            </w:r>
          </w:p>
        </w:tc>
      </w:tr>
      <w:tr>
        <w:trPr/>
        <w:tc>
          <w:tcPr>
            <w:tcW w:w="103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Long-term</w:t>
            </w:r>
          </w:p>
        </w:tc>
        <w:tc>
          <w:tcPr>
            <w:tcW w:w="326" w:type="dxa"/>
            <w:tcBorders/>
            <w:vAlign w:val="center"/>
          </w:tcPr>
          <w:p>
            <w:pPr>
              <w:pStyle w:val="TableContents"/>
              <w:bidi w:val="0"/>
              <w:spacing w:before="0" w:after="1"/>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143,271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45,998</w:t>
            </w:r>
          </w:p>
        </w:tc>
        <w:tc>
          <w:tcPr>
            <w:tcW w:w="326" w:type="dxa"/>
            <w:tcBorders/>
            <w:vAlign w:val="center"/>
          </w:tcPr>
          <w:p>
            <w:pPr>
              <w:pStyle w:val="TableContents"/>
              <w:bidi w:val="0"/>
              <w:spacing w:before="0" w:after="1"/>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10"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2,190</w:t>
            </w:r>
          </w:p>
        </w:tc>
        <w:tc>
          <w:tcPr>
            <w:tcW w:w="326" w:type="dxa"/>
            <w:tcBorders/>
            <w:vAlign w:val="center"/>
          </w:tcPr>
          <w:p>
            <w:pPr>
              <w:pStyle w:val="TableContents"/>
              <w:bidi w:val="0"/>
              <w:spacing w:before="0" w:after="1"/>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44,033</w:t>
            </w:r>
          </w:p>
        </w:tc>
        <w:tc>
          <w:tcPr>
            <w:tcW w:w="326" w:type="dxa"/>
            <w:tcBorders/>
            <w:vAlign w:val="center"/>
          </w:tcPr>
          <w:p>
            <w:pPr>
              <w:pStyle w:val="TableContents"/>
              <w:bidi w:val="0"/>
              <w:spacing w:before="0" w:after="1"/>
              <w:ind w:left="0" w:right="0" w:hanging="0"/>
              <w:jc w:val="left"/>
              <w:rPr/>
            </w:pPr>
            <w:r>
              <w:rPr/>
              <w:t>​</w:t>
            </w:r>
          </w:p>
        </w:tc>
        <w:tc>
          <w:tcPr>
            <w:tcW w:w="30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7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(26,724)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208,768</w:t>
            </w:r>
          </w:p>
        </w:tc>
      </w:tr>
      <w:tr>
        <w:trPr/>
        <w:tc>
          <w:tcPr>
            <w:tcW w:w="10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25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296,659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119,272</w:t>
            </w:r>
          </w:p>
        </w:tc>
        <w:tc>
          <w:tcPr>
            <w:tcW w:w="326" w:type="dxa"/>
            <w:tcBorders/>
            <w:shd w:fill="CCEEFF" w:val="clear"/>
            <w:vAlign w:val="center"/>
          </w:tcPr>
          <w:p>
            <w:pPr>
              <w:pStyle w:val="TableContents"/>
              <w:bidi w:val="0"/>
              <w:spacing w:before="0" w:after="1"/>
              <w:ind w:left="0" w:right="0" w:hanging="0"/>
              <w:jc w:val="left"/>
              <w:rPr/>
            </w:pPr>
            <w:r>
              <w:rPr/>
              <w:t>​</w:t>
            </w:r>
          </w:p>
        </w:tc>
        <w:tc>
          <w:tcPr>
            <w:tcW w:w="30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1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125,687</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44,033</w:t>
            </w:r>
          </w:p>
        </w:tc>
        <w:tc>
          <w:tcPr>
            <w:tcW w:w="326" w:type="dxa"/>
            <w:tcBorders/>
            <w:shd w:fill="CCEEFF" w:val="clear"/>
            <w:vAlign w:val="center"/>
          </w:tcPr>
          <w:p>
            <w:pPr>
              <w:pStyle w:val="TableContents"/>
              <w:bidi w:val="0"/>
              <w:spacing w:before="0" w:after="1"/>
              <w:ind w:left="0" w:right="0" w:hanging="0"/>
              <w:jc w:val="left"/>
              <w:rPr/>
            </w:pPr>
            <w:r>
              <w:rPr/>
              <w:t>​</w:t>
            </w:r>
          </w:p>
        </w:tc>
        <w:tc>
          <w:tcPr>
            <w:tcW w:w="30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(26,750)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558,901</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16</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Arial;Helvetica;sans-serif" w:hAnsi="Arial;Helvetica;sans-serif"/>
          <w:sz w:val="20"/>
        </w:rPr>
      </w:pPr>
      <w:bookmarkStart w:id="1002" w:name="Tc_tpRq9reO8Eiti5wNQqHQCg_29_17"/>
      <w:bookmarkStart w:id="1003" w:name="Tc_ghNxiY7gbE-BWRF1JUUjJQ_29_14"/>
      <w:bookmarkStart w:id="1004" w:name="Tc_LpgkliSlVUq0X8PFWihw1w_29_11"/>
      <w:bookmarkStart w:id="1005" w:name="Tc_SxWV_8JBG0-VtAwTr_B91Q_29_8"/>
      <w:bookmarkStart w:id="1006" w:name="Tc_VGZq9XVv8kK3933Ubd0Mkw_29_5"/>
      <w:bookmarkStart w:id="1007" w:name="Tc_bdltbpZ22U-7QD5t1pBaVA_29_2"/>
      <w:bookmarkStart w:id="1008" w:name="Tc_CbDh6NCNWUyH8cg-dLT7TQ_29_0"/>
      <w:bookmarkStart w:id="1009" w:name="Tc_P9zJp08rmkKGh_VYAtHoFQ_28_12"/>
      <w:bookmarkStart w:id="1010" w:name="Tc_wDCFJn5Bv0-HpnrN4JDqZw_28_9"/>
      <w:bookmarkStart w:id="1011" w:name="Tc_gxrfP17iSkKkHO_EsGgvMw_28_0"/>
      <w:bookmarkStart w:id="1012" w:name="Tc_8XjoSTz8kUekC1xbpdo2Sw_27_12"/>
      <w:bookmarkStart w:id="1013" w:name="Tc_AAGY2NMAAEatJGPI1GSCCg_27_9"/>
      <w:bookmarkStart w:id="1014" w:name="Tc_XBuQbue9j0ePeSrlmOBkDg_27_0"/>
      <w:bookmarkStart w:id="1015" w:name="Tc_6NtCdBYYrUu14ugGdrDS2Q_26_12"/>
      <w:bookmarkStart w:id="1016" w:name="Tc_hrilBSxcJUe7YWlCp168Cg_26_0"/>
      <w:bookmarkStart w:id="1017" w:name="Tc_rGqwDHvlhkqd21UrQYlCNA_25_17"/>
      <w:bookmarkStart w:id="1018" w:name="Tc_8yJKgI2MyE2PMemWHGIF6A_25_14"/>
      <w:bookmarkStart w:id="1019" w:name="Tc_Cgcv9YrGMUCsUuXG1Mo_hA_25_11"/>
      <w:bookmarkStart w:id="1020" w:name="Tc_Dx_meC8OSkuzidTl4sxHNw_25_8"/>
      <w:bookmarkStart w:id="1021" w:name="Tc_zzfv1TNKbEWu_glJkTGC_Q_25_5"/>
      <w:bookmarkStart w:id="1022" w:name="Tc_DX-rdsYncka8MUvNH8oQow_25_2"/>
      <w:bookmarkStart w:id="1023" w:name="Tc_5nkwcm16Y0KH-TLngFt6gg_25_0"/>
      <w:bookmarkStart w:id="1024" w:name="Tc_9sAH1NpidEquhUwc9LDssA_24_0"/>
      <w:bookmarkStart w:id="1025" w:name="Tc_fSe2W8heHU2N7r2M8DP8dQ_22_17"/>
      <w:bookmarkStart w:id="1026" w:name="Tc_KYONYE-ymk6TOyHtOnvLhA_22_14"/>
      <w:bookmarkStart w:id="1027" w:name="Tc_PwrHV9G03E26U2GIJlYD5g_22_11"/>
      <w:bookmarkStart w:id="1028" w:name="Tc_XU-W4VjN-k-zwNS_SlWzUA_22_8"/>
      <w:bookmarkStart w:id="1029" w:name="Tc_SiRgl5tqe0i5kmPgTnjnoA_22_5"/>
      <w:bookmarkStart w:id="1030" w:name="Tc_QO3YKDXMD0mYDHGlGJALLA_22_2"/>
      <w:bookmarkStart w:id="1031" w:name="Tc_JiNlpkHol0iWGuAxmFGCMw_22_0"/>
      <w:bookmarkStart w:id="1032" w:name="Tc_N3hxmovQ_kKe3uqIBrvDBg_21_12"/>
      <w:bookmarkStart w:id="1033" w:name="Tc_xyPUWJTRAEeXrEEARGYAyQ_21_9"/>
      <w:bookmarkStart w:id="1034" w:name="Tc_1CPzZK0Oi0quv_3ZE4hmBg_21_0"/>
      <w:bookmarkStart w:id="1035" w:name="Tc_Lo9YnVNmh02-XMD2BtDo5A_20_12"/>
      <w:bookmarkStart w:id="1036" w:name="Tc_QgUnsqQNmUmdYmVHEnnlJQ_20_9"/>
      <w:bookmarkStart w:id="1037" w:name="Tc_h3MtjxKu106yjl1hyRXqMg_20_0"/>
      <w:bookmarkStart w:id="1038" w:name="Tc_2-AHIcn35kOg96xxdpQtCQ_19_12"/>
      <w:bookmarkStart w:id="1039" w:name="Tc_fiYlE--BlUijQHH1U4itsw_19_0"/>
      <w:bookmarkStart w:id="1040" w:name="Tc_ncHeWJ4-YUCt_BHsyKrcUw_18_17"/>
      <w:bookmarkStart w:id="1041" w:name="Tc_QMewwfm-RU2hAfXtkhM7EA_18_14"/>
      <w:bookmarkStart w:id="1042" w:name="Tc_FWoebFV7v0mtP6jFV8na0w_18_11"/>
      <w:bookmarkStart w:id="1043" w:name="Tc_cr4N4ri7_EahnNITS9nU4w_18_8"/>
      <w:bookmarkStart w:id="1044" w:name="Tc_57ZIJBm_DEKF0oKjLj0cEw_18_5"/>
      <w:bookmarkStart w:id="1045" w:name="Tc_TZ97iVS2pECiik4SMPJFyg_18_2"/>
      <w:bookmarkStart w:id="1046" w:name="Tc_dNaRrtPS8kSps3w-dfTD3Q_18_0"/>
      <w:bookmarkStart w:id="1047" w:name="Tc_7AlPxCa6ek2zoRTiAEXwJQ_17_0"/>
      <w:bookmarkStart w:id="1048" w:name="Tc_mXBTX_Sg2EiRpT24jL1QHQ_15_17"/>
      <w:bookmarkStart w:id="1049" w:name="Tc_bOEoK36eo0ew-bjCuGSAgw_15_14"/>
      <w:bookmarkStart w:id="1050" w:name="Tc_uWVJ7MSecE28oGg1_HuCyQ_15_11"/>
      <w:bookmarkStart w:id="1051" w:name="Tc_enFARGTH8E2RkmOcwlpgUA_15_8"/>
      <w:bookmarkStart w:id="1052" w:name="Tc_5s8fCeNi1UeOEpNWdeYhew_15_5"/>
      <w:bookmarkStart w:id="1053" w:name="Tc_sh7InvXZw0yCDouxS7SYvg_15_2"/>
      <w:bookmarkStart w:id="1054" w:name="Tc_6t3WlEWBqUyB_RvVnN8oGA_15_0"/>
      <w:bookmarkStart w:id="1055" w:name="Tc_qjWqR8T7lUe6shtrcHDM7w_14_12"/>
      <w:bookmarkStart w:id="1056" w:name="Tc_5mbrMZFv8km9aP9QxrSY4g_14_9"/>
      <w:bookmarkStart w:id="1057" w:name="Tc_f-l_SP8kBEOZh3-lKNp-YA_14_0"/>
      <w:bookmarkStart w:id="1058" w:name="Tc_KeQlT3n-Jk6yUVg799G0zw_13_12"/>
      <w:bookmarkStart w:id="1059" w:name="Tc_3nXWRP6p8kS4G_wuU1w1Hw_13_9"/>
      <w:bookmarkStart w:id="1060" w:name="Tc_TdU-PagAwU-q89OCVnLa1A_13_0"/>
      <w:bookmarkStart w:id="1061" w:name="Tc_vMKfk0ydWUyl_rE6lZI8Kw_12_12"/>
      <w:bookmarkStart w:id="1062" w:name="Tc_RoR9vXr1x0OKJNmcyY25ZQ_12_0"/>
      <w:bookmarkStart w:id="1063" w:name="Tc_gFoRxrhap0agpQEZAOaVDg_11_17"/>
      <w:bookmarkStart w:id="1064" w:name="Tc_RWvuC4D2_0WQji7hGsn0JQ_11_14"/>
      <w:bookmarkStart w:id="1065" w:name="Tc_AmaRsxZTqkGuNncX4XbO_Q_11_11"/>
      <w:bookmarkStart w:id="1066" w:name="Tc_Hmliy3ap106IJGsePgAR4Q_11_8"/>
      <w:bookmarkStart w:id="1067" w:name="Tc_TEkVexphhkyoL5ydZsWfGg_11_5"/>
      <w:bookmarkStart w:id="1068" w:name="Tc_tFQyNKODW0C3BnXH6JCTJw_11_2"/>
      <w:bookmarkStart w:id="1069" w:name="Tc_2rVaS3yA_UyMtqWnR2LlIA_11_0"/>
      <w:bookmarkStart w:id="1070" w:name="Tc_TErt-juNFEKBx8JWmBqG5A_10_0"/>
      <w:bookmarkStart w:id="1071" w:name="Tc__cVKq0J6rEyioRpj0gkJhw_8_17"/>
      <w:bookmarkStart w:id="1072" w:name="Tc_ZfLBa01aTEyKT1OcD4bhuw_8_14"/>
      <w:bookmarkStart w:id="1073" w:name="Tc_SmmVbTRPAUOgXz4JJqiUVg_8_11"/>
      <w:bookmarkStart w:id="1074" w:name="Tc_LMQlfy1xTkS6i8DrCGpUlw_8_8"/>
      <w:bookmarkStart w:id="1075" w:name="Tc_-y_0qxTU10e_aTyqKNGMYA_8_5"/>
      <w:bookmarkStart w:id="1076" w:name="Tc_Kk9gcID0_kSrpSVmVZyMHQ_8_2"/>
      <w:bookmarkStart w:id="1077" w:name="Tc_pKtFrp0KuEiJl5Z87bC4eg_8_0"/>
      <w:bookmarkStart w:id="1078" w:name="Tc_NvC_EBJxaUi_M2CpvOw4kw_7_12"/>
      <w:bookmarkStart w:id="1079" w:name="Tc_uF3gsKZG4EubIqUYKl7YIA_7_9"/>
      <w:bookmarkStart w:id="1080" w:name="Tc_hwlLHUN28Uealas6LkvMzw_7_0"/>
      <w:bookmarkStart w:id="1081" w:name="Tc_7luYbfh2YUu8xSIKbQMl7A_6_12"/>
      <w:bookmarkStart w:id="1082" w:name="Tc_ThiCiKi6pUuDVHrCCTW5sQ_6_9"/>
      <w:bookmarkStart w:id="1083" w:name="Tc_8VzdvtHS0U-Nlz9aacSO6A_6_0"/>
      <w:bookmarkStart w:id="1084" w:name="Tc_Hiyns4ooCUWCfxk3K8HJtw_5_12"/>
      <w:bookmarkStart w:id="1085" w:name="Tc_2WmYg0IkbUWmDexO9ku2nQ_5_0"/>
      <w:bookmarkStart w:id="1086" w:name="Tc_oY8NLWTReUanrlkZ9cYb1A_4_17"/>
      <w:bookmarkStart w:id="1087" w:name="Tc_RV6f-e3oGkaY4_uyHR6IDA_4_14"/>
      <w:bookmarkStart w:id="1088" w:name="Tc_VdWJ622e8U-FCa9mk8si8w_4_11"/>
      <w:bookmarkStart w:id="1089" w:name="Tc_N80UtZ8ytEGv_mvn00_cqQ_4_8"/>
      <w:bookmarkStart w:id="1090" w:name="Tc_qOI2lWmS7kuhEQfaq-Y6gQ_4_5"/>
      <w:bookmarkStart w:id="1091" w:name="Tc_wIPYAyGVh06Gufbs6g-dXA_4_2"/>
      <w:bookmarkStart w:id="1092" w:name="Tc_uft0URH7T0qKSR0ru18vaA_4_0"/>
      <w:bookmarkStart w:id="1093" w:name="Tc_-of23ozCM02YwnQ3OtA3NA_3_0"/>
      <w:bookmarkStart w:id="1094" w:name="Tc_zi4xbtY99k6xiz_PbZ8rRA_2_17"/>
      <w:bookmarkStart w:id="1095" w:name="Tc_IQ2OwFlcKE22q-23zn84og_2_14"/>
      <w:bookmarkStart w:id="1096" w:name="Tc_RFqgTMOZuEKOdefWEEvbEg_2_11"/>
      <w:bookmarkStart w:id="1097" w:name="Tc_Ph36DYRAq06qxTL5Tl9OUw_2_8"/>
      <w:bookmarkStart w:id="1098" w:name="Tc_1rMMQ3Gi006w5ADah1dQyA_2_5"/>
      <w:bookmarkStart w:id="1099" w:name="Tc_SWHAk3-Lc0SlxardlXUw_Q_2_2"/>
      <w:bookmarkStart w:id="1100" w:name="Tc_iAR_jg0-v0eRvNG7DezJTQ_1_17"/>
      <w:bookmarkStart w:id="1101" w:name="Tc_O5j2aJsU6UC1PBdDct0Ktg_1_14"/>
      <w:bookmarkStart w:id="1102" w:name="Tc_gpMw-2VXoEqTcxz3Ab0YxQ_1_11"/>
      <w:bookmarkStart w:id="1103" w:name="Tc_uTPH6_7tQUuJJR7Z2EIqBA_1_8"/>
      <w:bookmarkStart w:id="1104" w:name="Tc_BW0nVi8ptkiZYWcBWsbmdw_1_2"/>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r>
        <w:rPr>
          <w:rFonts w:ascii="Arial;Helvetica;sans-serif" w:hAnsi="Arial;Helvetica;sans-serif"/>
          <w:sz w:val="20"/>
        </w:rPr>
        <w:t>We provide services to our customers in the following markets that are key to our energy transition strategy: Production maximization, Decommissioning and Renewables. The following table provides information about disaggregated revenue by market strategy (in thousands):</w:t>
      </w:r>
    </w:p>
    <w:p>
      <w:pPr>
        <w:pStyle w:val="TextBody"/>
        <w:bidi w:val="0"/>
        <w:spacing w:before="0" w:after="240"/>
        <w:ind w:left="0" w:right="0" w:firstLine="720"/>
        <w:jc w:val="left"/>
        <w:rPr/>
      </w:pPr>
      <w:r>
        <w:rPr/>
        <w:t>​</w:t>
      </w:r>
    </w:p>
    <w:tbl>
      <w:tblPr>
        <w:tblW w:w="10902" w:type="dxa"/>
        <w:jc w:val="left"/>
        <w:tblInd w:w="0" w:type="dxa"/>
        <w:tblLayout w:type="fixed"/>
        <w:tblCellMar>
          <w:top w:w="0" w:type="dxa"/>
          <w:left w:w="0" w:type="dxa"/>
          <w:bottom w:w="0" w:type="dxa"/>
          <w:right w:w="0" w:type="dxa"/>
        </w:tblCellMar>
      </w:tblPr>
      <w:tblGrid>
        <w:gridCol w:w="1666"/>
        <w:gridCol w:w="326"/>
        <w:gridCol w:w="254"/>
        <w:gridCol w:w="962"/>
        <w:gridCol w:w="326"/>
        <w:gridCol w:w="211"/>
        <w:gridCol w:w="796"/>
        <w:gridCol w:w="326"/>
        <w:gridCol w:w="301"/>
        <w:gridCol w:w="1110"/>
        <w:gridCol w:w="326"/>
        <w:gridCol w:w="266"/>
        <w:gridCol w:w="875"/>
        <w:gridCol w:w="326"/>
        <w:gridCol w:w="302"/>
        <w:gridCol w:w="1079"/>
        <w:gridCol w:w="326"/>
        <w:gridCol w:w="211"/>
        <w:gridCol w:w="913"/>
      </w:tblGrid>
      <w:tr>
        <w:trPr/>
        <w:tc>
          <w:tcPr>
            <w:tcW w:w="16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07010" cy="175260"/>
                      <wp:effectExtent l="0" t="0" r="0" b="0"/>
                      <wp:wrapNone/>
                      <wp:docPr id="182" name="Frame1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61290" cy="175260"/>
                      <wp:effectExtent l="0" t="0" r="0" b="0"/>
                      <wp:wrapNone/>
                      <wp:docPr id="183" name="Frame182"/>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10870" cy="175260"/>
                      <wp:effectExtent l="0" t="0" r="0" b="0"/>
                      <wp:wrapNone/>
                      <wp:docPr id="184" name="Frame183"/>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7010" cy="175260"/>
                      <wp:effectExtent l="0" t="0" r="0" b="0"/>
                      <wp:wrapNone/>
                      <wp:docPr id="185" name="Frame1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33985" cy="175260"/>
                      <wp:effectExtent l="0" t="0" r="0" b="0"/>
                      <wp:wrapNone/>
                      <wp:docPr id="186" name="Frame1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505460" cy="175260"/>
                      <wp:effectExtent l="0" t="0" r="0" b="0"/>
                      <wp:wrapNone/>
                      <wp:docPr id="187" name="Frame18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07010" cy="175260"/>
                      <wp:effectExtent l="0" t="0" r="0" b="0"/>
                      <wp:wrapNone/>
                      <wp:docPr id="188" name="Frame1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91135" cy="175260"/>
                      <wp:effectExtent l="0" t="0" r="0" b="0"/>
                      <wp:wrapNone/>
                      <wp:docPr id="189" name="Frame188"/>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704850" cy="175260"/>
                      <wp:effectExtent l="0" t="0" r="0" b="0"/>
                      <wp:wrapNone/>
                      <wp:docPr id="190" name="Frame189"/>
                      <a:graphic xmlns:a="http://schemas.openxmlformats.org/drawingml/2006/main">
                        <a:graphicData uri="http://schemas.microsoft.com/office/word/2010/wordprocessingShape">
                          <wps:wsp>
                            <wps:cNvSpPr txBox="1"/>
                            <wps:spPr>
                              <a:xfrm>
                                <a:off x="0" y="0"/>
                                <a:ext cx="704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07010" cy="175260"/>
                      <wp:effectExtent l="0" t="0" r="0" b="0"/>
                      <wp:wrapNone/>
                      <wp:docPr id="191" name="Frame1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68910" cy="175260"/>
                      <wp:effectExtent l="0" t="0" r="0" b="0"/>
                      <wp:wrapNone/>
                      <wp:docPr id="192" name="Frame191"/>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555625" cy="175260"/>
                      <wp:effectExtent l="0" t="0" r="0" b="0"/>
                      <wp:wrapNone/>
                      <wp:docPr id="193" name="Frame192"/>
                      <a:graphic xmlns:a="http://schemas.openxmlformats.org/drawingml/2006/main">
                        <a:graphicData uri="http://schemas.microsoft.com/office/word/2010/wordprocessingShape">
                          <wps:wsp>
                            <wps:cNvSpPr txBox="1"/>
                            <wps:spPr>
                              <a:xfrm>
                                <a:off x="0" y="0"/>
                                <a:ext cx="555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07010" cy="175260"/>
                      <wp:effectExtent l="0" t="0" r="0" b="0"/>
                      <wp:wrapNone/>
                      <wp:docPr id="194" name="Frame1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91770" cy="175260"/>
                      <wp:effectExtent l="0" t="0" r="0" b="0"/>
                      <wp:wrapNone/>
                      <wp:docPr id="195" name="Frame194"/>
                      <a:graphic xmlns:a="http://schemas.openxmlformats.org/drawingml/2006/main">
                        <a:graphicData uri="http://schemas.microsoft.com/office/word/2010/wordprocessingShape">
                          <wps:wsp>
                            <wps:cNvSpPr txBox="1"/>
                            <wps:spPr>
                              <a:xfrm>
                                <a:off x="0" y="0"/>
                                <a:ext cx="191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85165" cy="175260"/>
                      <wp:effectExtent l="0" t="0" r="0" b="0"/>
                      <wp:wrapNone/>
                      <wp:docPr id="196" name="Frame195"/>
                      <a:graphic xmlns:a="http://schemas.openxmlformats.org/drawingml/2006/main">
                        <a:graphicData uri="http://schemas.microsoft.com/office/word/2010/wordprocessingShape">
                          <wps:wsp>
                            <wps:cNvSpPr txBox="1"/>
                            <wps:spPr>
                              <a:xfrm>
                                <a:off x="0" y="0"/>
                                <a:ext cx="685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07010" cy="175260"/>
                      <wp:effectExtent l="0" t="0" r="0" b="0"/>
                      <wp:wrapNone/>
                      <wp:docPr id="197" name="Frame1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33985" cy="175260"/>
                      <wp:effectExtent l="0" t="0" r="0" b="0"/>
                      <wp:wrapNone/>
                      <wp:docPr id="198" name="Frame1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579755" cy="175260"/>
                      <wp:effectExtent l="0" t="0" r="0" b="0"/>
                      <wp:wrapNone/>
                      <wp:docPr id="199" name="Frame198"/>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Well</w:t>
            </w:r>
          </w:p>
        </w:tc>
        <w:tc>
          <w:tcPr>
            <w:tcW w:w="326" w:type="dxa"/>
            <w:tcBorders/>
            <w:vAlign w:val="center"/>
          </w:tcPr>
          <w:p>
            <w:pPr>
              <w:pStyle w:val="TableContents"/>
              <w:bidi w:val="0"/>
              <w:spacing w:before="0" w:after="1"/>
              <w:ind w:left="0" w:right="0" w:hanging="0"/>
              <w:jc w:val="center"/>
              <w:rPr/>
            </w:pPr>
            <w:r>
              <w:rPr/>
              <w:t>​</w:t>
            </w:r>
          </w:p>
        </w:tc>
        <w:tc>
          <w:tcPr>
            <w:tcW w:w="1007"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411"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Shallow Water</w:t>
            </w:r>
          </w:p>
        </w:tc>
        <w:tc>
          <w:tcPr>
            <w:tcW w:w="326" w:type="dxa"/>
            <w:tcBorders/>
            <w:vAlign w:val="center"/>
          </w:tcPr>
          <w:p>
            <w:pPr>
              <w:pStyle w:val="TableContents"/>
              <w:bidi w:val="0"/>
              <w:spacing w:before="0" w:after="1"/>
              <w:ind w:left="0" w:right="0" w:hanging="0"/>
              <w:jc w:val="center"/>
              <w:rPr/>
            </w:pPr>
            <w:r>
              <w:rPr/>
              <w:t>​</w:t>
            </w:r>
          </w:p>
        </w:tc>
        <w:tc>
          <w:tcPr>
            <w:tcW w:w="1141"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Production</w:t>
            </w:r>
          </w:p>
        </w:tc>
        <w:tc>
          <w:tcPr>
            <w:tcW w:w="326" w:type="dxa"/>
            <w:tcBorders/>
            <w:vAlign w:val="center"/>
          </w:tcPr>
          <w:p>
            <w:pPr>
              <w:pStyle w:val="TableContents"/>
              <w:bidi w:val="0"/>
              <w:spacing w:before="0" w:after="1"/>
              <w:ind w:left="0" w:right="0" w:hanging="0"/>
              <w:jc w:val="center"/>
              <w:rPr/>
            </w:pPr>
            <w:r>
              <w:rPr/>
              <w:t>​</w:t>
            </w:r>
          </w:p>
        </w:tc>
        <w:tc>
          <w:tcPr>
            <w:tcW w:w="1381"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Intercompany</w:t>
            </w:r>
          </w:p>
        </w:tc>
        <w:tc>
          <w:tcPr>
            <w:tcW w:w="326" w:type="dxa"/>
            <w:tcBorders/>
            <w:vAlign w:val="center"/>
          </w:tcPr>
          <w:p>
            <w:pPr>
              <w:pStyle w:val="TableContents"/>
              <w:bidi w:val="0"/>
              <w:spacing w:before="0" w:after="1"/>
              <w:ind w:left="0" w:right="0" w:hanging="0"/>
              <w:jc w:val="center"/>
              <w:rPr/>
            </w:pPr>
            <w:r>
              <w:rPr/>
              <w:t>​</w:t>
            </w:r>
          </w:p>
        </w:tc>
        <w:tc>
          <w:tcPr>
            <w:tcW w:w="1124"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Total</w:t>
            </w:r>
          </w:p>
        </w:tc>
      </w:tr>
      <w:tr>
        <w:trPr/>
        <w:tc>
          <w:tcPr>
            <w:tcW w:w="16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Intervention</w:t>
            </w:r>
          </w:p>
        </w:tc>
        <w:tc>
          <w:tcPr>
            <w:tcW w:w="326" w:type="dxa"/>
            <w:tcBorders/>
            <w:vAlign w:val="center"/>
          </w:tcPr>
          <w:p>
            <w:pPr>
              <w:pStyle w:val="TableContents"/>
              <w:bidi w:val="0"/>
              <w:spacing w:before="0" w:after="1"/>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Robotics</w:t>
            </w:r>
          </w:p>
        </w:tc>
        <w:tc>
          <w:tcPr>
            <w:tcW w:w="326" w:type="dxa"/>
            <w:tcBorders/>
            <w:vAlign w:val="center"/>
          </w:tcPr>
          <w:p>
            <w:pPr>
              <w:pStyle w:val="TableContents"/>
              <w:bidi w:val="0"/>
              <w:spacing w:before="0" w:after="1"/>
              <w:ind w:left="0" w:right="0" w:hanging="0"/>
              <w:jc w:val="center"/>
              <w:rPr/>
            </w:pPr>
            <w:r>
              <w:rPr/>
              <w:t>    </w:t>
            </w:r>
          </w:p>
        </w:tc>
        <w:tc>
          <w:tcPr>
            <w:tcW w:w="14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Abandonment</w:t>
            </w:r>
          </w:p>
        </w:tc>
        <w:tc>
          <w:tcPr>
            <w:tcW w:w="326" w:type="dxa"/>
            <w:tcBorders/>
            <w:vAlign w:val="center"/>
          </w:tcPr>
          <w:p>
            <w:pPr>
              <w:pStyle w:val="TableContents"/>
              <w:bidi w:val="0"/>
              <w:spacing w:before="0" w:after="1"/>
              <w:ind w:left="0" w:right="0" w:hanging="0"/>
              <w:jc w:val="center"/>
              <w:rPr/>
            </w:pPr>
            <w:r>
              <w:rPr/>
              <w:t>    </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Facilities</w:t>
            </w:r>
          </w:p>
        </w:tc>
        <w:tc>
          <w:tcPr>
            <w:tcW w:w="326" w:type="dxa"/>
            <w:tcBorders/>
            <w:vAlign w:val="center"/>
          </w:tcPr>
          <w:p>
            <w:pPr>
              <w:pStyle w:val="TableContents"/>
              <w:bidi w:val="0"/>
              <w:spacing w:before="0" w:after="1"/>
              <w:ind w:left="0" w:right="0" w:hanging="0"/>
              <w:jc w:val="center"/>
              <w:rPr/>
            </w:pPr>
            <w:r>
              <w:rPr/>
              <w:t>    </w:t>
            </w:r>
          </w:p>
        </w:tc>
        <w:tc>
          <w:tcPr>
            <w:tcW w:w="13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Eliminations</w:t>
            </w:r>
          </w:p>
        </w:tc>
        <w:tc>
          <w:tcPr>
            <w:tcW w:w="326" w:type="dxa"/>
            <w:tcBorders/>
            <w:vAlign w:val="center"/>
          </w:tcPr>
          <w:p>
            <w:pPr>
              <w:pStyle w:val="TableContents"/>
              <w:bidi w:val="0"/>
              <w:spacing w:before="0" w:after="1"/>
              <w:ind w:left="0" w:right="0" w:hanging="0"/>
              <w:jc w:val="center"/>
              <w:rPr/>
            </w:pPr>
            <w:r>
              <w:rPr/>
              <w:t>    </w:t>
            </w:r>
          </w:p>
        </w:tc>
        <w:tc>
          <w:tcPr>
            <w:tcW w:w="112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Revenue</w:t>
            </w:r>
          </w:p>
        </w:tc>
      </w:tr>
      <w:tr>
        <w:trPr/>
        <w:tc>
          <w:tcPr>
            <w:tcW w:w="3208" w:type="dxa"/>
            <w:gridSpan w:val="4"/>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Three months ended June 30, 2024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01" w:type="dxa"/>
            <w:tcBorders/>
            <w:shd w:fill="CCEEFF" w:val="clear"/>
            <w:vAlign w:val="center"/>
          </w:tcPr>
          <w:p>
            <w:pPr>
              <w:pStyle w:val="TableContents"/>
              <w:bidi w:val="0"/>
              <w:spacing w:before="0" w:after="1"/>
              <w:ind w:left="0" w:right="0" w:hanging="0"/>
              <w:jc w:val="left"/>
              <w:rPr/>
            </w:pPr>
            <w:r>
              <w:rPr/>
              <w:t>​</w:t>
            </w:r>
          </w:p>
        </w:tc>
        <w:tc>
          <w:tcPr>
            <w:tcW w:w="1110"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66" w:type="dxa"/>
            <w:tcBorders/>
            <w:shd w:fill="CCEEFF" w:val="clear"/>
            <w:vAlign w:val="center"/>
          </w:tcPr>
          <w:p>
            <w:pPr>
              <w:pStyle w:val="TableContents"/>
              <w:bidi w:val="0"/>
              <w:spacing w:before="0" w:after="1"/>
              <w:ind w:left="0" w:right="0" w:hanging="0"/>
              <w:jc w:val="left"/>
              <w:rPr/>
            </w:pPr>
            <w:r>
              <w:rPr/>
              <w:t>​</w:t>
            </w:r>
          </w:p>
        </w:tc>
        <w:tc>
          <w:tcPr>
            <w:tcW w:w="875"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302" w:type="dxa"/>
            <w:tcBorders/>
            <w:shd w:fill="CCEEFF" w:val="clear"/>
            <w:vAlign w:val="center"/>
          </w:tcPr>
          <w:p>
            <w:pPr>
              <w:pStyle w:val="TableContents"/>
              <w:bidi w:val="0"/>
              <w:spacing w:before="0" w:after="1"/>
              <w:ind w:left="0" w:right="0" w:hanging="0"/>
              <w:jc w:val="left"/>
              <w:rPr/>
            </w:pPr>
            <w:r>
              <w:rPr/>
              <w:t>​</w:t>
            </w:r>
          </w:p>
        </w:tc>
        <w:tc>
          <w:tcPr>
            <w:tcW w:w="1079"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pPr>
            <w:r>
              <w:rPr/>
              <w:t>  </w:t>
            </w:r>
          </w:p>
        </w:tc>
      </w:tr>
      <w:tr>
        <w:trPr/>
        <w:tc>
          <w:tcPr>
            <w:tcW w:w="16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Production maximization</w:t>
            </w:r>
          </w:p>
        </w:tc>
        <w:tc>
          <w:tcPr>
            <w:tcW w:w="326"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109,302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20,596</w:t>
            </w:r>
          </w:p>
        </w:tc>
        <w:tc>
          <w:tcPr>
            <w:tcW w:w="32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1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3,009</w:t>
            </w:r>
          </w:p>
        </w:tc>
        <w:tc>
          <w:tcPr>
            <w:tcW w:w="3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7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25,400</w:t>
            </w:r>
          </w:p>
        </w:tc>
        <w:tc>
          <w:tcPr>
            <w:tcW w:w="32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(7,819)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150,488</w:t>
            </w:r>
          </w:p>
        </w:tc>
      </w:tr>
      <w:tr>
        <w:trPr/>
        <w:tc>
          <w:tcPr>
            <w:tcW w:w="16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Decommissioning</w:t>
            </w:r>
          </w:p>
        </w:tc>
        <w:tc>
          <w:tcPr>
            <w:tcW w:w="326"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pPr>
            <w:r>
              <w:rPr/>
              <w:t> </w:t>
            </w:r>
          </w:p>
        </w:tc>
        <w:tc>
          <w:tcPr>
            <w:tcW w:w="96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109,640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7,099</w:t>
            </w:r>
          </w:p>
        </w:tc>
        <w:tc>
          <w:tcPr>
            <w:tcW w:w="32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 </w:t>
            </w:r>
          </w:p>
        </w:tc>
        <w:tc>
          <w:tcPr>
            <w:tcW w:w="111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47,832</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 </w:t>
            </w:r>
          </w:p>
        </w:tc>
        <w:tc>
          <w:tcPr>
            <w:tcW w:w="8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pPr>
            <w:r>
              <w:rPr/>
              <w:t> </w:t>
            </w:r>
          </w:p>
        </w:tc>
        <w:tc>
          <w:tcPr>
            <w:tcW w:w="107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(3,641)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160,930</w:t>
            </w:r>
          </w:p>
        </w:tc>
      </w:tr>
      <w:tr>
        <w:trPr/>
        <w:tc>
          <w:tcPr>
            <w:tcW w:w="16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Renewables</w:t>
            </w:r>
          </w:p>
        </w:tc>
        <w:tc>
          <w:tcPr>
            <w:tcW w:w="326"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 </w:t>
            </w:r>
          </w:p>
        </w:tc>
        <w:tc>
          <w:tcPr>
            <w:tcW w:w="96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4,269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50,493</w:t>
            </w:r>
          </w:p>
        </w:tc>
        <w:tc>
          <w:tcPr>
            <w:tcW w:w="32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 </w:t>
            </w:r>
          </w:p>
        </w:tc>
        <w:tc>
          <w:tcPr>
            <w:tcW w:w="111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 </w:t>
            </w:r>
          </w:p>
        </w:tc>
        <w:tc>
          <w:tcPr>
            <w:tcW w:w="8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 </w:t>
            </w:r>
          </w:p>
        </w:tc>
        <w:tc>
          <w:tcPr>
            <w:tcW w:w="107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(4,269)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50,493</w:t>
            </w:r>
          </w:p>
        </w:tc>
      </w:tr>
      <w:tr>
        <w:trPr/>
        <w:tc>
          <w:tcPr>
            <w:tcW w:w="16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w:t>
            </w:r>
          </w:p>
        </w:tc>
        <w:tc>
          <w:tcPr>
            <w:tcW w:w="326" w:type="dxa"/>
            <w:tcBorders/>
            <w:shd w:fill="CCEEFF" w:val="clear"/>
            <w:vAlign w:val="center"/>
          </w:tcPr>
          <w:p>
            <w:pPr>
              <w:pStyle w:val="TableContents"/>
              <w:bidi w:val="0"/>
              <w:spacing w:before="0" w:after="1"/>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1,468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3,061</w:t>
            </w:r>
          </w:p>
        </w:tc>
        <w:tc>
          <w:tcPr>
            <w:tcW w:w="326" w:type="dxa"/>
            <w:tcBorders/>
            <w:shd w:fill="CCEEFF" w:val="clear"/>
            <w:vAlign w:val="center"/>
          </w:tcPr>
          <w:p>
            <w:pPr>
              <w:pStyle w:val="TableContents"/>
              <w:bidi w:val="0"/>
              <w:spacing w:before="0" w:after="1"/>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0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(1,643)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2,886</w:t>
            </w:r>
          </w:p>
        </w:tc>
      </w:tr>
      <w:tr>
        <w:trPr/>
        <w:tc>
          <w:tcPr>
            <w:tcW w:w="16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w:t>
            </w:r>
          </w:p>
        </w:tc>
        <w:tc>
          <w:tcPr>
            <w:tcW w:w="326" w:type="dxa"/>
            <w:tcBorders/>
            <w:vAlign w:val="center"/>
          </w:tcPr>
          <w:p>
            <w:pPr>
              <w:pStyle w:val="TableContents"/>
              <w:bidi w:val="0"/>
              <w:spacing w:before="0" w:after="1"/>
              <w:ind w:left="0" w:right="0" w:hanging="0"/>
              <w:jc w:val="left"/>
              <w:rPr/>
            </w:pPr>
            <w:r>
              <w:rPr/>
              <w:t>​</w:t>
            </w:r>
          </w:p>
        </w:tc>
        <w:tc>
          <w:tcPr>
            <w:tcW w:w="254"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2"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224,679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81,249</w:t>
            </w:r>
          </w:p>
        </w:tc>
        <w:tc>
          <w:tcPr>
            <w:tcW w:w="326" w:type="dxa"/>
            <w:tcBorders/>
            <w:vAlign w:val="center"/>
          </w:tcPr>
          <w:p>
            <w:pPr>
              <w:pStyle w:val="TableContents"/>
              <w:bidi w:val="0"/>
              <w:spacing w:before="0" w:after="1"/>
              <w:ind w:left="0" w:right="0" w:hanging="0"/>
              <w:jc w:val="left"/>
              <w:rPr/>
            </w:pPr>
            <w:r>
              <w:rPr/>
              <w:t>​</w:t>
            </w:r>
          </w:p>
        </w:tc>
        <w:tc>
          <w:tcPr>
            <w:tcW w:w="30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10"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50,841</w:t>
            </w:r>
          </w:p>
        </w:tc>
        <w:tc>
          <w:tcPr>
            <w:tcW w:w="326" w:type="dxa"/>
            <w:tcBorders/>
            <w:vAlign w:val="center"/>
          </w:tcPr>
          <w:p>
            <w:pPr>
              <w:pStyle w:val="TableContents"/>
              <w:bidi w:val="0"/>
              <w:spacing w:before="0" w:after="1"/>
              <w:ind w:left="0" w:right="0" w:hanging="0"/>
              <w:jc w:val="left"/>
              <w:rPr/>
            </w:pPr>
            <w:r>
              <w:rPr/>
              <w:t>​</w:t>
            </w:r>
          </w:p>
        </w:tc>
        <w:tc>
          <w:tcPr>
            <w:tcW w:w="266"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75"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25,400</w:t>
            </w:r>
          </w:p>
        </w:tc>
        <w:tc>
          <w:tcPr>
            <w:tcW w:w="326" w:type="dxa"/>
            <w:tcBorders/>
            <w:vAlign w:val="center"/>
          </w:tcPr>
          <w:p>
            <w:pPr>
              <w:pStyle w:val="TableContents"/>
              <w:bidi w:val="0"/>
              <w:spacing w:before="0" w:after="1"/>
              <w:ind w:left="0" w:right="0" w:hanging="0"/>
              <w:jc w:val="left"/>
              <w:rPr/>
            </w:pPr>
            <w:r>
              <w:rPr/>
              <w:t>​</w:t>
            </w:r>
          </w:p>
        </w:tc>
        <w:tc>
          <w:tcPr>
            <w:tcW w:w="302"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9"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(17,372)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364,797</w:t>
            </w:r>
          </w:p>
        </w:tc>
      </w:tr>
      <w:tr>
        <w:trPr/>
        <w:tc>
          <w:tcPr>
            <w:tcW w:w="166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pPr>
            <w:r>
              <w:rPr/>
              <w:t>​</w:t>
            </w:r>
          </w:p>
        </w:tc>
        <w:tc>
          <w:tcPr>
            <w:tcW w:w="96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w:t>
            </w:r>
          </w:p>
        </w:tc>
        <w:tc>
          <w:tcPr>
            <w:tcW w:w="1110"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87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pPr>
            <w:r>
              <w:rPr/>
              <w:t>​</w:t>
            </w:r>
          </w:p>
        </w:tc>
        <w:tc>
          <w:tcPr>
            <w:tcW w:w="107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left"/>
              <w:rPr/>
            </w:pPr>
            <w:r>
              <w:rPr/>
              <w:t>​</w:t>
            </w:r>
          </w:p>
        </w:tc>
      </w:tr>
      <w:tr>
        <w:trPr/>
        <w:tc>
          <w:tcPr>
            <w:tcW w:w="3208" w:type="dxa"/>
            <w:gridSpan w:val="4"/>
            <w:tcBorders/>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Three months ended June 30, 2023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 </w:t>
            </w:r>
          </w:p>
        </w:tc>
        <w:tc>
          <w:tcPr>
            <w:tcW w:w="1110"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 </w:t>
            </w:r>
          </w:p>
        </w:tc>
        <w:tc>
          <w:tcPr>
            <w:tcW w:w="875"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 </w:t>
            </w:r>
          </w:p>
        </w:tc>
        <w:tc>
          <w:tcPr>
            <w:tcW w:w="1079"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3" w:type="dxa"/>
            <w:tcBorders/>
            <w:vAlign w:val="center"/>
          </w:tcPr>
          <w:p>
            <w:pPr>
              <w:pStyle w:val="TableContents"/>
              <w:bidi w:val="0"/>
              <w:spacing w:before="0" w:after="1"/>
              <w:ind w:left="0" w:right="0" w:hanging="0"/>
              <w:jc w:val="right"/>
              <w:rPr/>
            </w:pPr>
            <w:r>
              <w:rPr/>
              <w:t>  </w:t>
            </w:r>
          </w:p>
        </w:tc>
      </w:tr>
      <w:tr>
        <w:trPr/>
        <w:tc>
          <w:tcPr>
            <w:tcW w:w="16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Production maximization</w:t>
            </w:r>
          </w:p>
        </w:tc>
        <w:tc>
          <w:tcPr>
            <w:tcW w:w="326"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52,882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21,309</w:t>
            </w:r>
          </w:p>
        </w:tc>
        <w:tc>
          <w:tcPr>
            <w:tcW w:w="32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1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3,562</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7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23,128</w:t>
            </w:r>
          </w:p>
        </w:tc>
        <w:tc>
          <w:tcPr>
            <w:tcW w:w="32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(4,608)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96,273</w:t>
            </w:r>
          </w:p>
        </w:tc>
      </w:tr>
      <w:tr>
        <w:trPr/>
        <w:tc>
          <w:tcPr>
            <w:tcW w:w="16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Decommissioning</w:t>
            </w:r>
          </w:p>
        </w:tc>
        <w:tc>
          <w:tcPr>
            <w:tcW w:w="326"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 </w:t>
            </w:r>
          </w:p>
        </w:tc>
        <w:tc>
          <w:tcPr>
            <w:tcW w:w="96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96,176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11,873</w:t>
            </w:r>
          </w:p>
        </w:tc>
        <w:tc>
          <w:tcPr>
            <w:tcW w:w="32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 </w:t>
            </w:r>
          </w:p>
        </w:tc>
        <w:tc>
          <w:tcPr>
            <w:tcW w:w="111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72,744</w:t>
            </w:r>
          </w:p>
        </w:tc>
        <w:tc>
          <w:tcPr>
            <w:tcW w:w="3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 </w:t>
            </w:r>
          </w:p>
        </w:tc>
        <w:tc>
          <w:tcPr>
            <w:tcW w:w="8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 </w:t>
            </w:r>
          </w:p>
        </w:tc>
        <w:tc>
          <w:tcPr>
            <w:tcW w:w="107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(4,943)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175,850</w:t>
            </w:r>
          </w:p>
        </w:tc>
      </w:tr>
      <w:tr>
        <w:trPr/>
        <w:tc>
          <w:tcPr>
            <w:tcW w:w="16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Renewables</w:t>
            </w:r>
          </w:p>
        </w:tc>
        <w:tc>
          <w:tcPr>
            <w:tcW w:w="326"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pPr>
            <w:r>
              <w:rPr/>
              <w:t> </w:t>
            </w:r>
          </w:p>
        </w:tc>
        <w:tc>
          <w:tcPr>
            <w:tcW w:w="96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3,384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35,885</w:t>
            </w:r>
          </w:p>
        </w:tc>
        <w:tc>
          <w:tcPr>
            <w:tcW w:w="32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 </w:t>
            </w:r>
          </w:p>
        </w:tc>
        <w:tc>
          <w:tcPr>
            <w:tcW w:w="111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 </w:t>
            </w:r>
          </w:p>
        </w:tc>
        <w:tc>
          <w:tcPr>
            <w:tcW w:w="8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pPr>
            <w:r>
              <w:rPr/>
              <w:t> </w:t>
            </w:r>
          </w:p>
        </w:tc>
        <w:tc>
          <w:tcPr>
            <w:tcW w:w="107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(3,384)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35,885</w:t>
            </w:r>
          </w:p>
        </w:tc>
      </w:tr>
      <w:tr>
        <w:trPr/>
        <w:tc>
          <w:tcPr>
            <w:tcW w:w="16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w:t>
            </w:r>
          </w:p>
        </w:tc>
        <w:tc>
          <w:tcPr>
            <w:tcW w:w="326" w:type="dxa"/>
            <w:tcBorders/>
            <w:vAlign w:val="center"/>
          </w:tcPr>
          <w:p>
            <w:pPr>
              <w:pStyle w:val="TableContents"/>
              <w:bidi w:val="0"/>
              <w:spacing w:before="0" w:after="1"/>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1,779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983</w:t>
            </w:r>
          </w:p>
        </w:tc>
        <w:tc>
          <w:tcPr>
            <w:tcW w:w="326" w:type="dxa"/>
            <w:tcBorders/>
            <w:vAlign w:val="center"/>
          </w:tcPr>
          <w:p>
            <w:pPr>
              <w:pStyle w:val="TableContents"/>
              <w:bidi w:val="0"/>
              <w:spacing w:before="0" w:after="1"/>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1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0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7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(1,953)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809</w:t>
            </w:r>
          </w:p>
        </w:tc>
      </w:tr>
      <w:tr>
        <w:trPr/>
        <w:tc>
          <w:tcPr>
            <w:tcW w:w="16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25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154,221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70,050</w:t>
            </w:r>
          </w:p>
        </w:tc>
        <w:tc>
          <w:tcPr>
            <w:tcW w:w="326" w:type="dxa"/>
            <w:tcBorders/>
            <w:shd w:fill="CCEEFF" w:val="clear"/>
            <w:vAlign w:val="center"/>
          </w:tcPr>
          <w:p>
            <w:pPr>
              <w:pStyle w:val="TableContents"/>
              <w:bidi w:val="0"/>
              <w:spacing w:before="0" w:after="1"/>
              <w:ind w:left="0" w:right="0" w:hanging="0"/>
              <w:jc w:val="left"/>
              <w:rPr/>
            </w:pPr>
            <w:r>
              <w:rPr/>
              <w:t>​</w:t>
            </w:r>
          </w:p>
        </w:tc>
        <w:tc>
          <w:tcPr>
            <w:tcW w:w="30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1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76,306</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23,128</w:t>
            </w:r>
          </w:p>
        </w:tc>
        <w:tc>
          <w:tcPr>
            <w:tcW w:w="326" w:type="dxa"/>
            <w:tcBorders/>
            <w:shd w:fill="CCEEFF" w:val="clear"/>
            <w:vAlign w:val="center"/>
          </w:tcPr>
          <w:p>
            <w:pPr>
              <w:pStyle w:val="TableContents"/>
              <w:bidi w:val="0"/>
              <w:spacing w:before="0" w:after="1"/>
              <w:ind w:left="0" w:right="0" w:hanging="0"/>
              <w:jc w:val="left"/>
              <w:rPr/>
            </w:pPr>
            <w:r>
              <w:rPr/>
              <w:t>​</w:t>
            </w:r>
          </w:p>
        </w:tc>
        <w:tc>
          <w:tcPr>
            <w:tcW w:w="30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(14,888)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308,817</w:t>
            </w:r>
          </w:p>
        </w:tc>
      </w:tr>
      <w:tr>
        <w:trPr/>
        <w:tc>
          <w:tcPr>
            <w:tcW w:w="16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w:t>
            </w:r>
          </w:p>
        </w:tc>
        <w:tc>
          <w:tcPr>
            <w:tcW w:w="111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87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w:t>
            </w:r>
          </w:p>
        </w:tc>
        <w:tc>
          <w:tcPr>
            <w:tcW w:w="107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left"/>
              <w:rPr/>
            </w:pPr>
            <w:r>
              <w:rPr/>
              <w:t>​</w:t>
            </w:r>
          </w:p>
        </w:tc>
      </w:tr>
      <w:tr>
        <w:trPr/>
        <w:tc>
          <w:tcPr>
            <w:tcW w:w="3208" w:type="dxa"/>
            <w:gridSpan w:val="4"/>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Six months ended June 30, 2024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 </w:t>
            </w:r>
          </w:p>
        </w:tc>
        <w:tc>
          <w:tcPr>
            <w:tcW w:w="1110"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 </w:t>
            </w:r>
          </w:p>
        </w:tc>
        <w:tc>
          <w:tcPr>
            <w:tcW w:w="875"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pPr>
            <w:r>
              <w:rPr/>
              <w:t> </w:t>
            </w:r>
          </w:p>
        </w:tc>
        <w:tc>
          <w:tcPr>
            <w:tcW w:w="1079"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3" w:type="dxa"/>
            <w:tcBorders/>
            <w:shd w:fill="CCEEFF" w:val="clear"/>
            <w:vAlign w:val="center"/>
          </w:tcPr>
          <w:p>
            <w:pPr>
              <w:pStyle w:val="TableContents"/>
              <w:bidi w:val="0"/>
              <w:spacing w:before="0" w:after="1"/>
              <w:ind w:left="0" w:right="0" w:hanging="0"/>
              <w:jc w:val="right"/>
              <w:rPr/>
            </w:pPr>
            <w:r>
              <w:rPr/>
              <w:t>  </w:t>
            </w:r>
          </w:p>
        </w:tc>
      </w:tr>
      <w:tr>
        <w:trPr/>
        <w:tc>
          <w:tcPr>
            <w:tcW w:w="16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Production maximization</w:t>
            </w:r>
          </w:p>
        </w:tc>
        <w:tc>
          <w:tcPr>
            <w:tcW w:w="326"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179,751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39,032</w:t>
            </w:r>
          </w:p>
        </w:tc>
        <w:tc>
          <w:tcPr>
            <w:tcW w:w="32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1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6,251</w:t>
            </w:r>
          </w:p>
        </w:tc>
        <w:tc>
          <w:tcPr>
            <w:tcW w:w="3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7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49,552</w:t>
            </w:r>
          </w:p>
        </w:tc>
        <w:tc>
          <w:tcPr>
            <w:tcW w:w="32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(19,211)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255,375</w:t>
            </w:r>
          </w:p>
        </w:tc>
      </w:tr>
      <w:tr>
        <w:trPr/>
        <w:tc>
          <w:tcPr>
            <w:tcW w:w="16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Decommissioning</w:t>
            </w:r>
          </w:p>
        </w:tc>
        <w:tc>
          <w:tcPr>
            <w:tcW w:w="326"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pPr>
            <w:r>
              <w:rPr/>
              <w:t> </w:t>
            </w:r>
          </w:p>
        </w:tc>
        <w:tc>
          <w:tcPr>
            <w:tcW w:w="96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252,325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12,511</w:t>
            </w:r>
          </w:p>
        </w:tc>
        <w:tc>
          <w:tcPr>
            <w:tcW w:w="32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 </w:t>
            </w:r>
          </w:p>
        </w:tc>
        <w:tc>
          <w:tcPr>
            <w:tcW w:w="111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71,443</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 </w:t>
            </w:r>
          </w:p>
        </w:tc>
        <w:tc>
          <w:tcPr>
            <w:tcW w:w="8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pPr>
            <w:r>
              <w:rPr/>
              <w:t> </w:t>
            </w:r>
          </w:p>
        </w:tc>
        <w:tc>
          <w:tcPr>
            <w:tcW w:w="107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(10,569)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325,710</w:t>
            </w:r>
          </w:p>
        </w:tc>
      </w:tr>
      <w:tr>
        <w:trPr/>
        <w:tc>
          <w:tcPr>
            <w:tcW w:w="16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Renewables</w:t>
            </w:r>
          </w:p>
        </w:tc>
        <w:tc>
          <w:tcPr>
            <w:tcW w:w="326"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 </w:t>
            </w:r>
          </w:p>
        </w:tc>
        <w:tc>
          <w:tcPr>
            <w:tcW w:w="96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6,773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74,665</w:t>
            </w:r>
          </w:p>
        </w:tc>
        <w:tc>
          <w:tcPr>
            <w:tcW w:w="32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 </w:t>
            </w:r>
          </w:p>
        </w:tc>
        <w:tc>
          <w:tcPr>
            <w:tcW w:w="111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 </w:t>
            </w:r>
          </w:p>
        </w:tc>
        <w:tc>
          <w:tcPr>
            <w:tcW w:w="8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 </w:t>
            </w:r>
          </w:p>
        </w:tc>
        <w:tc>
          <w:tcPr>
            <w:tcW w:w="107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(6,773)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74,665</w:t>
            </w:r>
          </w:p>
        </w:tc>
      </w:tr>
      <w:tr>
        <w:trPr/>
        <w:tc>
          <w:tcPr>
            <w:tcW w:w="16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w:t>
            </w:r>
          </w:p>
        </w:tc>
        <w:tc>
          <w:tcPr>
            <w:tcW w:w="326" w:type="dxa"/>
            <w:tcBorders/>
            <w:shd w:fill="CCEEFF" w:val="clear"/>
            <w:vAlign w:val="center"/>
          </w:tcPr>
          <w:p>
            <w:pPr>
              <w:pStyle w:val="TableContents"/>
              <w:bidi w:val="0"/>
              <w:spacing w:before="0" w:after="1"/>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2,289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5,350</w:t>
            </w:r>
          </w:p>
        </w:tc>
        <w:tc>
          <w:tcPr>
            <w:tcW w:w="326" w:type="dxa"/>
            <w:tcBorders/>
            <w:shd w:fill="CCEEFF" w:val="clear"/>
            <w:vAlign w:val="center"/>
          </w:tcPr>
          <w:p>
            <w:pPr>
              <w:pStyle w:val="TableContents"/>
              <w:bidi w:val="0"/>
              <w:spacing w:before="0" w:after="1"/>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0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(2,381)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5,258</w:t>
            </w:r>
          </w:p>
        </w:tc>
      </w:tr>
      <w:tr>
        <w:trPr/>
        <w:tc>
          <w:tcPr>
            <w:tcW w:w="16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w:t>
            </w:r>
          </w:p>
        </w:tc>
        <w:tc>
          <w:tcPr>
            <w:tcW w:w="326" w:type="dxa"/>
            <w:tcBorders/>
            <w:vAlign w:val="center"/>
          </w:tcPr>
          <w:p>
            <w:pPr>
              <w:pStyle w:val="TableContents"/>
              <w:bidi w:val="0"/>
              <w:spacing w:before="0" w:after="1"/>
              <w:ind w:left="0" w:right="0" w:hanging="0"/>
              <w:jc w:val="left"/>
              <w:rPr/>
            </w:pPr>
            <w:r>
              <w:rPr/>
              <w:t>​</w:t>
            </w:r>
          </w:p>
        </w:tc>
        <w:tc>
          <w:tcPr>
            <w:tcW w:w="254"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2"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441,138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131,558</w:t>
            </w:r>
          </w:p>
        </w:tc>
        <w:tc>
          <w:tcPr>
            <w:tcW w:w="326" w:type="dxa"/>
            <w:tcBorders/>
            <w:vAlign w:val="center"/>
          </w:tcPr>
          <w:p>
            <w:pPr>
              <w:pStyle w:val="TableContents"/>
              <w:bidi w:val="0"/>
              <w:spacing w:before="0" w:after="1"/>
              <w:ind w:left="0" w:right="0" w:hanging="0"/>
              <w:jc w:val="left"/>
              <w:rPr/>
            </w:pPr>
            <w:r>
              <w:rPr/>
              <w:t>​</w:t>
            </w:r>
          </w:p>
        </w:tc>
        <w:tc>
          <w:tcPr>
            <w:tcW w:w="30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10"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77,694</w:t>
            </w:r>
          </w:p>
        </w:tc>
        <w:tc>
          <w:tcPr>
            <w:tcW w:w="326" w:type="dxa"/>
            <w:tcBorders/>
            <w:vAlign w:val="center"/>
          </w:tcPr>
          <w:p>
            <w:pPr>
              <w:pStyle w:val="TableContents"/>
              <w:bidi w:val="0"/>
              <w:spacing w:before="0" w:after="1"/>
              <w:ind w:left="0" w:right="0" w:hanging="0"/>
              <w:jc w:val="left"/>
              <w:rPr/>
            </w:pPr>
            <w:r>
              <w:rPr/>
              <w:t>​</w:t>
            </w:r>
          </w:p>
        </w:tc>
        <w:tc>
          <w:tcPr>
            <w:tcW w:w="266"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75"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49,552</w:t>
            </w:r>
          </w:p>
        </w:tc>
        <w:tc>
          <w:tcPr>
            <w:tcW w:w="326" w:type="dxa"/>
            <w:tcBorders/>
            <w:vAlign w:val="center"/>
          </w:tcPr>
          <w:p>
            <w:pPr>
              <w:pStyle w:val="TableContents"/>
              <w:bidi w:val="0"/>
              <w:spacing w:before="0" w:after="1"/>
              <w:ind w:left="0" w:right="0" w:hanging="0"/>
              <w:jc w:val="left"/>
              <w:rPr/>
            </w:pPr>
            <w:r>
              <w:rPr/>
              <w:t>​</w:t>
            </w:r>
          </w:p>
        </w:tc>
        <w:tc>
          <w:tcPr>
            <w:tcW w:w="302"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9"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(38,934)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661,008</w:t>
            </w:r>
          </w:p>
        </w:tc>
      </w:tr>
      <w:tr>
        <w:trPr/>
        <w:tc>
          <w:tcPr>
            <w:tcW w:w="166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pPr>
            <w:r>
              <w:rPr/>
              <w:t>​</w:t>
            </w:r>
          </w:p>
        </w:tc>
        <w:tc>
          <w:tcPr>
            <w:tcW w:w="96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w:t>
            </w:r>
          </w:p>
        </w:tc>
        <w:tc>
          <w:tcPr>
            <w:tcW w:w="1110"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87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pPr>
            <w:r>
              <w:rPr/>
              <w:t>​</w:t>
            </w:r>
          </w:p>
        </w:tc>
        <w:tc>
          <w:tcPr>
            <w:tcW w:w="107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left"/>
              <w:rPr/>
            </w:pPr>
            <w:r>
              <w:rPr/>
              <w:t>​</w:t>
            </w:r>
          </w:p>
        </w:tc>
      </w:tr>
      <w:tr>
        <w:trPr/>
        <w:tc>
          <w:tcPr>
            <w:tcW w:w="3208" w:type="dxa"/>
            <w:gridSpan w:val="4"/>
            <w:tcBorders/>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Six months ended June 30, 2023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 </w:t>
            </w:r>
          </w:p>
        </w:tc>
        <w:tc>
          <w:tcPr>
            <w:tcW w:w="1110"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 </w:t>
            </w:r>
          </w:p>
        </w:tc>
        <w:tc>
          <w:tcPr>
            <w:tcW w:w="875"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 </w:t>
            </w:r>
          </w:p>
        </w:tc>
        <w:tc>
          <w:tcPr>
            <w:tcW w:w="1079"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3" w:type="dxa"/>
            <w:tcBorders/>
            <w:vAlign w:val="center"/>
          </w:tcPr>
          <w:p>
            <w:pPr>
              <w:pStyle w:val="TableContents"/>
              <w:bidi w:val="0"/>
              <w:spacing w:before="0" w:after="1"/>
              <w:ind w:left="0" w:right="0" w:hanging="0"/>
              <w:jc w:val="right"/>
              <w:rPr/>
            </w:pPr>
            <w:r>
              <w:rPr/>
              <w:t>  </w:t>
            </w:r>
          </w:p>
        </w:tc>
      </w:tr>
      <w:tr>
        <w:trPr/>
        <w:tc>
          <w:tcPr>
            <w:tcW w:w="16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Production maximization</w:t>
            </w:r>
          </w:p>
        </w:tc>
        <w:tc>
          <w:tcPr>
            <w:tcW w:w="326"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100,149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48,028</w:t>
            </w:r>
          </w:p>
        </w:tc>
        <w:tc>
          <w:tcPr>
            <w:tcW w:w="32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1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6,969</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7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44,033</w:t>
            </w:r>
          </w:p>
        </w:tc>
        <w:tc>
          <w:tcPr>
            <w:tcW w:w="32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(8,425)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190,754</w:t>
            </w:r>
          </w:p>
        </w:tc>
      </w:tr>
      <w:tr>
        <w:trPr/>
        <w:tc>
          <w:tcPr>
            <w:tcW w:w="16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Decommissioning</w:t>
            </w:r>
          </w:p>
        </w:tc>
        <w:tc>
          <w:tcPr>
            <w:tcW w:w="326"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 </w:t>
            </w:r>
          </w:p>
        </w:tc>
        <w:tc>
          <w:tcPr>
            <w:tcW w:w="96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188,796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22,921</w:t>
            </w:r>
          </w:p>
        </w:tc>
        <w:tc>
          <w:tcPr>
            <w:tcW w:w="32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 </w:t>
            </w:r>
          </w:p>
        </w:tc>
        <w:tc>
          <w:tcPr>
            <w:tcW w:w="111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118,718</w:t>
            </w:r>
          </w:p>
        </w:tc>
        <w:tc>
          <w:tcPr>
            <w:tcW w:w="3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 </w:t>
            </w:r>
          </w:p>
        </w:tc>
        <w:tc>
          <w:tcPr>
            <w:tcW w:w="8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 </w:t>
            </w:r>
          </w:p>
        </w:tc>
        <w:tc>
          <w:tcPr>
            <w:tcW w:w="107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(10,014)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320,421</w:t>
            </w:r>
          </w:p>
        </w:tc>
      </w:tr>
      <w:tr>
        <w:trPr/>
        <w:tc>
          <w:tcPr>
            <w:tcW w:w="16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Renewables</w:t>
            </w:r>
          </w:p>
        </w:tc>
        <w:tc>
          <w:tcPr>
            <w:tcW w:w="326"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pPr>
            <w:r>
              <w:rPr/>
              <w:t> </w:t>
            </w:r>
          </w:p>
        </w:tc>
        <w:tc>
          <w:tcPr>
            <w:tcW w:w="96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4,710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44,563</w:t>
            </w:r>
          </w:p>
        </w:tc>
        <w:tc>
          <w:tcPr>
            <w:tcW w:w="32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 </w:t>
            </w:r>
          </w:p>
        </w:tc>
        <w:tc>
          <w:tcPr>
            <w:tcW w:w="111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 </w:t>
            </w:r>
          </w:p>
        </w:tc>
        <w:tc>
          <w:tcPr>
            <w:tcW w:w="8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pPr>
            <w:r>
              <w:rPr/>
              <w:t> </w:t>
            </w:r>
          </w:p>
        </w:tc>
        <w:tc>
          <w:tcPr>
            <w:tcW w:w="107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(4,710)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44,563</w:t>
            </w:r>
          </w:p>
        </w:tc>
      </w:tr>
      <w:tr>
        <w:trPr/>
        <w:tc>
          <w:tcPr>
            <w:tcW w:w="16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w:t>
            </w:r>
          </w:p>
        </w:tc>
        <w:tc>
          <w:tcPr>
            <w:tcW w:w="326" w:type="dxa"/>
            <w:tcBorders/>
            <w:vAlign w:val="center"/>
          </w:tcPr>
          <w:p>
            <w:pPr>
              <w:pStyle w:val="TableContents"/>
              <w:bidi w:val="0"/>
              <w:spacing w:before="0" w:after="1"/>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3,004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3,760</w:t>
            </w:r>
          </w:p>
        </w:tc>
        <w:tc>
          <w:tcPr>
            <w:tcW w:w="326" w:type="dxa"/>
            <w:tcBorders/>
            <w:vAlign w:val="center"/>
          </w:tcPr>
          <w:p>
            <w:pPr>
              <w:pStyle w:val="TableContents"/>
              <w:bidi w:val="0"/>
              <w:spacing w:before="0" w:after="1"/>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1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0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7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(3,601)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3,163</w:t>
            </w:r>
          </w:p>
        </w:tc>
      </w:tr>
      <w:tr>
        <w:trPr/>
        <w:tc>
          <w:tcPr>
            <w:tcW w:w="16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25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296,659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119,272</w:t>
            </w:r>
          </w:p>
        </w:tc>
        <w:tc>
          <w:tcPr>
            <w:tcW w:w="326" w:type="dxa"/>
            <w:tcBorders/>
            <w:shd w:fill="CCEEFF" w:val="clear"/>
            <w:vAlign w:val="center"/>
          </w:tcPr>
          <w:p>
            <w:pPr>
              <w:pStyle w:val="TableContents"/>
              <w:bidi w:val="0"/>
              <w:spacing w:before="0" w:after="1"/>
              <w:ind w:left="0" w:right="0" w:hanging="0"/>
              <w:jc w:val="left"/>
              <w:rPr/>
            </w:pPr>
            <w:r>
              <w:rPr/>
              <w:t>​</w:t>
            </w:r>
          </w:p>
        </w:tc>
        <w:tc>
          <w:tcPr>
            <w:tcW w:w="30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1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125,687</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44,033</w:t>
            </w:r>
          </w:p>
        </w:tc>
        <w:tc>
          <w:tcPr>
            <w:tcW w:w="326" w:type="dxa"/>
            <w:tcBorders/>
            <w:shd w:fill="CCEEFF" w:val="clear"/>
            <w:vAlign w:val="center"/>
          </w:tcPr>
          <w:p>
            <w:pPr>
              <w:pStyle w:val="TableContents"/>
              <w:bidi w:val="0"/>
              <w:spacing w:before="0" w:after="1"/>
              <w:ind w:left="0" w:right="0" w:hanging="0"/>
              <w:jc w:val="left"/>
              <w:rPr/>
            </w:pPr>
            <w:r>
              <w:rPr/>
              <w:t>​</w:t>
            </w:r>
          </w:p>
        </w:tc>
        <w:tc>
          <w:tcPr>
            <w:tcW w:w="30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(26,750)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558,901</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Contract Balances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Contract assets are rights to consideration in exchange for services that we have provided to a customer when those rights are conditioned on our future performance. Contract assets generally consist of (i) demobilization fees recognized ratably over the contract term but invoiced upon completion of the demobilization activities and (ii) revenue recognized in excess of the amount billed to the customer for lump sum contracts when the cost-to-cost method of revenue recognition is utilized. Contract assets are reflected in “Other current assets” in the accompanying condensed consolidated balance sheets (Note 3). Contract assets were $10.0 million as of June 30, 2024 and $5.8 million as of December 31, 2023. We had no credit losses on our contract assets for the three- and six-month periods ended June 30, 2024 and 2023.</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Contract liabilities are obligations to provide future services to a customer for which we have already received, or have the unconditional right to receive, the consideration for those services from the customer. Contract liabilities may consist of (i) advance payments received from customers, including upfront mobilization fees allocated to a single performance obligation and recognized ratably over the contract term and/or (ii) amounts billed to the customer in excess of revenue recognized for lump sum contracts when the cost-to-cost method of revenue recognition is utilized. Contract liabilities are reflected as “Deferred revenue,” a component of “Accrued liabilities” in the accompanying condensed consolidated balance sheets (Note 3). Contract liabilities totaled $17.1 million as of June 30, 2024 and $32.8 million as of December 31, 2023. Revenue recognized for the three- and six-month periods ended June 30, 2024 included $18.2 million and $31.0 million, respectively, that were included in the contract liability balance at the beginning of each period. Revenue recognized for the three- and six-month periods ended June 30, 2023 included $9.4 million and $8.0 million, respectively, that were included in the contract liability balance at the beginning of each period.</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17</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report the net contract asset or contract liability position on a contract-by-contract basis at the end of each reporting period.</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Performance Obligations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As of June 30, 2024, approximately $873.3 million related to unsatisfied performance obligations was expected to be recognized as revenue in the future, with $443.4 million, $403.8 million and $26.0 million in </w:t>
      </w:r>
      <w:r>
        <w:rPr>
          <w:rFonts w:ascii="Arial;Helvetica;sans-serif" w:hAnsi="Arial;Helvetica;sans-serif"/>
          <w:b w:val="false"/>
          <w:i w:val="false"/>
          <w:caps w:val="false"/>
          <w:smallCaps w:val="false"/>
          <w:sz w:val="20"/>
        </w:rPr>
        <w:t>2024</w:t>
      </w:r>
      <w:r>
        <w:rPr>
          <w:rFonts w:ascii="Arial;Helvetica;sans-serif" w:hAnsi="Arial;Helvetica;sans-serif"/>
          <w:sz w:val="20"/>
        </w:rPr>
        <w:t xml:space="preserve">, </w:t>
      </w:r>
      <w:r>
        <w:rPr>
          <w:rFonts w:ascii="Arial;Helvetica;sans-serif" w:hAnsi="Arial;Helvetica;sans-serif"/>
          <w:b w:val="false"/>
          <w:i w:val="false"/>
          <w:caps w:val="false"/>
          <w:smallCaps w:val="false"/>
          <w:sz w:val="20"/>
        </w:rPr>
        <w:t>2025</w:t>
      </w:r>
      <w:r>
        <w:rPr>
          <w:rFonts w:ascii="Arial;Helvetica;sans-serif" w:hAnsi="Arial;Helvetica;sans-serif"/>
          <w:sz w:val="20"/>
        </w:rPr>
        <w:t xml:space="preserve"> and </w:t>
      </w:r>
      <w:r>
        <w:rPr>
          <w:rFonts w:ascii="Arial;Helvetica;sans-serif" w:hAnsi="Arial;Helvetica;sans-serif"/>
          <w:b w:val="false"/>
          <w:i w:val="false"/>
          <w:caps w:val="false"/>
          <w:smallCaps w:val="false"/>
          <w:sz w:val="20"/>
        </w:rPr>
        <w:t>2026</w:t>
      </w:r>
      <w:r>
        <w:rPr>
          <w:rFonts w:ascii="Arial;Helvetica;sans-serif" w:hAnsi="Arial;Helvetica;sans-serif"/>
          <w:sz w:val="20"/>
        </w:rPr>
        <w:t>, respectively. These amounts include fixed consideration and estimated variable consideration for both wholly and partially unsatisfied performance obligations, including mobilization and demobilization fees. These amounts are derived from the specific terms of our contracts, and the expected timing for revenue recognition is based on the estimated start date and duration of each contract according to the information known at June 30, 2024.</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For the three- and six-month periods ended June 30, 2024 and 2023, revenues recognized from performance obligations satisfied (or partially satisfied) in previous periods were immaterial.</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Contract Fulfillment Costs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Contract fulfillment costs consist of costs incurred in fulfilling a contract with a customer. Our contract fulfillment costs primarily relate to costs incurred for mobilization of personnel and equipment at the beginning of a contract and costs incurred for demobilization at the end of a contract. Mobilization costs are deferred and amortized ratably over the contract term (including anticipated contract extensions) based on the pattern of the provision of services to which the contract fulfillment costs relate. Demobilization costs are recognized when incurred at the end of the contract. Deferred contract costs are reflected as “Deferred costs,” a component of “Other current assets” and “Other assets, net” in the accompanying condensed consolidated balance sheets (Note 3). Our deferred contract costs totaled $24.1 million as of June 30, 2024 and $36.6 million as of December 31, 2023. For the three- and six-month periods ended June 30, 2024, we recorded $11.0 million and $31.3 million, respectively, related to amortization of these deferred contract costs. For the three- and six-month periods ended June 30, 2023, we recorded $14.4 million and $19.1 million, respectively, related to amortization of these deferred contract costs. There were no associated impairment losses for any period presented.</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For additional information regarding revenue recognition, see Notes 2 and 11 to our 2023 Form 10-K.</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Note 9 — Earnings Per Share</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have shares of restricted stock issued and outstanding that are currently unvested. Because holders of shares of unvested restricted stock are entitled to the same liquidation and dividend rights as the holders of our unrestricted common stock, we are required to compute earnings per share (“EPS”) under the two-class method in periods in which we have earnings. Under the two-class method, net income for each period is allocated based on the participation rights of both common shareholders and the holders of any participating securities as if earnings for the respective periods had been distributed. For periods in which we have a net loss we do not use the two-class method as holders of our restricted shares are not obligated to share in such losses.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18</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Arial;Helvetica;sans-serif" w:hAnsi="Arial;Helvetica;sans-serif"/>
          <w:sz w:val="20"/>
        </w:rPr>
      </w:pPr>
      <w:bookmarkStart w:id="1105" w:name="Tc_guj-yG9OKUWOeKg3CPAtqA_5_2"/>
      <w:bookmarkStart w:id="1106" w:name="Tc_woJ2OjcyukiAgJ7u8WBFuw_5_0"/>
      <w:bookmarkStart w:id="1107" w:name="Tc_T1u1mN9ZBk2Jv8svWY4Rhw_4_6"/>
      <w:bookmarkStart w:id="1108" w:name="Tc_Bjwz4kAj3UWvQ21qB6OzyQ_4_2"/>
      <w:bookmarkStart w:id="1109" w:name="Tc_ItcGwOXPcE-0QPHQO1Kfkg_4_0"/>
      <w:bookmarkStart w:id="1110" w:name="Tc_to-Y-oGK-0GpB7ynS94lDw_3_8"/>
      <w:bookmarkStart w:id="1111" w:name="Tc_wB9XHbQEX0yd9RR0qFHHuQ_3_6"/>
      <w:bookmarkStart w:id="1112" w:name="Tc_j3jy7UzK5UGibT3sTc8phw_3_4"/>
      <w:bookmarkStart w:id="1113" w:name="Tc_62RQ9DVZWUCc_j21H2NLSA_3_2"/>
      <w:bookmarkStart w:id="1114" w:name="Tc_PKqctqstnEqEhfpDo2gldw_2_6"/>
      <w:bookmarkStart w:id="1115" w:name="Tc_WJauUysNTUuz6tu3Od9O4g_2_2"/>
      <w:bookmarkStart w:id="1116" w:name="Tc_qzuPzN0UN0OPggVHkYRpxQ_1_6"/>
      <w:bookmarkStart w:id="1117" w:name="Tc_sZ6Z5J7D9kizTiWBiFLNQg_1_2"/>
      <w:bookmarkStart w:id="1118" w:name="_ea56b053_1b0b_4786_bb71_3681b0496a6c"/>
      <w:bookmarkStart w:id="1119" w:name="Tc_mVg2pnCKi0uTvhNde-gkAQ_15_0"/>
      <w:bookmarkStart w:id="1120" w:name="Tc_zXVNnN6x10-xamoJIV9Iiw_13_7"/>
      <w:bookmarkStart w:id="1121" w:name="Tc_K8hXEZjxdEufKvipwo71Lw_13_2"/>
      <w:bookmarkStart w:id="1122" w:name="Tc_WnZZojxKBki6CHaoUPND6A_13_0"/>
      <w:bookmarkStart w:id="1123" w:name="Tc_STjHcbY7YEi4icp1twNGaA_12_8"/>
      <w:bookmarkStart w:id="1124" w:name="Tc_XjZO0_40O0OHuxJELnYBlw_12_3"/>
      <w:bookmarkStart w:id="1125" w:name="Tc_VEE5noqiNkq_7-ZbOpEeyw_12_0"/>
      <w:bookmarkStart w:id="1126" w:name="Tc_SG8hr8bNiUyl3FB8_DfRkQ_11_0"/>
      <w:bookmarkStart w:id="1127" w:name="Tc_S7Dpn0rMd0y8PqidGZV8rg_10_7"/>
      <w:bookmarkStart w:id="1128" w:name="Tc_ub4veUy1FEOQWB2TW08AMQ_10_2"/>
      <w:bookmarkStart w:id="1129" w:name="Tc_R9nPUnXT3kODKlHi3Gc4wg_10_0"/>
      <w:bookmarkStart w:id="1130" w:name="Tc_jldX-cD4PU-9I27cX8kdCQ_9_0"/>
      <w:bookmarkStart w:id="1131" w:name="Tc_q3g4NjLV3UCuhSh9f1mbkw_7_7"/>
      <w:bookmarkStart w:id="1132" w:name="Tc_Vcs5XJ-GNEKnNcj0k5ObZw_7_2"/>
      <w:bookmarkStart w:id="1133" w:name="Tc_KTGBZpHJt0C_8DFIgtP4Dg_7_0"/>
      <w:bookmarkStart w:id="1134" w:name="Tc_i9v8kHQ4RUyPz1yrz-ph6Q_6_0"/>
      <w:bookmarkStart w:id="1135" w:name="Tc_t7Hnal0Alkao_9e1WLD9mw_5_7"/>
      <w:bookmarkStart w:id="1136" w:name="Tc_AssG2T_s10CpyDqZ3ahfyw_5_2"/>
      <w:bookmarkStart w:id="1137" w:name="Tc_2TrlHLKE50GMqWNDr4Ma5g_5_0"/>
      <w:bookmarkStart w:id="1138" w:name="Tc_q-eN1foP80KxkE3L68XNqg_4_0"/>
      <w:bookmarkStart w:id="1139" w:name="Tc_GVAwqjuWB0Cxl6mDCmPThg_3_10"/>
      <w:bookmarkStart w:id="1140" w:name="Tc_kee_eBbFAECtWs7G4LispA_3_7"/>
      <w:bookmarkStart w:id="1141" w:name="Tc_qVUuWOH0mkqvWA8gFQdvmg_3_5"/>
      <w:bookmarkStart w:id="1142" w:name="Tc_piKX4Uj-fEOqLk7j4MawDw_3_2"/>
      <w:bookmarkStart w:id="1143" w:name="Tc_3aWUpG5pGkKQ8uDiuD6o-g_2_7"/>
      <w:bookmarkStart w:id="1144" w:name="Tc_n6jh09APmU6c0RgurX0T0g_2_2"/>
      <w:bookmarkStart w:id="1145" w:name="Tc_DypRb_EVEESDZu_lpGaFHQ_1_7"/>
      <w:bookmarkStart w:id="1146" w:name="Tc_1yOOccXHrkqhZooOcl5hLQ_1_2"/>
      <w:bookmarkStart w:id="1147" w:name="_bbaea445_6d31_4ee5_80c6_5a30745b1891"/>
      <w:bookmarkStart w:id="1148" w:name="Tc_jKy2zqBjd0mRl_HOl6QlhQ_16_0"/>
      <w:bookmarkStart w:id="1149" w:name="Tc_Ozt8UqIc2USAQq4fEdyudQ_14_7"/>
      <w:bookmarkStart w:id="1150" w:name="Tc_VEwE1hLL6kCII9ONmCpnZw_14_2"/>
      <w:bookmarkStart w:id="1151" w:name="Tc_PnVceaj1TUST0STLkvpIrA_14_0"/>
      <w:bookmarkStart w:id="1152" w:name="Tc_q0hfQjTi9UOfXITrVnntIw_13_10"/>
      <w:bookmarkStart w:id="1153" w:name="Tc_UdUk28Z0BEqRULHQO7M_pQ_13_8"/>
      <w:bookmarkStart w:id="1154" w:name="Tc_iYfMf-6m7Ueiu28LAegQBg_13_5"/>
      <w:bookmarkStart w:id="1155" w:name="Tc_oUJOpKmAvUC75f4LmONp9A_13_0"/>
      <w:bookmarkStart w:id="1156" w:name="Tc_THjQa6VQkk-j-326DD-T4w_12_8"/>
      <w:bookmarkStart w:id="1157" w:name="Tc_dj38SZBDZEqGMhPSUFpwwg_12_3"/>
      <w:bookmarkStart w:id="1158" w:name="Tc_EjLLk1dRP0-G6GLXKrUzIg_12_0"/>
      <w:bookmarkStart w:id="1159" w:name="Tc_39dx_fjMXUK1EAy2MMEKOg_11_0"/>
      <w:bookmarkStart w:id="1160" w:name="Tc_snp5gOmTSkaa72YbPaAe3w_10_7"/>
      <w:bookmarkStart w:id="1161" w:name="Tc_sT-3ZaeXmUKp8Fi60OcfAQ_10_2"/>
      <w:bookmarkStart w:id="1162" w:name="Tc_mh5DgPsXWE-HPNr-NUmJdQ_10_0"/>
      <w:bookmarkStart w:id="1163" w:name="Tc_kM6Gw5CP5Uit9Uyq4qaWPg_9_0"/>
      <w:bookmarkStart w:id="1164" w:name="Tc_gc_MrEpE80GpdGTkCdqGnA_7_7"/>
      <w:bookmarkStart w:id="1165" w:name="Tc_ITtfHMC4ek-fY_m4piiqsw_7_2"/>
      <w:bookmarkStart w:id="1166" w:name="Tc_D-eyoMqENku3MFJ64crKLA_7_0"/>
      <w:bookmarkStart w:id="1167" w:name="Tc_SUT3sgdBp02Z8TNVmdO4mQ_6_0"/>
      <w:bookmarkStart w:id="1168" w:name="Tc_3gak0tkoLk67NKqdQRy5NQ_5_7"/>
      <w:bookmarkStart w:id="1169" w:name="Tc_nl6fHirRA02e2rHQZwRvFg_5_2"/>
      <w:bookmarkStart w:id="1170" w:name="Tc_mq9v0A7AO0WHblrkWLFReg_5_0"/>
      <w:bookmarkStart w:id="1171" w:name="Tc_jGLux57Wn0y7oeSsfiIqYQ_4_0"/>
      <w:bookmarkStart w:id="1172" w:name="Tc_id_NWMDsqE2t17CsnxQ6rg_3_10"/>
      <w:bookmarkStart w:id="1173" w:name="Tc_IXaoUBHMgkiw7eRiCxTeXw_3_7"/>
      <w:bookmarkStart w:id="1174" w:name="Tc_UdMkJd6U4UaF33ygdB5lwQ_3_5"/>
      <w:bookmarkStart w:id="1175" w:name="Tc_2ELgy-OS-UyefysX3LFp0A_3_2"/>
      <w:bookmarkStart w:id="1176" w:name="Tc_d9PNNruRZku0CazHRP5waw_2_7"/>
      <w:bookmarkStart w:id="1177" w:name="Tc_4FeWWjZaUUCmVkzlQI5WPg_2_2"/>
      <w:bookmarkStart w:id="1178" w:name="Tc_rgsnXQ2sAEynuV2kLxhFfQ_1_7"/>
      <w:bookmarkStart w:id="1179" w:name="Tc_u5wiStL1oUWIhA8Gbs8nsg_1_2"/>
      <w:bookmarkStart w:id="1180" w:name="_49d709f8_a9e2_4d22_963c_e1b9f0fadeb5"/>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r>
        <w:rPr>
          <w:rFonts w:ascii="Arial;Helvetica;sans-serif" w:hAnsi="Arial;Helvetica;sans-serif"/>
          <w:sz w:val="20"/>
        </w:rPr>
        <w:t>Basic EPS is computed by dividing net income allocated to common shareholders or net loss by the weighted average shares of our common stock outstanding. Diluted EPS is computed in a similar manner after considering the potential dilutive effect of share-based awards and convertible senior notes and taking the more dilutive of the two-class method and the treasury stock method or if-converted method, as applicable. The dilutive effect of share-based awards is computed using the treasury stock method, as applicable, which includes the incremental shares that would be hypothetically vested in excess of the number of shares assumed to be hypothetically repurchased with the assumed proceeds. The effect of convertible senior notes is computed for the periods in which they are outstanding using the if-converted method, if dilutive, which assumes conversion of the convertible senior notes into shares of our common stock at the beginning of the period, giving income recognition for the add-back of related interest expense (net of tax). The computations of the numerator (earnings or loss) and denominator (shares) to derive the basic and diluted EPS amounts presented on the face of the accompanying condensed consolidated statements of operations are as follows (in thousands):</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5328"/>
        <w:gridCol w:w="326"/>
        <w:gridCol w:w="218"/>
        <w:gridCol w:w="714"/>
        <w:gridCol w:w="337"/>
        <w:gridCol w:w="823"/>
        <w:gridCol w:w="326"/>
        <w:gridCol w:w="228"/>
        <w:gridCol w:w="635"/>
        <w:gridCol w:w="353"/>
        <w:gridCol w:w="917"/>
      </w:tblGrid>
      <w:tr>
        <w:trPr/>
        <w:tc>
          <w:tcPr>
            <w:tcW w:w="532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07010" cy="175260"/>
                      <wp:effectExtent l="0" t="0" r="0" b="0"/>
                      <wp:wrapNone/>
                      <wp:docPr id="200" name="Frame1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38430" cy="175260"/>
                      <wp:effectExtent l="0" t="0" r="0" b="0"/>
                      <wp:wrapNone/>
                      <wp:docPr id="201" name="Frame200"/>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453390" cy="175260"/>
                      <wp:effectExtent l="0" t="0" r="0" b="0"/>
                      <wp:wrapNone/>
                      <wp:docPr id="202" name="Frame201"/>
                      <a:graphic xmlns:a="http://schemas.openxmlformats.org/drawingml/2006/main">
                        <a:graphicData uri="http://schemas.microsoft.com/office/word/2010/wordprocessingShape">
                          <wps:wsp>
                            <wps:cNvSpPr txBox="1"/>
                            <wps:spPr>
                              <a:xfrm>
                                <a:off x="0" y="0"/>
                                <a:ext cx="453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13995" cy="175260"/>
                      <wp:effectExtent l="0" t="0" r="0" b="0"/>
                      <wp:wrapNone/>
                      <wp:docPr id="203" name="Frame202"/>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522605" cy="175260"/>
                      <wp:effectExtent l="0" t="0" r="0" b="0"/>
                      <wp:wrapNone/>
                      <wp:docPr id="204" name="Frame203"/>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07010" cy="175260"/>
                      <wp:effectExtent l="0" t="0" r="0" b="0"/>
                      <wp:wrapNone/>
                      <wp:docPr id="205" name="Frame2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44780" cy="175260"/>
                      <wp:effectExtent l="0" t="0" r="0" b="0"/>
                      <wp:wrapNone/>
                      <wp:docPr id="206" name="Frame205"/>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403225" cy="175260"/>
                      <wp:effectExtent l="0" t="0" r="0" b="0"/>
                      <wp:wrapNone/>
                      <wp:docPr id="207" name="Frame206"/>
                      <a:graphic xmlns:a="http://schemas.openxmlformats.org/drawingml/2006/main">
                        <a:graphicData uri="http://schemas.microsoft.com/office/word/2010/wordprocessingShape">
                          <wps:wsp>
                            <wps:cNvSpPr txBox="1"/>
                            <wps:spPr>
                              <a:xfrm>
                                <a:off x="0" y="0"/>
                                <a:ext cx="403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24155" cy="175260"/>
                      <wp:effectExtent l="0" t="0" r="0" b="0"/>
                      <wp:wrapNone/>
                      <wp:docPr id="208" name="Frame207"/>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582295" cy="175260"/>
                      <wp:effectExtent l="0" t="0" r="0" b="0"/>
                      <wp:wrapNone/>
                      <wp:docPr id="209" name="Frame208"/>
                      <a:graphic xmlns:a="http://schemas.openxmlformats.org/drawingml/2006/main">
                        <a:graphicData uri="http://schemas.microsoft.com/office/word/2010/wordprocessingShape">
                          <wps:wsp>
                            <wps:cNvSpPr txBox="1"/>
                            <wps:spPr>
                              <a:xfrm>
                                <a:off x="0" y="0"/>
                                <a:ext cx="582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32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092" w:type="dxa"/>
            <w:gridSpan w:val="4"/>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Three Months Ended </w:t>
            </w:r>
          </w:p>
        </w:tc>
        <w:tc>
          <w:tcPr>
            <w:tcW w:w="326" w:type="dxa"/>
            <w:tcBorders/>
            <w:vAlign w:val="center"/>
          </w:tcPr>
          <w:p>
            <w:pPr>
              <w:pStyle w:val="TableContents"/>
              <w:bidi w:val="0"/>
              <w:spacing w:before="0" w:after="1"/>
              <w:ind w:left="0" w:right="0" w:hanging="0"/>
              <w:jc w:val="center"/>
              <w:rPr/>
            </w:pPr>
            <w:r>
              <w:rPr/>
              <w:t>​</w:t>
            </w:r>
          </w:p>
        </w:tc>
        <w:tc>
          <w:tcPr>
            <w:tcW w:w="2133" w:type="dxa"/>
            <w:gridSpan w:val="4"/>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Three Months Ended </w:t>
            </w:r>
          </w:p>
        </w:tc>
      </w:tr>
      <w:tr>
        <w:trPr/>
        <w:tc>
          <w:tcPr>
            <w:tcW w:w="532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092"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2024</w:t>
            </w:r>
          </w:p>
        </w:tc>
        <w:tc>
          <w:tcPr>
            <w:tcW w:w="326" w:type="dxa"/>
            <w:tcBorders/>
            <w:vAlign w:val="center"/>
          </w:tcPr>
          <w:p>
            <w:pPr>
              <w:pStyle w:val="TableContents"/>
              <w:bidi w:val="0"/>
              <w:spacing w:before="0" w:after="1"/>
              <w:ind w:left="0" w:right="0" w:hanging="0"/>
              <w:jc w:val="center"/>
              <w:rPr/>
            </w:pPr>
            <w:r>
              <w:rPr/>
              <w:t>​</w:t>
            </w:r>
          </w:p>
        </w:tc>
        <w:tc>
          <w:tcPr>
            <w:tcW w:w="213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2023</w:t>
            </w:r>
          </w:p>
        </w:tc>
      </w:tr>
      <w:tr>
        <w:trPr/>
        <w:tc>
          <w:tcPr>
            <w:tcW w:w="532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Income</w:t>
            </w:r>
          </w:p>
        </w:tc>
        <w:tc>
          <w:tcPr>
            <w:tcW w:w="337" w:type="dxa"/>
            <w:tcBorders/>
            <w:vAlign w:val="center"/>
          </w:tcPr>
          <w:p>
            <w:pPr>
              <w:pStyle w:val="TableContents"/>
              <w:bidi w:val="0"/>
              <w:spacing w:before="0" w:after="1"/>
              <w:ind w:left="0" w:right="0" w:hanging="0"/>
              <w:jc w:val="center"/>
              <w:rPr/>
            </w:pPr>
            <w:r>
              <w:rPr/>
              <w:t>    </w:t>
            </w:r>
          </w:p>
        </w:tc>
        <w:tc>
          <w:tcPr>
            <w:tcW w:w="823"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Shares</w:t>
            </w:r>
          </w:p>
        </w:tc>
        <w:tc>
          <w:tcPr>
            <w:tcW w:w="326" w:type="dxa"/>
            <w:tcBorders/>
            <w:vAlign w:val="center"/>
          </w:tcPr>
          <w:p>
            <w:pPr>
              <w:pStyle w:val="TableContents"/>
              <w:bidi w:val="0"/>
              <w:spacing w:before="0" w:after="1"/>
              <w:ind w:left="0" w:right="0" w:hanging="0"/>
              <w:jc w:val="center"/>
              <w:rPr/>
            </w:pPr>
            <w:r>
              <w:rPr/>
              <w:t>    </w:t>
            </w:r>
          </w:p>
        </w:tc>
        <w:tc>
          <w:tcPr>
            <w:tcW w:w="86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Income</w:t>
            </w:r>
          </w:p>
        </w:tc>
        <w:tc>
          <w:tcPr>
            <w:tcW w:w="353" w:type="dxa"/>
            <w:tcBorders/>
            <w:vAlign w:val="center"/>
          </w:tcPr>
          <w:p>
            <w:pPr>
              <w:pStyle w:val="TableContents"/>
              <w:bidi w:val="0"/>
              <w:spacing w:before="0" w:after="1"/>
              <w:ind w:left="0" w:right="0" w:hanging="0"/>
              <w:jc w:val="center"/>
              <w:rPr/>
            </w:pPr>
            <w:r>
              <w:rPr/>
              <w:t>    </w:t>
            </w:r>
          </w:p>
        </w:tc>
        <w:tc>
          <w:tcPr>
            <w:tcW w:w="917"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Shares</w:t>
            </w:r>
          </w:p>
        </w:tc>
      </w:tr>
      <w:tr>
        <w:trPr/>
        <w:tc>
          <w:tcPr>
            <w:tcW w:w="5328" w:type="dxa"/>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Basic:</w:t>
            </w:r>
          </w:p>
        </w:tc>
        <w:tc>
          <w:tcPr>
            <w:tcW w:w="326" w:type="dxa"/>
            <w:tcBorders/>
            <w:shd w:fill="CCEEFF" w:val="clear"/>
            <w:vAlign w:val="center"/>
          </w:tcPr>
          <w:p>
            <w:pPr>
              <w:pStyle w:val="TableContents"/>
              <w:bidi w:val="0"/>
              <w:spacing w:before="0" w:after="1"/>
              <w:ind w:left="0" w:right="0" w:hanging="0"/>
              <w:jc w:val="left"/>
              <w:rPr/>
            </w:pPr>
            <w:r>
              <w:rPr/>
              <w:t> </w:t>
            </w:r>
          </w:p>
        </w:tc>
        <w:tc>
          <w:tcPr>
            <w:tcW w:w="218" w:type="dxa"/>
            <w:tcBorders/>
            <w:shd w:fill="CCEEFF" w:val="clear"/>
            <w:vAlign w:val="center"/>
          </w:tcPr>
          <w:p>
            <w:pPr>
              <w:pStyle w:val="TableContents"/>
              <w:bidi w:val="0"/>
              <w:spacing w:before="0" w:after="1"/>
              <w:ind w:left="0" w:right="0" w:hanging="0"/>
              <w:jc w:val="left"/>
              <w:rPr/>
            </w:pPr>
            <w:r>
              <w:rPr/>
              <w:t>​</w:t>
            </w:r>
          </w:p>
        </w:tc>
        <w:tc>
          <w:tcPr>
            <w:tcW w:w="714" w:type="dxa"/>
            <w:tcBorders/>
            <w:shd w:fill="CCEEFF" w:val="clear"/>
            <w:vAlign w:val="center"/>
          </w:tcPr>
          <w:p>
            <w:pPr>
              <w:pStyle w:val="TableContents"/>
              <w:bidi w:val="0"/>
              <w:spacing w:before="0" w:after="1"/>
              <w:ind w:left="0" w:right="0" w:hanging="0"/>
              <w:jc w:val="right"/>
              <w:rPr/>
            </w:pPr>
            <w:r>
              <w:rPr/>
              <w:t>  </w:t>
            </w:r>
          </w:p>
        </w:tc>
        <w:tc>
          <w:tcPr>
            <w:tcW w:w="337" w:type="dxa"/>
            <w:tcBorders/>
            <w:shd w:fill="CCEEFF" w:val="clear"/>
            <w:vAlign w:val="center"/>
          </w:tcPr>
          <w:p>
            <w:pPr>
              <w:pStyle w:val="TableContents"/>
              <w:bidi w:val="0"/>
              <w:spacing w:before="0" w:after="1"/>
              <w:ind w:left="0" w:right="0" w:hanging="0"/>
              <w:jc w:val="left"/>
              <w:rPr/>
            </w:pPr>
            <w:r>
              <w:rPr/>
              <w:t> </w:t>
            </w:r>
          </w:p>
        </w:tc>
        <w:tc>
          <w:tcPr>
            <w:tcW w:w="823"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28" w:type="dxa"/>
            <w:tcBorders/>
            <w:shd w:fill="CCEEFF" w:val="clear"/>
            <w:vAlign w:val="center"/>
          </w:tcPr>
          <w:p>
            <w:pPr>
              <w:pStyle w:val="TableContents"/>
              <w:bidi w:val="0"/>
              <w:spacing w:before="0" w:after="1"/>
              <w:ind w:left="0" w:right="0" w:hanging="0"/>
              <w:jc w:val="left"/>
              <w:rPr/>
            </w:pPr>
            <w:r>
              <w:rPr/>
              <w:t>​</w:t>
            </w:r>
          </w:p>
        </w:tc>
        <w:tc>
          <w:tcPr>
            <w:tcW w:w="635" w:type="dxa"/>
            <w:tcBorders/>
            <w:shd w:fill="CCEEFF" w:val="clear"/>
            <w:vAlign w:val="center"/>
          </w:tcPr>
          <w:p>
            <w:pPr>
              <w:pStyle w:val="TableContents"/>
              <w:bidi w:val="0"/>
              <w:spacing w:before="0" w:after="1"/>
              <w:ind w:left="0" w:right="0" w:hanging="0"/>
              <w:jc w:val="right"/>
              <w:rPr/>
            </w:pPr>
            <w:r>
              <w:rPr/>
              <w:t>  </w:t>
            </w:r>
          </w:p>
        </w:tc>
        <w:tc>
          <w:tcPr>
            <w:tcW w:w="353" w:type="dxa"/>
            <w:tcBorders/>
            <w:shd w:fill="CCEEFF" w:val="clear"/>
            <w:vAlign w:val="center"/>
          </w:tcPr>
          <w:p>
            <w:pPr>
              <w:pStyle w:val="TableContents"/>
              <w:bidi w:val="0"/>
              <w:spacing w:before="0" w:after="1"/>
              <w:ind w:left="0" w:right="0" w:hanging="0"/>
              <w:jc w:val="left"/>
              <w:rPr/>
            </w:pPr>
            <w:r>
              <w:rPr/>
              <w:t> </w:t>
            </w:r>
          </w:p>
        </w:tc>
        <w:tc>
          <w:tcPr>
            <w:tcW w:w="917" w:type="dxa"/>
            <w:tcBorders/>
            <w:shd w:fill="CCEEFF" w:val="clear"/>
            <w:vAlign w:val="center"/>
          </w:tcPr>
          <w:p>
            <w:pPr>
              <w:pStyle w:val="TableContents"/>
              <w:bidi w:val="0"/>
              <w:spacing w:before="0" w:after="1"/>
              <w:ind w:left="0" w:right="0" w:hanging="0"/>
              <w:jc w:val="right"/>
              <w:rPr/>
            </w:pPr>
            <w:r>
              <w:rPr/>
              <w:t>  </w:t>
            </w:r>
          </w:p>
        </w:tc>
      </w:tr>
      <w:tr>
        <w:trPr/>
        <w:tc>
          <w:tcPr>
            <w:tcW w:w="5328"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income</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1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32,289</w:t>
            </w:r>
          </w:p>
        </w:tc>
        <w:tc>
          <w:tcPr>
            <w:tcW w:w="337" w:type="dxa"/>
            <w:tcBorders/>
            <w:vAlign w:val="center"/>
          </w:tcPr>
          <w:p>
            <w:pPr>
              <w:pStyle w:val="TableContents"/>
              <w:bidi w:val="0"/>
              <w:spacing w:before="0" w:after="1"/>
              <w:ind w:left="0" w:right="0" w:hanging="0"/>
              <w:jc w:val="left"/>
              <w:rPr/>
            </w:pPr>
            <w:r>
              <w:rPr/>
              <w:t>​</w:t>
            </w:r>
          </w:p>
        </w:tc>
        <w:tc>
          <w:tcPr>
            <w:tcW w:w="82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28"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3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7,100</w:t>
            </w:r>
          </w:p>
        </w:tc>
        <w:tc>
          <w:tcPr>
            <w:tcW w:w="353" w:type="dxa"/>
            <w:tcBorders/>
            <w:vAlign w:val="center"/>
          </w:tcPr>
          <w:p>
            <w:pPr>
              <w:pStyle w:val="TableContents"/>
              <w:bidi w:val="0"/>
              <w:spacing w:before="0" w:after="1"/>
              <w:ind w:left="0" w:right="0" w:hanging="0"/>
              <w:jc w:val="left"/>
              <w:rPr/>
            </w:pPr>
            <w:r>
              <w:rPr/>
              <w:t> </w:t>
            </w:r>
          </w:p>
        </w:tc>
        <w:tc>
          <w:tcPr>
            <w:tcW w:w="917" w:type="dxa"/>
            <w:tcBorders/>
            <w:vAlign w:val="center"/>
          </w:tcPr>
          <w:p>
            <w:pPr>
              <w:pStyle w:val="TableContents"/>
              <w:bidi w:val="0"/>
              <w:spacing w:before="0" w:after="1"/>
              <w:ind w:left="0" w:right="0" w:hanging="0"/>
              <w:jc w:val="right"/>
              <w:rPr/>
            </w:pPr>
            <w:r>
              <w:rPr/>
              <w:t>  </w:t>
            </w:r>
          </w:p>
        </w:tc>
      </w:tr>
      <w:tr>
        <w:trPr/>
        <w:tc>
          <w:tcPr>
            <w:tcW w:w="532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Undistributed earnings allocated to participating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w:t>
            </w:r>
          </w:p>
        </w:tc>
        <w:tc>
          <w:tcPr>
            <w:tcW w:w="337" w:type="dxa"/>
            <w:tcBorders/>
            <w:shd w:fill="CCEEFF" w:val="clear"/>
            <w:vAlign w:val="center"/>
          </w:tcPr>
          <w:p>
            <w:pPr>
              <w:pStyle w:val="TableContents"/>
              <w:bidi w:val="0"/>
              <w:spacing w:before="0" w:after="1"/>
              <w:ind w:left="0" w:right="0" w:hanging="0"/>
              <w:jc w:val="left"/>
              <w:rPr/>
            </w:pPr>
            <w:r>
              <w:rPr/>
              <w:t>​</w:t>
            </w:r>
          </w:p>
        </w:tc>
        <w:tc>
          <w:tcPr>
            <w:tcW w:w="82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w:t>
            </w:r>
          </w:p>
        </w:tc>
        <w:tc>
          <w:tcPr>
            <w:tcW w:w="353" w:type="dxa"/>
            <w:tcBorders/>
            <w:shd w:fill="CCEEFF" w:val="clear"/>
            <w:vAlign w:val="center"/>
          </w:tcPr>
          <w:p>
            <w:pPr>
              <w:pStyle w:val="TableContents"/>
              <w:bidi w:val="0"/>
              <w:spacing w:before="0" w:after="1"/>
              <w:ind w:left="0" w:right="0" w:hanging="0"/>
              <w:jc w:val="left"/>
              <w:rPr/>
            </w:pPr>
            <w:r>
              <w:rPr/>
              <w:t> </w:t>
            </w:r>
          </w:p>
        </w:tc>
        <w:tc>
          <w:tcPr>
            <w:tcW w:w="917" w:type="dxa"/>
            <w:tcBorders/>
            <w:shd w:fill="CCEEFF" w:val="clear"/>
            <w:vAlign w:val="center"/>
          </w:tcPr>
          <w:p>
            <w:pPr>
              <w:pStyle w:val="TableContents"/>
              <w:bidi w:val="0"/>
              <w:spacing w:before="0" w:after="1"/>
              <w:ind w:left="0" w:right="0" w:hanging="0"/>
              <w:jc w:val="right"/>
              <w:rPr/>
            </w:pPr>
            <w:r>
              <w:rPr/>
              <w:t>  </w:t>
            </w:r>
          </w:p>
        </w:tc>
      </w:tr>
      <w:tr>
        <w:trPr/>
        <w:tc>
          <w:tcPr>
            <w:tcW w:w="5328"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income available to common shareholders, basic</w:t>
            </w:r>
          </w:p>
        </w:tc>
        <w:tc>
          <w:tcPr>
            <w:tcW w:w="326" w:type="dxa"/>
            <w:tcBorders/>
            <w:vAlign w:val="center"/>
          </w:tcPr>
          <w:p>
            <w:pPr>
              <w:pStyle w:val="TableContents"/>
              <w:bidi w:val="0"/>
              <w:spacing w:before="0" w:after="1"/>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14"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32,256</w:t>
            </w:r>
          </w:p>
        </w:tc>
        <w:tc>
          <w:tcPr>
            <w:tcW w:w="337" w:type="dxa"/>
            <w:tcBorders/>
            <w:vAlign w:val="center"/>
          </w:tcPr>
          <w:p>
            <w:pPr>
              <w:pStyle w:val="TableContents"/>
              <w:bidi w:val="0"/>
              <w:spacing w:before="0" w:after="1"/>
              <w:ind w:left="0" w:right="0" w:hanging="0"/>
              <w:jc w:val="left"/>
              <w:rPr/>
            </w:pPr>
            <w:r>
              <w:rPr/>
              <w:t>​</w:t>
            </w:r>
          </w:p>
        </w:tc>
        <w:tc>
          <w:tcPr>
            <w:tcW w:w="823"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152,234</w:t>
            </w:r>
          </w:p>
        </w:tc>
        <w:tc>
          <w:tcPr>
            <w:tcW w:w="326" w:type="dxa"/>
            <w:tcBorders/>
            <w:vAlign w:val="center"/>
          </w:tcPr>
          <w:p>
            <w:pPr>
              <w:pStyle w:val="TableContents"/>
              <w:bidi w:val="0"/>
              <w:spacing w:before="0" w:after="1"/>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35"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7,088</w:t>
            </w:r>
          </w:p>
        </w:tc>
        <w:tc>
          <w:tcPr>
            <w:tcW w:w="353" w:type="dxa"/>
            <w:tcBorders/>
            <w:vAlign w:val="center"/>
          </w:tcPr>
          <w:p>
            <w:pPr>
              <w:pStyle w:val="TableContents"/>
              <w:bidi w:val="0"/>
              <w:spacing w:before="0" w:after="1"/>
              <w:ind w:left="0" w:right="0" w:hanging="0"/>
              <w:jc w:val="left"/>
              <w:rPr/>
            </w:pPr>
            <w:r>
              <w:rPr/>
              <w:t> </w:t>
            </w:r>
          </w:p>
        </w:tc>
        <w:tc>
          <w:tcPr>
            <w:tcW w:w="917"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150,791</w:t>
            </w:r>
          </w:p>
        </w:tc>
      </w:tr>
      <w:tr>
        <w:trPr/>
        <w:tc>
          <w:tcPr>
            <w:tcW w:w="532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714" w:type="dxa"/>
            <w:tcBorders/>
            <w:shd w:fill="CCEEFF" w:val="clear"/>
            <w:vAlign w:val="center"/>
          </w:tcPr>
          <w:p>
            <w:pPr>
              <w:pStyle w:val="TableContents"/>
              <w:bidi w:val="0"/>
              <w:spacing w:before="0" w:after="1"/>
              <w:ind w:left="0" w:right="0" w:hanging="0"/>
              <w:jc w:val="left"/>
              <w:rPr/>
            </w:pPr>
            <w:r>
              <w:rPr/>
              <w:t>​</w:t>
            </w:r>
          </w:p>
        </w:tc>
        <w:tc>
          <w:tcPr>
            <w:tcW w:w="337" w:type="dxa"/>
            <w:tcBorders/>
            <w:shd w:fill="CCEEFF" w:val="clear"/>
            <w:vAlign w:val="center"/>
          </w:tcPr>
          <w:p>
            <w:pPr>
              <w:pStyle w:val="TableContents"/>
              <w:bidi w:val="0"/>
              <w:spacing w:before="0" w:after="1"/>
              <w:ind w:left="0" w:right="0" w:hanging="0"/>
              <w:jc w:val="left"/>
              <w:rPr/>
            </w:pPr>
            <w:r>
              <w:rPr/>
              <w:t>​</w:t>
            </w:r>
          </w:p>
        </w:tc>
        <w:tc>
          <w:tcPr>
            <w:tcW w:w="82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635"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pPr>
            <w:r>
              <w:rPr/>
              <w:t>​</w:t>
            </w:r>
          </w:p>
        </w:tc>
        <w:tc>
          <w:tcPr>
            <w:tcW w:w="917" w:type="dxa"/>
            <w:tcBorders/>
            <w:shd w:fill="CCEEFF" w:val="clear"/>
            <w:vAlign w:val="center"/>
          </w:tcPr>
          <w:p>
            <w:pPr>
              <w:pStyle w:val="TableContents"/>
              <w:bidi w:val="0"/>
              <w:spacing w:before="0" w:after="1"/>
              <w:ind w:left="0" w:right="0" w:hanging="0"/>
              <w:jc w:val="left"/>
              <w:rPr/>
            </w:pPr>
            <w:r>
              <w:rPr/>
              <w:t>​</w:t>
            </w:r>
          </w:p>
        </w:tc>
      </w:tr>
      <w:tr>
        <w:trPr/>
        <w:tc>
          <w:tcPr>
            <w:tcW w:w="5328" w:type="dxa"/>
            <w:tcBorders/>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Diluted:</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714" w:type="dxa"/>
            <w:tcBorders/>
            <w:vAlign w:val="center"/>
          </w:tcPr>
          <w:p>
            <w:pPr>
              <w:pStyle w:val="TableContents"/>
              <w:bidi w:val="0"/>
              <w:spacing w:before="0" w:after="1"/>
              <w:ind w:left="0" w:right="0" w:hanging="0"/>
              <w:jc w:val="right"/>
              <w:rPr/>
            </w:pPr>
            <w:r>
              <w:rPr/>
              <w:t>  </w:t>
            </w:r>
          </w:p>
        </w:tc>
        <w:tc>
          <w:tcPr>
            <w:tcW w:w="337" w:type="dxa"/>
            <w:tcBorders/>
            <w:vAlign w:val="center"/>
          </w:tcPr>
          <w:p>
            <w:pPr>
              <w:pStyle w:val="TableContents"/>
              <w:bidi w:val="0"/>
              <w:spacing w:before="0" w:after="1"/>
              <w:ind w:left="0" w:right="0" w:hanging="0"/>
              <w:jc w:val="left"/>
              <w:rPr/>
            </w:pPr>
            <w:r>
              <w:rPr/>
              <w:t>​</w:t>
            </w:r>
          </w:p>
        </w:tc>
        <w:tc>
          <w:tcPr>
            <w:tcW w:w="823"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635" w:type="dxa"/>
            <w:tcBorders/>
            <w:vAlign w:val="center"/>
          </w:tcPr>
          <w:p>
            <w:pPr>
              <w:pStyle w:val="TableContents"/>
              <w:bidi w:val="0"/>
              <w:spacing w:before="0" w:after="1"/>
              <w:ind w:left="0" w:right="0" w:hanging="0"/>
              <w:jc w:val="right"/>
              <w:rPr/>
            </w:pPr>
            <w:r>
              <w:rPr/>
              <w:t>  </w:t>
            </w:r>
          </w:p>
        </w:tc>
        <w:tc>
          <w:tcPr>
            <w:tcW w:w="353" w:type="dxa"/>
            <w:tcBorders/>
            <w:vAlign w:val="center"/>
          </w:tcPr>
          <w:p>
            <w:pPr>
              <w:pStyle w:val="TableContents"/>
              <w:bidi w:val="0"/>
              <w:spacing w:before="0" w:after="1"/>
              <w:ind w:left="0" w:right="0" w:hanging="0"/>
              <w:jc w:val="left"/>
              <w:rPr/>
            </w:pPr>
            <w:r>
              <w:rPr/>
              <w:t> </w:t>
            </w:r>
          </w:p>
        </w:tc>
        <w:tc>
          <w:tcPr>
            <w:tcW w:w="917" w:type="dxa"/>
            <w:tcBorders/>
            <w:vAlign w:val="center"/>
          </w:tcPr>
          <w:p>
            <w:pPr>
              <w:pStyle w:val="TableContents"/>
              <w:bidi w:val="0"/>
              <w:spacing w:before="0" w:after="1"/>
              <w:ind w:left="0" w:right="0" w:hanging="0"/>
              <w:jc w:val="right"/>
              <w:rPr/>
            </w:pPr>
            <w:r>
              <w:rPr/>
              <w:t>  </w:t>
            </w:r>
          </w:p>
        </w:tc>
      </w:tr>
      <w:tr>
        <w:trPr/>
        <w:tc>
          <w:tcPr>
            <w:tcW w:w="532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income available to common shareholders, basic</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1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32,256</w:t>
            </w:r>
          </w:p>
        </w:tc>
        <w:tc>
          <w:tcPr>
            <w:tcW w:w="337" w:type="dxa"/>
            <w:tcBorders/>
            <w:shd w:fill="CCEEFF" w:val="clear"/>
            <w:vAlign w:val="center"/>
          </w:tcPr>
          <w:p>
            <w:pPr>
              <w:pStyle w:val="TableContents"/>
              <w:bidi w:val="0"/>
              <w:spacing w:before="0" w:after="1"/>
              <w:ind w:left="0" w:right="0" w:hanging="0"/>
              <w:jc w:val="left"/>
              <w:rPr/>
            </w:pPr>
            <w:r>
              <w:rPr/>
              <w:t>​</w:t>
            </w:r>
          </w:p>
        </w:tc>
        <w:tc>
          <w:tcPr>
            <w:tcW w:w="82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152,234</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3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7,088</w:t>
            </w:r>
          </w:p>
        </w:tc>
        <w:tc>
          <w:tcPr>
            <w:tcW w:w="353" w:type="dxa"/>
            <w:tcBorders/>
            <w:shd w:fill="CCEEFF" w:val="clear"/>
            <w:vAlign w:val="center"/>
          </w:tcPr>
          <w:p>
            <w:pPr>
              <w:pStyle w:val="TableContents"/>
              <w:bidi w:val="0"/>
              <w:spacing w:before="0" w:after="1"/>
              <w:ind w:left="0" w:right="0" w:hanging="0"/>
              <w:jc w:val="left"/>
              <w:rPr/>
            </w:pPr>
            <w:r>
              <w:rPr/>
              <w:t> </w:t>
            </w:r>
          </w:p>
        </w:tc>
        <w:tc>
          <w:tcPr>
            <w:tcW w:w="91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150,791</w:t>
            </w:r>
          </w:p>
        </w:tc>
      </w:tr>
      <w:tr>
        <w:trPr/>
        <w:tc>
          <w:tcPr>
            <w:tcW w:w="5328"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Effect of dilutive securities:</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714" w:type="dxa"/>
            <w:tcBorders/>
            <w:vAlign w:val="center"/>
          </w:tcPr>
          <w:p>
            <w:pPr>
              <w:pStyle w:val="TableContents"/>
              <w:bidi w:val="0"/>
              <w:spacing w:before="0" w:after="1"/>
              <w:ind w:left="0" w:right="0" w:hanging="0"/>
              <w:jc w:val="right"/>
              <w:rPr/>
            </w:pPr>
            <w:r>
              <w:rPr/>
              <w:t>  </w:t>
            </w:r>
          </w:p>
        </w:tc>
        <w:tc>
          <w:tcPr>
            <w:tcW w:w="337" w:type="dxa"/>
            <w:tcBorders/>
            <w:vAlign w:val="center"/>
          </w:tcPr>
          <w:p>
            <w:pPr>
              <w:pStyle w:val="TableContents"/>
              <w:bidi w:val="0"/>
              <w:spacing w:before="0" w:after="1"/>
              <w:ind w:left="0" w:right="0" w:hanging="0"/>
              <w:jc w:val="left"/>
              <w:rPr/>
            </w:pPr>
            <w:r>
              <w:rPr/>
              <w:t>​</w:t>
            </w:r>
          </w:p>
        </w:tc>
        <w:tc>
          <w:tcPr>
            <w:tcW w:w="823"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635" w:type="dxa"/>
            <w:tcBorders/>
            <w:vAlign w:val="center"/>
          </w:tcPr>
          <w:p>
            <w:pPr>
              <w:pStyle w:val="TableContents"/>
              <w:bidi w:val="0"/>
              <w:spacing w:before="0" w:after="1"/>
              <w:ind w:left="0" w:right="0" w:hanging="0"/>
              <w:jc w:val="right"/>
              <w:rPr/>
            </w:pPr>
            <w:r>
              <w:rPr/>
              <w:t>  </w:t>
            </w:r>
          </w:p>
        </w:tc>
        <w:tc>
          <w:tcPr>
            <w:tcW w:w="353" w:type="dxa"/>
            <w:tcBorders/>
            <w:vAlign w:val="center"/>
          </w:tcPr>
          <w:p>
            <w:pPr>
              <w:pStyle w:val="TableContents"/>
              <w:bidi w:val="0"/>
              <w:spacing w:before="0" w:after="1"/>
              <w:ind w:left="0" w:right="0" w:hanging="0"/>
              <w:jc w:val="left"/>
              <w:rPr/>
            </w:pPr>
            <w:r>
              <w:rPr/>
              <w:t> </w:t>
            </w:r>
          </w:p>
        </w:tc>
        <w:tc>
          <w:tcPr>
            <w:tcW w:w="917" w:type="dxa"/>
            <w:tcBorders/>
            <w:vAlign w:val="center"/>
          </w:tcPr>
          <w:p>
            <w:pPr>
              <w:pStyle w:val="TableContents"/>
              <w:bidi w:val="0"/>
              <w:spacing w:before="0" w:after="1"/>
              <w:ind w:left="0" w:right="0" w:hanging="0"/>
              <w:jc w:val="right"/>
              <w:rPr/>
            </w:pPr>
            <w:r>
              <w:rPr/>
              <w:t>  </w:t>
            </w:r>
          </w:p>
        </w:tc>
      </w:tr>
      <w:tr>
        <w:trPr/>
        <w:tc>
          <w:tcPr>
            <w:tcW w:w="532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Share-based awards other than participating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714" w:type="dxa"/>
            <w:tcBorders/>
            <w:shd w:fill="CCEEFF" w:val="clear"/>
            <w:vAlign w:val="center"/>
          </w:tcPr>
          <w:p>
            <w:pPr>
              <w:pStyle w:val="TableContents"/>
              <w:bidi w:val="0"/>
              <w:spacing w:before="0" w:after="1"/>
              <w:ind w:left="0" w:right="0" w:hanging="0"/>
              <w:jc w:val="right"/>
              <w:rPr/>
            </w:pPr>
            <w:r>
              <w:rPr/>
              <w:t>—</w:t>
            </w:r>
          </w:p>
        </w:tc>
        <w:tc>
          <w:tcPr>
            <w:tcW w:w="337" w:type="dxa"/>
            <w:tcBorders/>
            <w:shd w:fill="CCEEFF" w:val="clear"/>
            <w:vAlign w:val="center"/>
          </w:tcPr>
          <w:p>
            <w:pPr>
              <w:pStyle w:val="TableContents"/>
              <w:bidi w:val="0"/>
              <w:spacing w:before="0" w:after="1"/>
              <w:ind w:left="0" w:right="0" w:hanging="0"/>
              <w:jc w:val="left"/>
              <w:rPr/>
            </w:pPr>
            <w:r>
              <w:rPr/>
              <w:t>​</w:t>
            </w:r>
          </w:p>
        </w:tc>
        <w:tc>
          <w:tcPr>
            <w:tcW w:w="82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2,790</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635" w:type="dxa"/>
            <w:tcBorders/>
            <w:shd w:fill="CCEEFF" w:val="clear"/>
            <w:vAlign w:val="center"/>
          </w:tcPr>
          <w:p>
            <w:pPr>
              <w:pStyle w:val="TableContents"/>
              <w:bidi w:val="0"/>
              <w:spacing w:before="0" w:after="1"/>
              <w:ind w:left="0" w:right="0" w:hanging="0"/>
              <w:jc w:val="right"/>
              <w:rPr/>
            </w:pPr>
            <w:r>
              <w:rPr/>
              <w:t>—</w:t>
            </w:r>
          </w:p>
        </w:tc>
        <w:tc>
          <w:tcPr>
            <w:tcW w:w="353" w:type="dxa"/>
            <w:tcBorders/>
            <w:shd w:fill="CCEEFF" w:val="clear"/>
            <w:vAlign w:val="center"/>
          </w:tcPr>
          <w:p>
            <w:pPr>
              <w:pStyle w:val="TableContents"/>
              <w:bidi w:val="0"/>
              <w:spacing w:before="0" w:after="1"/>
              <w:ind w:left="0" w:right="0" w:hanging="0"/>
              <w:jc w:val="left"/>
              <w:rPr/>
            </w:pPr>
            <w:r>
              <w:rPr/>
              <w:t> </w:t>
            </w:r>
          </w:p>
        </w:tc>
        <w:tc>
          <w:tcPr>
            <w:tcW w:w="91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2,613</w:t>
            </w:r>
          </w:p>
        </w:tc>
      </w:tr>
      <w:tr>
        <w:trPr/>
        <w:tc>
          <w:tcPr>
            <w:tcW w:w="5328"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Undistributed earnings reallocated to participating securities</w:t>
            </w:r>
          </w:p>
        </w:tc>
        <w:tc>
          <w:tcPr>
            <w:tcW w:w="326"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w:t>
            </w:r>
          </w:p>
        </w:tc>
        <w:tc>
          <w:tcPr>
            <w:tcW w:w="337" w:type="dxa"/>
            <w:tcBorders/>
            <w:vAlign w:val="center"/>
          </w:tcPr>
          <w:p>
            <w:pPr>
              <w:pStyle w:val="TableContents"/>
              <w:bidi w:val="0"/>
              <w:spacing w:before="0" w:after="1"/>
              <w:ind w:left="0" w:right="0" w:hanging="0"/>
              <w:jc w:val="left"/>
              <w:rPr/>
            </w:pPr>
            <w:r>
              <w:rPr/>
              <w:t>​</w:t>
            </w:r>
          </w:p>
        </w:tc>
        <w:tc>
          <w:tcPr>
            <w:tcW w:w="82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3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53" w:type="dxa"/>
            <w:tcBorders/>
            <w:vAlign w:val="center"/>
          </w:tcPr>
          <w:p>
            <w:pPr>
              <w:pStyle w:val="TableContents"/>
              <w:bidi w:val="0"/>
              <w:spacing w:before="0" w:after="1"/>
              <w:ind w:left="0" w:right="0" w:hanging="0"/>
              <w:jc w:val="left"/>
              <w:rPr/>
            </w:pPr>
            <w:r>
              <w:rPr/>
              <w:t> </w:t>
            </w:r>
          </w:p>
        </w:tc>
        <w:tc>
          <w:tcPr>
            <w:tcW w:w="91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532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income available to common shareholders, diluted</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1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32,257</w:t>
            </w:r>
          </w:p>
        </w:tc>
        <w:tc>
          <w:tcPr>
            <w:tcW w:w="337" w:type="dxa"/>
            <w:tcBorders/>
            <w:shd w:fill="CCEEFF" w:val="clear"/>
            <w:vAlign w:val="center"/>
          </w:tcPr>
          <w:p>
            <w:pPr>
              <w:pStyle w:val="TableContents"/>
              <w:bidi w:val="0"/>
              <w:spacing w:before="0" w:after="1"/>
              <w:ind w:left="0" w:right="0" w:hanging="0"/>
              <w:jc w:val="left"/>
              <w:rPr/>
            </w:pPr>
            <w:r>
              <w:rPr/>
              <w:t>​</w:t>
            </w:r>
          </w:p>
        </w:tc>
        <w:tc>
          <w:tcPr>
            <w:tcW w:w="82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155,024</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3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7,088</w:t>
            </w:r>
          </w:p>
        </w:tc>
        <w:tc>
          <w:tcPr>
            <w:tcW w:w="353" w:type="dxa"/>
            <w:tcBorders/>
            <w:shd w:fill="CCEEFF" w:val="clear"/>
            <w:vAlign w:val="center"/>
          </w:tcPr>
          <w:p>
            <w:pPr>
              <w:pStyle w:val="TableContents"/>
              <w:bidi w:val="0"/>
              <w:spacing w:before="0" w:after="1"/>
              <w:ind w:left="0" w:right="0" w:hanging="0"/>
              <w:jc w:val="left"/>
              <w:rPr/>
            </w:pPr>
            <w:r>
              <w:rPr/>
              <w:t>​</w:t>
            </w:r>
          </w:p>
        </w:tc>
        <w:tc>
          <w:tcPr>
            <w:tcW w:w="91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153,404</w:t>
            </w:r>
          </w:p>
        </w:tc>
      </w:tr>
      <w:tr>
        <w:trPr/>
        <w:tc>
          <w:tcPr>
            <w:tcW w:w="532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714" w:type="dxa"/>
            <w:tcBorders/>
            <w:vAlign w:val="center"/>
          </w:tcPr>
          <w:p>
            <w:pPr>
              <w:pStyle w:val="TableContents"/>
              <w:bidi w:val="0"/>
              <w:spacing w:before="0" w:after="1"/>
              <w:ind w:left="0" w:right="0" w:hanging="0"/>
              <w:jc w:val="right"/>
              <w:rPr/>
            </w:pPr>
            <w:r>
              <w:rPr/>
              <w:t>​</w:t>
            </w:r>
          </w:p>
        </w:tc>
        <w:tc>
          <w:tcPr>
            <w:tcW w:w="337" w:type="dxa"/>
            <w:tcBorders/>
            <w:vAlign w:val="center"/>
          </w:tcPr>
          <w:p>
            <w:pPr>
              <w:pStyle w:val="TableContents"/>
              <w:bidi w:val="0"/>
              <w:spacing w:before="0" w:after="1"/>
              <w:ind w:left="0" w:right="0" w:hanging="0"/>
              <w:jc w:val="left"/>
              <w:rPr/>
            </w:pPr>
            <w:r>
              <w:rPr/>
              <w:t>​</w:t>
            </w:r>
          </w:p>
        </w:tc>
        <w:tc>
          <w:tcPr>
            <w:tcW w:w="82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635" w:type="dxa"/>
            <w:tcBorders/>
            <w:vAlign w:val="center"/>
          </w:tcPr>
          <w:p>
            <w:pPr>
              <w:pStyle w:val="TableContents"/>
              <w:bidi w:val="0"/>
              <w:spacing w:before="0" w:after="1"/>
              <w:ind w:left="0" w:right="0" w:hanging="0"/>
              <w:jc w:val="right"/>
              <w:rPr/>
            </w:pPr>
            <w:r>
              <w:rPr/>
              <w:t>​</w:t>
            </w:r>
          </w:p>
        </w:tc>
        <w:tc>
          <w:tcPr>
            <w:tcW w:w="353" w:type="dxa"/>
            <w:tcBorders/>
            <w:vAlign w:val="center"/>
          </w:tcPr>
          <w:p>
            <w:pPr>
              <w:pStyle w:val="TableContents"/>
              <w:bidi w:val="0"/>
              <w:spacing w:before="0" w:after="1"/>
              <w:ind w:left="0" w:right="0" w:hanging="0"/>
              <w:jc w:val="left"/>
              <w:rPr/>
            </w:pPr>
            <w:r>
              <w:rPr/>
              <w:t>​</w:t>
            </w:r>
          </w:p>
        </w:tc>
        <w:tc>
          <w:tcPr>
            <w:tcW w:w="917" w:type="dxa"/>
            <w:tcBorders/>
            <w:vAlign w:val="center"/>
          </w:tcPr>
          <w:p>
            <w:pPr>
              <w:pStyle w:val="TableContents"/>
              <w:bidi w:val="0"/>
              <w:spacing w:before="0" w:after="1"/>
              <w:ind w:left="0" w:right="0" w:hanging="0"/>
              <w:jc w:val="right"/>
              <w:rPr/>
            </w:pPr>
            <w:r>
              <w:rPr/>
              <w:t>​</w:t>
            </w:r>
          </w:p>
        </w:tc>
      </w:tr>
      <w:tr>
        <w:trPr/>
        <w:tc>
          <w:tcPr>
            <w:tcW w:w="532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Earnings per share, basic and diluted</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71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0.21</w:t>
            </w:r>
          </w:p>
        </w:tc>
        <w:tc>
          <w:tcPr>
            <w:tcW w:w="337" w:type="dxa"/>
            <w:tcBorders/>
            <w:shd w:fill="CCEEFF" w:val="clear"/>
            <w:vAlign w:val="center"/>
          </w:tcPr>
          <w:p>
            <w:pPr>
              <w:pStyle w:val="TableContents"/>
              <w:bidi w:val="0"/>
              <w:spacing w:before="0" w:after="1"/>
              <w:ind w:left="0" w:right="0" w:hanging="0"/>
              <w:jc w:val="left"/>
              <w:rPr/>
            </w:pPr>
            <w:r>
              <w:rPr/>
              <w:t>​</w:t>
            </w:r>
          </w:p>
        </w:tc>
        <w:tc>
          <w:tcPr>
            <w:tcW w:w="82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3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0.05</w:t>
            </w:r>
          </w:p>
        </w:tc>
        <w:tc>
          <w:tcPr>
            <w:tcW w:w="353" w:type="dxa"/>
            <w:tcBorders/>
            <w:shd w:fill="CCEEFF" w:val="clear"/>
            <w:vAlign w:val="center"/>
          </w:tcPr>
          <w:p>
            <w:pPr>
              <w:pStyle w:val="TableContents"/>
              <w:bidi w:val="0"/>
              <w:spacing w:before="0" w:after="1"/>
              <w:ind w:left="0" w:right="0" w:hanging="0"/>
              <w:jc w:val="left"/>
              <w:rPr/>
            </w:pPr>
            <w:r>
              <w:rPr/>
              <w:t> </w:t>
            </w:r>
          </w:p>
        </w:tc>
        <w:tc>
          <w:tcPr>
            <w:tcW w:w="917"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670"/>
        <w:gridCol w:w="326"/>
        <w:gridCol w:w="211"/>
        <w:gridCol w:w="586"/>
        <w:gridCol w:w="326"/>
        <w:gridCol w:w="796"/>
        <w:gridCol w:w="326"/>
        <w:gridCol w:w="211"/>
        <w:gridCol w:w="586"/>
        <w:gridCol w:w="326"/>
        <w:gridCol w:w="841"/>
      </w:tblGrid>
      <w:tr>
        <w:trPr/>
        <w:tc>
          <w:tcPr>
            <w:tcW w:w="567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07010" cy="175260"/>
                      <wp:effectExtent l="0" t="0" r="0" b="0"/>
                      <wp:wrapNone/>
                      <wp:docPr id="210" name="Frame2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33985" cy="175260"/>
                      <wp:effectExtent l="0" t="0" r="0" b="0"/>
                      <wp:wrapNone/>
                      <wp:docPr id="211" name="Frame2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372110" cy="175260"/>
                      <wp:effectExtent l="0" t="0" r="0" b="0"/>
                      <wp:wrapNone/>
                      <wp:docPr id="212" name="Frame21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07010" cy="175260"/>
                      <wp:effectExtent l="0" t="0" r="0" b="0"/>
                      <wp:wrapNone/>
                      <wp:docPr id="213" name="Frame2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505460" cy="175260"/>
                      <wp:effectExtent l="0" t="0" r="0" b="0"/>
                      <wp:wrapNone/>
                      <wp:docPr id="214" name="Frame21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07010" cy="175260"/>
                      <wp:effectExtent l="0" t="0" r="0" b="0"/>
                      <wp:wrapNone/>
                      <wp:docPr id="215" name="Frame2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33985" cy="175260"/>
                      <wp:effectExtent l="0" t="0" r="0" b="0"/>
                      <wp:wrapNone/>
                      <wp:docPr id="216" name="Frame2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372110" cy="175260"/>
                      <wp:effectExtent l="0" t="0" r="0" b="0"/>
                      <wp:wrapNone/>
                      <wp:docPr id="217" name="Frame216"/>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07010" cy="175260"/>
                      <wp:effectExtent l="0" t="0" r="0" b="0"/>
                      <wp:wrapNone/>
                      <wp:docPr id="218" name="Frame2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534035" cy="175260"/>
                      <wp:effectExtent l="0" t="0" r="0" b="0"/>
                      <wp:wrapNone/>
                      <wp:docPr id="219" name="Frame218"/>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67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919" w:type="dxa"/>
            <w:gridSpan w:val="4"/>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Six Months Ended </w:t>
            </w:r>
          </w:p>
        </w:tc>
        <w:tc>
          <w:tcPr>
            <w:tcW w:w="326" w:type="dxa"/>
            <w:tcBorders/>
            <w:vAlign w:val="center"/>
          </w:tcPr>
          <w:p>
            <w:pPr>
              <w:pStyle w:val="TableContents"/>
              <w:bidi w:val="0"/>
              <w:spacing w:before="0" w:after="1"/>
              <w:ind w:left="0" w:right="0" w:hanging="0"/>
              <w:jc w:val="center"/>
              <w:rPr/>
            </w:pPr>
            <w:r>
              <w:rPr/>
              <w:t>​</w:t>
            </w:r>
          </w:p>
        </w:tc>
        <w:tc>
          <w:tcPr>
            <w:tcW w:w="1964" w:type="dxa"/>
            <w:gridSpan w:val="4"/>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Six Months Ended </w:t>
            </w:r>
          </w:p>
        </w:tc>
      </w:tr>
      <w:tr>
        <w:trPr/>
        <w:tc>
          <w:tcPr>
            <w:tcW w:w="567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91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2024</w:t>
            </w:r>
          </w:p>
        </w:tc>
        <w:tc>
          <w:tcPr>
            <w:tcW w:w="326" w:type="dxa"/>
            <w:tcBorders/>
            <w:vAlign w:val="center"/>
          </w:tcPr>
          <w:p>
            <w:pPr>
              <w:pStyle w:val="TableContents"/>
              <w:bidi w:val="0"/>
              <w:spacing w:before="0" w:after="1"/>
              <w:ind w:left="0" w:right="0" w:hanging="0"/>
              <w:jc w:val="center"/>
              <w:rPr/>
            </w:pPr>
            <w:r>
              <w:rPr/>
              <w:t>​</w:t>
            </w:r>
          </w:p>
        </w:tc>
        <w:tc>
          <w:tcPr>
            <w:tcW w:w="196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2023</w:t>
            </w:r>
          </w:p>
        </w:tc>
      </w:tr>
      <w:tr>
        <w:trPr/>
        <w:tc>
          <w:tcPr>
            <w:tcW w:w="567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Income</w:t>
            </w:r>
          </w:p>
        </w:tc>
        <w:tc>
          <w:tcPr>
            <w:tcW w:w="326" w:type="dxa"/>
            <w:tcBorders/>
            <w:vAlign w:val="center"/>
          </w:tcPr>
          <w:p>
            <w:pPr>
              <w:pStyle w:val="TableContents"/>
              <w:bidi w:val="0"/>
              <w:spacing w:before="0" w:after="1"/>
              <w:ind w:left="0" w:right="0" w:hanging="0"/>
              <w:jc w:val="center"/>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Shares</w:t>
            </w:r>
          </w:p>
        </w:tc>
        <w:tc>
          <w:tcPr>
            <w:tcW w:w="326" w:type="dxa"/>
            <w:tcBorders/>
            <w:vAlign w:val="center"/>
          </w:tcPr>
          <w:p>
            <w:pPr>
              <w:pStyle w:val="TableContents"/>
              <w:bidi w:val="0"/>
              <w:spacing w:before="0" w:after="1"/>
              <w:ind w:left="0" w:right="0" w:hanging="0"/>
              <w:jc w:val="center"/>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Income</w:t>
            </w:r>
          </w:p>
        </w:tc>
        <w:tc>
          <w:tcPr>
            <w:tcW w:w="326" w:type="dxa"/>
            <w:tcBorders/>
            <w:vAlign w:val="center"/>
          </w:tcPr>
          <w:p>
            <w:pPr>
              <w:pStyle w:val="TableContents"/>
              <w:bidi w:val="0"/>
              <w:spacing w:before="0" w:after="1"/>
              <w:ind w:left="0" w:right="0" w:hanging="0"/>
              <w:jc w:val="center"/>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Shares</w:t>
            </w:r>
          </w:p>
        </w:tc>
      </w:tr>
      <w:tr>
        <w:trPr/>
        <w:tc>
          <w:tcPr>
            <w:tcW w:w="5670" w:type="dxa"/>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Basic:</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  </w:t>
            </w:r>
          </w:p>
        </w:tc>
      </w:tr>
      <w:tr>
        <w:trPr/>
        <w:tc>
          <w:tcPr>
            <w:tcW w:w="5670"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income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6,002</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1,935</w:t>
            </w:r>
          </w:p>
        </w:tc>
        <w:tc>
          <w:tcPr>
            <w:tcW w:w="32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  </w:t>
            </w:r>
          </w:p>
        </w:tc>
      </w:tr>
      <w:tr>
        <w:trPr/>
        <w:tc>
          <w:tcPr>
            <w:tcW w:w="567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Undistributed earnings allocated to participating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w:t>
            </w:r>
          </w:p>
        </w:tc>
        <w:tc>
          <w:tcPr>
            <w:tcW w:w="32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  </w:t>
            </w:r>
          </w:p>
        </w:tc>
      </w:tr>
      <w:tr>
        <w:trPr/>
        <w:tc>
          <w:tcPr>
            <w:tcW w:w="5670"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income available to common shareholders, basic</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5,996</w:t>
            </w:r>
          </w:p>
        </w:tc>
        <w:tc>
          <w:tcPr>
            <w:tcW w:w="326" w:type="dxa"/>
            <w:tcBorders/>
            <w:vAlign w:val="center"/>
          </w:tcPr>
          <w:p>
            <w:pPr>
              <w:pStyle w:val="TableContents"/>
              <w:bidi w:val="0"/>
              <w:spacing w:before="0" w:after="1"/>
              <w:ind w:left="0" w:right="0" w:hanging="0"/>
              <w:jc w:val="left"/>
              <w:rPr/>
            </w:pPr>
            <w:r>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152,301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1,932</w:t>
            </w:r>
          </w:p>
        </w:tc>
        <w:tc>
          <w:tcPr>
            <w:tcW w:w="326" w:type="dxa"/>
            <w:tcBorders/>
            <w:vAlign w:val="center"/>
          </w:tcPr>
          <w:p>
            <w:pPr>
              <w:pStyle w:val="TableContents"/>
              <w:bidi w:val="0"/>
              <w:spacing w:before="0" w:after="1"/>
              <w:ind w:left="0" w:right="0" w:hanging="0"/>
              <w:jc w:val="left"/>
              <w:rPr/>
            </w:pPr>
            <w:r>
              <w:rPr/>
              <w:t> </w:t>
            </w:r>
          </w:p>
        </w:tc>
        <w:tc>
          <w:tcPr>
            <w:tcW w:w="84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151,275</w:t>
            </w:r>
          </w:p>
        </w:tc>
      </w:tr>
      <w:tr>
        <w:trPr/>
        <w:tc>
          <w:tcPr>
            <w:tcW w:w="5670"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left"/>
              <w:rPr/>
            </w:pPr>
            <w:r>
              <w:rPr/>
              <w:t>​</w:t>
            </w:r>
          </w:p>
        </w:tc>
      </w:tr>
      <w:tr>
        <w:trPr/>
        <w:tc>
          <w:tcPr>
            <w:tcW w:w="5670" w:type="dxa"/>
            <w:tcBorders/>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Diluted:</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  </w:t>
            </w:r>
          </w:p>
        </w:tc>
      </w:tr>
      <w:tr>
        <w:trPr/>
        <w:tc>
          <w:tcPr>
            <w:tcW w:w="567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income available to common shareholders, basic</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5,996</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152,301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1,932</w:t>
            </w:r>
          </w:p>
        </w:tc>
        <w:tc>
          <w:tcPr>
            <w:tcW w:w="32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151,275</w:t>
            </w:r>
          </w:p>
        </w:tc>
      </w:tr>
      <w:tr>
        <w:trPr/>
        <w:tc>
          <w:tcPr>
            <w:tcW w:w="5670"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Effect of dilutive securities: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  </w:t>
            </w:r>
          </w:p>
        </w:tc>
      </w:tr>
      <w:tr>
        <w:trPr/>
        <w:tc>
          <w:tcPr>
            <w:tcW w:w="567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Share-based awards other than participating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2,771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2,598</w:t>
            </w:r>
          </w:p>
        </w:tc>
      </w:tr>
      <w:tr>
        <w:trPr/>
        <w:tc>
          <w:tcPr>
            <w:tcW w:w="5670"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income available to common shareholders, diluted</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5,996</w:t>
            </w:r>
          </w:p>
        </w:tc>
        <w:tc>
          <w:tcPr>
            <w:tcW w:w="326" w:type="dxa"/>
            <w:tcBorders/>
            <w:vAlign w:val="center"/>
          </w:tcPr>
          <w:p>
            <w:pPr>
              <w:pStyle w:val="TableContents"/>
              <w:bidi w:val="0"/>
              <w:spacing w:before="0" w:after="1"/>
              <w:ind w:left="0" w:right="0" w:hanging="0"/>
              <w:jc w:val="left"/>
              <w:rPr/>
            </w:pPr>
            <w:r>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155,072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1,932</w:t>
            </w:r>
          </w:p>
        </w:tc>
        <w:tc>
          <w:tcPr>
            <w:tcW w:w="326" w:type="dxa"/>
            <w:tcBorders/>
            <w:vAlign w:val="center"/>
          </w:tcPr>
          <w:p>
            <w:pPr>
              <w:pStyle w:val="TableContents"/>
              <w:bidi w:val="0"/>
              <w:spacing w:before="0" w:after="1"/>
              <w:ind w:left="0" w:right="0" w:hanging="0"/>
              <w:jc w:val="left"/>
              <w:rPr/>
            </w:pPr>
            <w:r>
              <w:rPr/>
              <w:t> </w:t>
            </w:r>
          </w:p>
        </w:tc>
        <w:tc>
          <w:tcPr>
            <w:tcW w:w="84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153,873</w:t>
            </w:r>
          </w:p>
        </w:tc>
      </w:tr>
      <w:tr>
        <w:trPr/>
        <w:tc>
          <w:tcPr>
            <w:tcW w:w="5670"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5670"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Earnings per share, basic and diluted</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0.04</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0.01</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potentially dilutive shares related to the 2023 Notes and the 2026 Notes were excluded from the diluted EPS calculation as they were anti-dilutive (in thousands):</w:t>
      </w:r>
    </w:p>
    <w:p>
      <w:pPr>
        <w:pStyle w:val="TextBody"/>
        <w:bidi w:val="0"/>
        <w:spacing w:before="0" w:after="240"/>
        <w:ind w:left="0" w:right="0" w:firstLine="720"/>
        <w:jc w:val="left"/>
        <w:rPr/>
      </w:pPr>
      <w:r>
        <w:rPr/>
        <w:t>​</w:t>
      </w:r>
    </w:p>
    <w:tbl>
      <w:tblPr>
        <w:tblW w:w="5782" w:type="dxa"/>
        <w:jc w:val="left"/>
        <w:tblInd w:w="0" w:type="dxa"/>
        <w:tblLayout w:type="fixed"/>
        <w:tblCellMar>
          <w:top w:w="0" w:type="dxa"/>
          <w:left w:w="0" w:type="dxa"/>
          <w:bottom w:w="0" w:type="dxa"/>
          <w:right w:w="0" w:type="dxa"/>
        </w:tblCellMar>
      </w:tblPr>
      <w:tblGrid>
        <w:gridCol w:w="1111"/>
        <w:gridCol w:w="326"/>
        <w:gridCol w:w="716"/>
        <w:gridCol w:w="443"/>
        <w:gridCol w:w="940"/>
        <w:gridCol w:w="326"/>
        <w:gridCol w:w="654"/>
        <w:gridCol w:w="364"/>
        <w:gridCol w:w="902"/>
      </w:tblGrid>
      <w:tr>
        <w:trPr/>
        <w:tc>
          <w:tcPr>
            <w:tcW w:w="11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07010" cy="175260"/>
                      <wp:effectExtent l="0" t="0" r="0" b="0"/>
                      <wp:wrapNone/>
                      <wp:docPr id="220" name="Frame2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454660" cy="175260"/>
                      <wp:effectExtent l="0" t="0" r="0" b="0"/>
                      <wp:wrapNone/>
                      <wp:docPr id="221" name="Frame220"/>
                      <a:graphic xmlns:a="http://schemas.openxmlformats.org/drawingml/2006/main">
                        <a:graphicData uri="http://schemas.microsoft.com/office/word/2010/wordprocessingShape">
                          <wps:wsp>
                            <wps:cNvSpPr txBox="1"/>
                            <wps:spPr>
                              <a:xfrm>
                                <a:off x="0" y="0"/>
                                <a:ext cx="454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81305" cy="175260"/>
                      <wp:effectExtent l="0" t="0" r="0" b="0"/>
                      <wp:wrapNone/>
                      <wp:docPr id="222" name="Frame221"/>
                      <a:graphic xmlns:a="http://schemas.openxmlformats.org/drawingml/2006/main">
                        <a:graphicData uri="http://schemas.microsoft.com/office/word/2010/wordprocessingShape">
                          <wps:wsp>
                            <wps:cNvSpPr txBox="1"/>
                            <wps:spPr>
                              <a:xfrm>
                                <a:off x="0" y="0"/>
                                <a:ext cx="281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596900" cy="175260"/>
                      <wp:effectExtent l="0" t="0" r="0" b="0"/>
                      <wp:wrapNone/>
                      <wp:docPr id="223" name="Frame222"/>
                      <a:graphic xmlns:a="http://schemas.openxmlformats.org/drawingml/2006/main">
                        <a:graphicData uri="http://schemas.microsoft.com/office/word/2010/wordprocessingShape">
                          <wps:wsp>
                            <wps:cNvSpPr txBox="1"/>
                            <wps:spPr>
                              <a:xfrm>
                                <a:off x="0" y="0"/>
                                <a:ext cx="596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07010" cy="175260"/>
                      <wp:effectExtent l="0" t="0" r="0" b="0"/>
                      <wp:wrapNone/>
                      <wp:docPr id="224" name="Frame2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415290" cy="175260"/>
                      <wp:effectExtent l="0" t="0" r="0" b="0"/>
                      <wp:wrapNone/>
                      <wp:docPr id="225" name="Frame224"/>
                      <a:graphic xmlns:a="http://schemas.openxmlformats.org/drawingml/2006/main">
                        <a:graphicData uri="http://schemas.microsoft.com/office/word/2010/wordprocessingShape">
                          <wps:wsp>
                            <wps:cNvSpPr txBox="1"/>
                            <wps:spPr>
                              <a:xfrm>
                                <a:off x="0" y="0"/>
                                <a:ext cx="415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31140" cy="175260"/>
                      <wp:effectExtent l="0" t="0" r="0" b="0"/>
                      <wp:wrapNone/>
                      <wp:docPr id="226" name="Frame225"/>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572770" cy="175260"/>
                      <wp:effectExtent l="0" t="0" r="0" b="0"/>
                      <wp:wrapNone/>
                      <wp:docPr id="227" name="Frame226"/>
                      <a:graphic xmlns:a="http://schemas.openxmlformats.org/drawingml/2006/main">
                        <a:graphicData uri="http://schemas.microsoft.com/office/word/2010/wordprocessingShape">
                          <wps:wsp>
                            <wps:cNvSpPr txBox="1"/>
                            <wps:spPr>
                              <a:xfrm>
                                <a:off x="0" y="0"/>
                                <a:ext cx="572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099" w:type="dxa"/>
            <w:gridSpan w:val="3"/>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Three Months Ended </w:t>
            </w:r>
          </w:p>
        </w:tc>
        <w:tc>
          <w:tcPr>
            <w:tcW w:w="326" w:type="dxa"/>
            <w:tcBorders/>
            <w:vAlign w:val="center"/>
          </w:tcPr>
          <w:p>
            <w:pPr>
              <w:pStyle w:val="TableContents"/>
              <w:bidi w:val="0"/>
              <w:spacing w:before="0" w:after="1"/>
              <w:ind w:left="0" w:right="0" w:hanging="0"/>
              <w:jc w:val="left"/>
              <w:rPr/>
            </w:pPr>
            <w:r>
              <w:rPr/>
              <w:t>​</w:t>
            </w:r>
          </w:p>
        </w:tc>
        <w:tc>
          <w:tcPr>
            <w:tcW w:w="1920" w:type="dxa"/>
            <w:gridSpan w:val="3"/>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Six Months Ended </w:t>
            </w:r>
          </w:p>
        </w:tc>
      </w:tr>
      <w:tr>
        <w:trPr/>
        <w:tc>
          <w:tcPr>
            <w:tcW w:w="11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099"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w:t>
            </w:r>
          </w:p>
        </w:tc>
        <w:tc>
          <w:tcPr>
            <w:tcW w:w="326" w:type="dxa"/>
            <w:tcBorders/>
            <w:vAlign w:val="center"/>
          </w:tcPr>
          <w:p>
            <w:pPr>
              <w:pStyle w:val="TableContents"/>
              <w:bidi w:val="0"/>
              <w:spacing w:before="0" w:after="1"/>
              <w:ind w:left="0" w:right="0" w:hanging="0"/>
              <w:jc w:val="left"/>
              <w:rPr/>
            </w:pPr>
            <w:r>
              <w:rPr/>
              <w:t>​</w:t>
            </w:r>
          </w:p>
        </w:tc>
        <w:tc>
          <w:tcPr>
            <w:tcW w:w="1920"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w:t>
            </w:r>
          </w:p>
        </w:tc>
      </w:tr>
      <w:tr>
        <w:trPr/>
        <w:tc>
          <w:tcPr>
            <w:tcW w:w="11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71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443" w:type="dxa"/>
            <w:tcBorders/>
            <w:vAlign w:val="center"/>
          </w:tcPr>
          <w:p>
            <w:pPr>
              <w:pStyle w:val="TableContents"/>
              <w:bidi w:val="0"/>
              <w:spacing w:before="0" w:after="1"/>
              <w:ind w:left="0" w:right="0" w:hanging="0"/>
              <w:jc w:val="center"/>
              <w:rPr/>
            </w:pPr>
            <w:r>
              <w:rPr/>
              <w:t>    </w:t>
            </w:r>
          </w:p>
        </w:tc>
        <w:tc>
          <w:tcPr>
            <w:tcW w:w="940"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c>
          <w:tcPr>
            <w:tcW w:w="326" w:type="dxa"/>
            <w:tcBorders/>
            <w:vAlign w:val="center"/>
          </w:tcPr>
          <w:p>
            <w:pPr>
              <w:pStyle w:val="TableContents"/>
              <w:bidi w:val="0"/>
              <w:spacing w:before="0" w:after="1"/>
              <w:ind w:left="0" w:right="0" w:hanging="0"/>
              <w:jc w:val="center"/>
              <w:rPr/>
            </w:pPr>
            <w:r>
              <w:rPr/>
              <w:t>    </w:t>
            </w:r>
          </w:p>
        </w:tc>
        <w:tc>
          <w:tcPr>
            <w:tcW w:w="654"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364" w:type="dxa"/>
            <w:tcBorders/>
            <w:vAlign w:val="center"/>
          </w:tcPr>
          <w:p>
            <w:pPr>
              <w:pStyle w:val="TableContents"/>
              <w:bidi w:val="0"/>
              <w:spacing w:before="0" w:after="1"/>
              <w:ind w:left="0" w:right="0" w:hanging="0"/>
              <w:jc w:val="center"/>
              <w:rPr/>
            </w:pPr>
            <w:r>
              <w:rPr/>
              <w:t>    </w:t>
            </w:r>
          </w:p>
        </w:tc>
        <w:tc>
          <w:tcPr>
            <w:tcW w:w="902"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11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2023 Notes</w:t>
            </w:r>
          </w:p>
        </w:tc>
        <w:tc>
          <w:tcPr>
            <w:tcW w:w="326" w:type="dxa"/>
            <w:tcBorders/>
            <w:shd w:fill="CCEEFF" w:val="clear"/>
            <w:vAlign w:val="center"/>
          </w:tcPr>
          <w:p>
            <w:pPr>
              <w:pStyle w:val="TableContents"/>
              <w:bidi w:val="0"/>
              <w:spacing w:before="0" w:after="1"/>
              <w:ind w:left="0" w:right="0" w:hanging="0"/>
              <w:jc w:val="left"/>
              <w:rPr/>
            </w:pPr>
            <w:r>
              <w:rPr/>
              <w:t> </w:t>
            </w:r>
          </w:p>
        </w:tc>
        <w:tc>
          <w:tcPr>
            <w:tcW w:w="716" w:type="dxa"/>
            <w:tcBorders/>
            <w:shd w:fill="CCEEFF" w:val="clear"/>
            <w:vAlign w:val="center"/>
          </w:tcPr>
          <w:p>
            <w:pPr>
              <w:pStyle w:val="TableContents"/>
              <w:bidi w:val="0"/>
              <w:spacing w:before="0" w:after="1"/>
              <w:ind w:left="0" w:right="0" w:hanging="0"/>
              <w:jc w:val="right"/>
              <w:rPr/>
            </w:pPr>
            <w:r>
              <w:rPr/>
              <w:t>—</w:t>
            </w:r>
          </w:p>
        </w:tc>
        <w:tc>
          <w:tcPr>
            <w:tcW w:w="443" w:type="dxa"/>
            <w:tcBorders/>
            <w:shd w:fill="CCEEFF" w:val="clear"/>
            <w:vAlign w:val="center"/>
          </w:tcPr>
          <w:p>
            <w:pPr>
              <w:pStyle w:val="TableContents"/>
              <w:bidi w:val="0"/>
              <w:spacing w:before="0" w:after="1"/>
              <w:ind w:left="0" w:right="0" w:hanging="0"/>
              <w:jc w:val="left"/>
              <w:rPr/>
            </w:pPr>
            <w:r>
              <w:rPr/>
              <w:t> </w:t>
            </w:r>
          </w:p>
        </w:tc>
        <w:tc>
          <w:tcPr>
            <w:tcW w:w="94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3,168</w:t>
            </w:r>
          </w:p>
        </w:tc>
        <w:tc>
          <w:tcPr>
            <w:tcW w:w="326" w:type="dxa"/>
            <w:tcBorders/>
            <w:shd w:fill="CCEEFF" w:val="clear"/>
            <w:vAlign w:val="center"/>
          </w:tcPr>
          <w:p>
            <w:pPr>
              <w:pStyle w:val="TableContents"/>
              <w:bidi w:val="0"/>
              <w:spacing w:before="0" w:after="1"/>
              <w:ind w:left="0" w:right="0" w:hanging="0"/>
              <w:jc w:val="left"/>
              <w:rPr/>
            </w:pPr>
            <w:r>
              <w:rPr/>
              <w:t> </w:t>
            </w:r>
          </w:p>
        </w:tc>
        <w:tc>
          <w:tcPr>
            <w:tcW w:w="654" w:type="dxa"/>
            <w:tcBorders/>
            <w:shd w:fill="CCEEFF" w:val="clear"/>
            <w:vAlign w:val="center"/>
          </w:tcPr>
          <w:p>
            <w:pPr>
              <w:pStyle w:val="TableContents"/>
              <w:bidi w:val="0"/>
              <w:spacing w:before="0" w:after="1"/>
              <w:ind w:left="0" w:right="0" w:hanging="0"/>
              <w:jc w:val="right"/>
              <w:rPr/>
            </w:pPr>
            <w:r>
              <w:rPr/>
              <w:t>—</w:t>
            </w:r>
          </w:p>
        </w:tc>
        <w:tc>
          <w:tcPr>
            <w:tcW w:w="364" w:type="dxa"/>
            <w:tcBorders/>
            <w:shd w:fill="CCEEFF" w:val="clear"/>
            <w:vAlign w:val="center"/>
          </w:tcPr>
          <w:p>
            <w:pPr>
              <w:pStyle w:val="TableContents"/>
              <w:bidi w:val="0"/>
              <w:spacing w:before="0" w:after="1"/>
              <w:ind w:left="0" w:right="0" w:hanging="0"/>
              <w:jc w:val="left"/>
              <w:rPr/>
            </w:pPr>
            <w:r>
              <w:rPr/>
              <w:t> </w:t>
            </w:r>
          </w:p>
        </w:tc>
        <w:tc>
          <w:tcPr>
            <w:tcW w:w="9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3,168</w:t>
            </w:r>
          </w:p>
        </w:tc>
      </w:tr>
      <w:tr>
        <w:trPr/>
        <w:tc>
          <w:tcPr>
            <w:tcW w:w="11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2026 Notes</w:t>
            </w:r>
          </w:p>
        </w:tc>
        <w:tc>
          <w:tcPr>
            <w:tcW w:w="326" w:type="dxa"/>
            <w:tcBorders/>
            <w:vAlign w:val="center"/>
          </w:tcPr>
          <w:p>
            <w:pPr>
              <w:pStyle w:val="TableContents"/>
              <w:bidi w:val="0"/>
              <w:spacing w:before="0" w:after="1"/>
              <w:ind w:left="0" w:right="0" w:hanging="0"/>
              <w:jc w:val="left"/>
              <w:rPr/>
            </w:pPr>
            <w:r>
              <w:rPr/>
              <w:t> </w:t>
            </w:r>
          </w:p>
        </w:tc>
        <w:tc>
          <w:tcPr>
            <w:tcW w:w="716" w:type="dxa"/>
            <w:tcBorders/>
            <w:vAlign w:val="center"/>
          </w:tcPr>
          <w:p>
            <w:pPr>
              <w:pStyle w:val="TableContents"/>
              <w:bidi w:val="0"/>
              <w:spacing w:before="0" w:after="1"/>
              <w:ind w:left="0" w:right="0" w:hanging="0"/>
              <w:jc w:val="right"/>
              <w:rPr/>
            </w:pPr>
            <w:r>
              <w:rPr/>
              <w:t>—</w:t>
            </w:r>
          </w:p>
        </w:tc>
        <w:tc>
          <w:tcPr>
            <w:tcW w:w="443" w:type="dxa"/>
            <w:tcBorders/>
            <w:vAlign w:val="center"/>
          </w:tcPr>
          <w:p>
            <w:pPr>
              <w:pStyle w:val="TableContents"/>
              <w:bidi w:val="0"/>
              <w:spacing w:before="0" w:after="1"/>
              <w:ind w:left="0" w:right="0" w:hanging="0"/>
              <w:jc w:val="left"/>
              <w:rPr/>
            </w:pPr>
            <w:r>
              <w:rPr/>
              <w:t> </w:t>
            </w:r>
          </w:p>
        </w:tc>
        <w:tc>
          <w:tcPr>
            <w:tcW w:w="94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28,676</w:t>
            </w:r>
          </w:p>
        </w:tc>
        <w:tc>
          <w:tcPr>
            <w:tcW w:w="326" w:type="dxa"/>
            <w:tcBorders/>
            <w:vAlign w:val="center"/>
          </w:tcPr>
          <w:p>
            <w:pPr>
              <w:pStyle w:val="TableContents"/>
              <w:bidi w:val="0"/>
              <w:spacing w:before="0" w:after="1"/>
              <w:ind w:left="0" w:right="0" w:hanging="0"/>
              <w:jc w:val="left"/>
              <w:rPr/>
            </w:pPr>
            <w:r>
              <w:rPr/>
              <w:t> </w:t>
            </w:r>
          </w:p>
        </w:tc>
        <w:tc>
          <w:tcPr>
            <w:tcW w:w="65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2,594</w:t>
            </w:r>
          </w:p>
        </w:tc>
        <w:tc>
          <w:tcPr>
            <w:tcW w:w="364" w:type="dxa"/>
            <w:tcBorders/>
            <w:vAlign w:val="center"/>
          </w:tcPr>
          <w:p>
            <w:pPr>
              <w:pStyle w:val="TableContents"/>
              <w:bidi w:val="0"/>
              <w:spacing w:before="0" w:after="1"/>
              <w:ind w:left="0" w:right="0" w:hanging="0"/>
              <w:jc w:val="left"/>
              <w:rPr/>
            </w:pPr>
            <w:r>
              <w:rPr/>
              <w:t> </w:t>
            </w:r>
          </w:p>
        </w:tc>
        <w:tc>
          <w:tcPr>
            <w:tcW w:w="902" w:type="dxa"/>
            <w:tcBorders/>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28,676</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19</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We have outstanding restricted stock units (“RSUs”) (Note 10) that can be settled in either cash or shares of our common stock or a combination thereof, which are not included in the computation of diluted EPS as cash settlement is assumed.</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1181" w:name="_Hlk69914146"/>
      <w:bookmarkStart w:id="1182" w:name="Tc_q7STSGp1L0OtfklNYRFSAA_7_9"/>
      <w:bookmarkStart w:id="1183" w:name="Tc_UD3exZKVQEGRw3Nray5ttA_7_6"/>
      <w:bookmarkStart w:id="1184" w:name="Tc_8tRajLfrMUWup24tO0I9kA_7_2"/>
      <w:bookmarkStart w:id="1185" w:name="Tc_xlJgfpZWGkOkzZKe-n8q1A_7_0"/>
      <w:bookmarkStart w:id="1186" w:name="Tc_PeoTyR-H7kyf_FkN-_zszg_6_9"/>
      <w:bookmarkStart w:id="1187" w:name="Tc_HPpP9QvEI0Oxe0lNHRVOQg_6_6"/>
      <w:bookmarkStart w:id="1188" w:name="Tc_Q7LKLlaC90yBWZENnT01Qw_6_2"/>
      <w:bookmarkStart w:id="1189" w:name="Tc_j-JIWeCUvkGwY2YWhGmICg_6_0"/>
      <w:bookmarkStart w:id="1190" w:name="Tc_Oh8VGXXxy0-SsY9KodsO1A_5_9"/>
      <w:bookmarkStart w:id="1191" w:name="Tc_SQe983pDz0-Aak-STTecPA_5_6"/>
      <w:bookmarkStart w:id="1192" w:name="Tc_jaQdqYsPtUiuxqZtFejvVw_5_2"/>
      <w:bookmarkStart w:id="1193" w:name="Tc_qoTNrYNRpkuYsnpKqM3LXg_5_0"/>
      <w:bookmarkStart w:id="1194" w:name="Tc_y67qf8BcbUiAhIB6rMMRAw_4_9"/>
      <w:bookmarkStart w:id="1195" w:name="Tc_8GXWTy7TUkmYUobFB-Ck8w_4_6"/>
      <w:bookmarkStart w:id="1196" w:name="Tc_BbhQicmFYEWu4dOTSIb8kg_4_2"/>
      <w:bookmarkStart w:id="1197" w:name="Tc_HWj7LGAE8Ea6xv0OwUvYYA_4_0"/>
      <w:bookmarkStart w:id="1198" w:name="Tc_kb1LJVRB0ECS1Fxy53UIiA_3_9"/>
      <w:bookmarkStart w:id="1199" w:name="Tc_93wnRyHuMUG6RnB4Yj7-UQ_3_6"/>
      <w:bookmarkStart w:id="1200" w:name="Tc_HdXtO3PgeUyo6JDhBpwmkQ_3_4"/>
      <w:bookmarkStart w:id="1201" w:name="Tc_Ny9GkHgAR0Gl9V4eVDZXiQ_3_2"/>
      <w:bookmarkStart w:id="1202" w:name="Tc_0qk2MqVpMU-EVrUksukTNA_3_0"/>
      <w:bookmarkStart w:id="1203" w:name="Tc_5y6sFWjmSka6EpKRtd1dww_2_6"/>
      <w:bookmarkStart w:id="1204" w:name="Tc_IPkh3Wb3JkWVAmV2JdWJqQ_1_6"/>
      <w:bookmarkStart w:id="1205" w:name="_bbb43576_fa72_429e_b5d2_7cf9f7a2c138"/>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r>
        <w:rPr>
          <w:rFonts w:ascii="Arial;Helvetica;sans-serif" w:hAnsi="Arial;Helvetica;sans-serif"/>
          <w:b/>
          <w:sz w:val="20"/>
        </w:rPr>
        <w:t>Note 10 — Employee Benefit Plans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Long-Term Incentive Plan</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We currently have one active long-term incentive plan: the 2005 Long-Term Incentive Plan, as amended and restated (the “2005 Incentive Plan”). On May 15, 2024, our shareholders approved an amendment to and restatement of the 2005 Incentive Plan, which, among other things, authorizes 7.0 million additional shares for issuance pursuant to our equity incentive compensation strategy. As of June 30, 2024, there were approximately 9.5 million shares of our common stock available for issuance under the 2005 Incentive Plan. During the six-month period ended June 30, 2024, the following grants of share-based awards were made under the 2005 Incentive Plan:</w:t>
      </w:r>
    </w:p>
    <w:p>
      <w:pPr>
        <w:pStyle w:val="TextBody"/>
        <w:bidi w:val="0"/>
        <w:spacing w:before="0" w:after="240"/>
        <w:ind w:left="0" w:right="0" w:firstLine="720"/>
        <w:jc w:val="left"/>
        <w:rPr/>
      </w:pPr>
      <w:r>
        <w:rPr/>
        <w:t>​</w:t>
      </w:r>
    </w:p>
    <w:tbl>
      <w:tblPr>
        <w:tblW w:w="10113" w:type="dxa"/>
        <w:jc w:val="left"/>
        <w:tblInd w:w="0" w:type="dxa"/>
        <w:tblLayout w:type="fixed"/>
        <w:tblCellMar>
          <w:top w:w="0" w:type="dxa"/>
          <w:left w:w="0" w:type="dxa"/>
          <w:bottom w:w="0" w:type="dxa"/>
          <w:right w:w="0" w:type="dxa"/>
        </w:tblCellMar>
      </w:tblPr>
      <w:tblGrid>
        <w:gridCol w:w="1756"/>
        <w:gridCol w:w="326"/>
        <w:gridCol w:w="1531"/>
        <w:gridCol w:w="326"/>
        <w:gridCol w:w="1291"/>
        <w:gridCol w:w="326"/>
        <w:gridCol w:w="385"/>
        <w:gridCol w:w="1070"/>
        <w:gridCol w:w="326"/>
        <w:gridCol w:w="2776"/>
      </w:tblGrid>
      <w:tr>
        <w:trPr/>
        <w:tc>
          <w:tcPr>
            <w:tcW w:w="1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115060" cy="175260"/>
                      <wp:effectExtent l="0" t="0" r="0" b="0"/>
                      <wp:wrapNone/>
                      <wp:docPr id="228" name="Frame227"/>
                      <a:graphic xmlns:a="http://schemas.openxmlformats.org/drawingml/2006/main">
                        <a:graphicData uri="http://schemas.microsoft.com/office/word/2010/wordprocessingShape">
                          <wps:wsp>
                            <wps:cNvSpPr txBox="1"/>
                            <wps:spPr>
                              <a:xfrm>
                                <a:off x="0" y="0"/>
                                <a:ext cx="1115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07010" cy="175260"/>
                      <wp:effectExtent l="0" t="0" r="0" b="0"/>
                      <wp:wrapNone/>
                      <wp:docPr id="229" name="Frame2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972185" cy="175260"/>
                      <wp:effectExtent l="0" t="0" r="0" b="0"/>
                      <wp:wrapNone/>
                      <wp:docPr id="230" name="Frame229"/>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07010" cy="175260"/>
                      <wp:effectExtent l="0" t="0" r="0" b="0"/>
                      <wp:wrapNone/>
                      <wp:docPr id="231" name="Frame2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819785" cy="175260"/>
                      <wp:effectExtent l="0" t="0" r="0" b="0"/>
                      <wp:wrapNone/>
                      <wp:docPr id="232" name="Frame231"/>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07010" cy="175260"/>
                      <wp:effectExtent l="0" t="0" r="0" b="0"/>
                      <wp:wrapNone/>
                      <wp:docPr id="233" name="Frame2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44475" cy="175260"/>
                      <wp:effectExtent l="0" t="0" r="0" b="0"/>
                      <wp:wrapNone/>
                      <wp:docPr id="234" name="Frame233"/>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79450" cy="175260"/>
                      <wp:effectExtent l="0" t="0" r="0" b="0"/>
                      <wp:wrapNone/>
                      <wp:docPr id="235" name="Frame234"/>
                      <a:graphic xmlns:a="http://schemas.openxmlformats.org/drawingml/2006/main">
                        <a:graphicData uri="http://schemas.microsoft.com/office/word/2010/wordprocessingShape">
                          <wps:wsp>
                            <wps:cNvSpPr txBox="1"/>
                            <wps:spPr>
                              <a:xfrm>
                                <a:off x="0" y="0"/>
                                <a:ext cx="679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07010" cy="175260"/>
                      <wp:effectExtent l="0" t="0" r="0" b="0"/>
                      <wp:wrapNone/>
                      <wp:docPr id="236" name="Frame2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762760" cy="175260"/>
                      <wp:effectExtent l="0" t="0" r="0" b="0"/>
                      <wp:wrapNone/>
                      <wp:docPr id="237" name="Frame236"/>
                      <a:graphic xmlns:a="http://schemas.openxmlformats.org/drawingml/2006/main">
                        <a:graphicData uri="http://schemas.microsoft.com/office/word/2010/wordprocessingShape">
                          <wps:wsp>
                            <wps:cNvSpPr txBox="1"/>
                            <wps:spPr>
                              <a:xfrm>
                                <a:off x="0" y="0"/>
                                <a:ext cx="1762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5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455"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Grant Date</w:t>
            </w:r>
          </w:p>
        </w:tc>
        <w:tc>
          <w:tcPr>
            <w:tcW w:w="326" w:type="dxa"/>
            <w:tcBorders/>
            <w:vAlign w:val="center"/>
          </w:tcPr>
          <w:p>
            <w:pPr>
              <w:pStyle w:val="TableContents"/>
              <w:bidi w:val="0"/>
              <w:spacing w:before="0" w:after="1"/>
              <w:ind w:left="0" w:right="0" w:hanging="0"/>
              <w:jc w:val="center"/>
              <w:rPr/>
            </w:pPr>
            <w:r>
              <w:rPr/>
              <w:t>​</w:t>
            </w:r>
          </w:p>
        </w:tc>
        <w:tc>
          <w:tcPr>
            <w:tcW w:w="2776" w:type="dxa"/>
            <w:tcBorders/>
            <w:vAlign w:val="center"/>
          </w:tcPr>
          <w:p>
            <w:pPr>
              <w:pStyle w:val="TableContents"/>
              <w:bidi w:val="0"/>
              <w:spacing w:before="0" w:after="1"/>
              <w:ind w:left="0" w:right="0" w:hanging="0"/>
              <w:jc w:val="center"/>
              <w:rPr/>
            </w:pPr>
            <w:r>
              <w:rPr/>
              <w:t>​</w:t>
            </w:r>
          </w:p>
        </w:tc>
      </w:tr>
      <w:tr>
        <w:trPr/>
        <w:tc>
          <w:tcPr>
            <w:tcW w:w="17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5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455"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Fair Value</w:t>
            </w:r>
          </w:p>
        </w:tc>
        <w:tc>
          <w:tcPr>
            <w:tcW w:w="326" w:type="dxa"/>
            <w:tcBorders/>
            <w:vAlign w:val="center"/>
          </w:tcPr>
          <w:p>
            <w:pPr>
              <w:pStyle w:val="TableContents"/>
              <w:bidi w:val="0"/>
              <w:spacing w:before="0" w:after="1"/>
              <w:ind w:left="0" w:right="0" w:hanging="0"/>
              <w:jc w:val="center"/>
              <w:rPr/>
            </w:pPr>
            <w:r>
              <w:rPr/>
              <w:t>​</w:t>
            </w:r>
          </w:p>
        </w:tc>
        <w:tc>
          <w:tcPr>
            <w:tcW w:w="2776" w:type="dxa"/>
            <w:tcBorders/>
            <w:vAlign w:val="center"/>
          </w:tcPr>
          <w:p>
            <w:pPr>
              <w:pStyle w:val="TableContents"/>
              <w:bidi w:val="0"/>
              <w:spacing w:before="0" w:after="1"/>
              <w:ind w:left="0" w:right="0" w:hanging="0"/>
              <w:jc w:val="center"/>
              <w:rPr/>
            </w:pPr>
            <w:r>
              <w:rPr/>
              <w:t>​</w:t>
            </w:r>
          </w:p>
        </w:tc>
      </w:tr>
      <w:tr>
        <w:trPr/>
        <w:tc>
          <w:tcPr>
            <w:tcW w:w="1756"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Date of Grant</w:t>
            </w:r>
          </w:p>
        </w:tc>
        <w:tc>
          <w:tcPr>
            <w:tcW w:w="326" w:type="dxa"/>
            <w:tcBorders/>
            <w:vAlign w:val="center"/>
          </w:tcPr>
          <w:p>
            <w:pPr>
              <w:pStyle w:val="TableContents"/>
              <w:bidi w:val="0"/>
              <w:spacing w:before="0" w:after="1"/>
              <w:ind w:left="0" w:right="0" w:hanging="0"/>
              <w:jc w:val="center"/>
              <w:rPr/>
            </w:pPr>
            <w:r>
              <w:rPr/>
              <w:t>    </w:t>
            </w:r>
          </w:p>
        </w:tc>
        <w:tc>
          <w:tcPr>
            <w:tcW w:w="153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Award Type</w:t>
            </w:r>
          </w:p>
        </w:tc>
        <w:tc>
          <w:tcPr>
            <w:tcW w:w="326" w:type="dxa"/>
            <w:tcBorders/>
            <w:vAlign w:val="center"/>
          </w:tcPr>
          <w:p>
            <w:pPr>
              <w:pStyle w:val="TableContents"/>
              <w:bidi w:val="0"/>
              <w:spacing w:before="0" w:after="1"/>
              <w:ind w:left="0" w:right="0" w:hanging="0"/>
              <w:jc w:val="center"/>
              <w:rPr/>
            </w:pPr>
            <w:r>
              <w:rPr/>
              <w:t>    </w:t>
            </w:r>
          </w:p>
        </w:tc>
        <w:tc>
          <w:tcPr>
            <w:tcW w:w="129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Shares/Units</w:t>
            </w:r>
          </w:p>
        </w:tc>
        <w:tc>
          <w:tcPr>
            <w:tcW w:w="326" w:type="dxa"/>
            <w:tcBorders/>
            <w:vAlign w:val="center"/>
          </w:tcPr>
          <w:p>
            <w:pPr>
              <w:pStyle w:val="TableContents"/>
              <w:bidi w:val="0"/>
              <w:spacing w:before="0" w:after="1"/>
              <w:ind w:left="0" w:right="0" w:hanging="0"/>
              <w:jc w:val="center"/>
              <w:rPr/>
            </w:pPr>
            <w:r>
              <w:rPr/>
              <w:t>    </w:t>
            </w:r>
          </w:p>
        </w:tc>
        <w:tc>
          <w:tcPr>
            <w:tcW w:w="14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Per Share/Unit</w:t>
            </w:r>
          </w:p>
        </w:tc>
        <w:tc>
          <w:tcPr>
            <w:tcW w:w="326" w:type="dxa"/>
            <w:tcBorders/>
            <w:vAlign w:val="center"/>
          </w:tcPr>
          <w:p>
            <w:pPr>
              <w:pStyle w:val="TableContents"/>
              <w:bidi w:val="0"/>
              <w:spacing w:before="0" w:after="1"/>
              <w:ind w:left="0" w:right="0" w:hanging="0"/>
              <w:jc w:val="center"/>
              <w:rPr/>
            </w:pPr>
            <w:r>
              <w:rPr/>
              <w:t>    </w:t>
            </w:r>
          </w:p>
        </w:tc>
        <w:tc>
          <w:tcPr>
            <w:tcW w:w="277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Vesting Period/Vesting Date</w:t>
            </w:r>
          </w:p>
        </w:tc>
      </w:tr>
      <w:tr>
        <w:trPr/>
        <w:tc>
          <w:tcPr>
            <w:tcW w:w="1756" w:type="dxa"/>
            <w:tcBorders/>
            <w:shd w:fill="CCEEFF" w:val="clear"/>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January 1, 2024 </w:t>
            </w:r>
            <w:r>
              <w:rPr>
                <w:rFonts w:ascii="Arial;Helvetica;sans-serif" w:hAnsi="Arial;Helvetica;sans-serif"/>
                <w:sz w:val="15"/>
              </w:rPr>
              <w:t>(1)</w:t>
            </w:r>
          </w:p>
        </w:tc>
        <w:tc>
          <w:tcPr>
            <w:tcW w:w="326" w:type="dxa"/>
            <w:tcBorders/>
            <w:shd w:fill="CCEEFF" w:val="clear"/>
            <w:vAlign w:val="center"/>
          </w:tcPr>
          <w:p>
            <w:pPr>
              <w:pStyle w:val="TableContents"/>
              <w:bidi w:val="0"/>
              <w:spacing w:before="0" w:after="1"/>
              <w:ind w:left="0" w:right="0" w:hanging="0"/>
              <w:jc w:val="left"/>
              <w:rPr/>
            </w:pPr>
            <w:r>
              <w:rPr/>
              <w:t> </w:t>
            </w:r>
          </w:p>
        </w:tc>
        <w:tc>
          <w:tcPr>
            <w:tcW w:w="15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RSU</w:t>
            </w:r>
          </w:p>
        </w:tc>
        <w:tc>
          <w:tcPr>
            <w:tcW w:w="326" w:type="dxa"/>
            <w:tcBorders/>
            <w:shd w:fill="CCEEFF" w:val="clear"/>
            <w:vAlign w:val="center"/>
          </w:tcPr>
          <w:p>
            <w:pPr>
              <w:pStyle w:val="TableContents"/>
              <w:bidi w:val="0"/>
              <w:spacing w:before="0" w:after="1"/>
              <w:ind w:left="0" w:right="0" w:hanging="0"/>
              <w:jc w:val="left"/>
              <w:rPr/>
            </w:pPr>
            <w:r>
              <w:rPr/>
              <w:t> </w:t>
            </w:r>
          </w:p>
        </w:tc>
        <w:tc>
          <w:tcPr>
            <w:tcW w:w="12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375,730</w:t>
            </w:r>
          </w:p>
        </w:tc>
        <w:tc>
          <w:tcPr>
            <w:tcW w:w="326"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10.28</w:t>
            </w:r>
          </w:p>
        </w:tc>
        <w:tc>
          <w:tcPr>
            <w:tcW w:w="326" w:type="dxa"/>
            <w:tcBorders/>
            <w:shd w:fill="CCEEFF" w:val="clear"/>
            <w:vAlign w:val="center"/>
          </w:tcPr>
          <w:p>
            <w:pPr>
              <w:pStyle w:val="TableContents"/>
              <w:bidi w:val="0"/>
              <w:spacing w:before="0" w:after="1"/>
              <w:ind w:left="0" w:right="0" w:hanging="0"/>
              <w:jc w:val="left"/>
              <w:rPr/>
            </w:pPr>
            <w:r>
              <w:rPr/>
              <w:t> </w:t>
            </w:r>
          </w:p>
        </w:tc>
        <w:tc>
          <w:tcPr>
            <w:tcW w:w="277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33% per year over three years</w:t>
            </w:r>
          </w:p>
        </w:tc>
      </w:tr>
      <w:tr>
        <w:trPr/>
        <w:tc>
          <w:tcPr>
            <w:tcW w:w="1756"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January 1, 2024 </w:t>
            </w:r>
            <w:r>
              <w:rPr>
                <w:rFonts w:ascii="Arial;Helvetica;sans-serif" w:hAnsi="Arial;Helvetica;sans-serif"/>
                <w:sz w:val="15"/>
              </w:rPr>
              <w:t>(1)</w:t>
            </w:r>
          </w:p>
        </w:tc>
        <w:tc>
          <w:tcPr>
            <w:tcW w:w="326" w:type="dxa"/>
            <w:tcBorders/>
            <w:vAlign w:val="center"/>
          </w:tcPr>
          <w:p>
            <w:pPr>
              <w:pStyle w:val="TableContents"/>
              <w:bidi w:val="0"/>
              <w:spacing w:before="0" w:after="1"/>
              <w:ind w:left="0" w:right="0" w:hanging="0"/>
              <w:jc w:val="left"/>
              <w:rPr/>
            </w:pPr>
            <w:r>
              <w:rPr/>
              <w:t> </w:t>
            </w:r>
          </w:p>
        </w:tc>
        <w:tc>
          <w:tcPr>
            <w:tcW w:w="15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PSU</w:t>
            </w:r>
          </w:p>
        </w:tc>
        <w:tc>
          <w:tcPr>
            <w:tcW w:w="326" w:type="dxa"/>
            <w:tcBorders/>
            <w:vAlign w:val="center"/>
          </w:tcPr>
          <w:p>
            <w:pPr>
              <w:pStyle w:val="TableContents"/>
              <w:bidi w:val="0"/>
              <w:spacing w:before="0" w:after="1"/>
              <w:ind w:left="0" w:right="0" w:hanging="0"/>
              <w:jc w:val="left"/>
              <w:rPr/>
            </w:pPr>
            <w:r>
              <w:rPr/>
              <w:t> </w:t>
            </w:r>
          </w:p>
        </w:tc>
        <w:tc>
          <w:tcPr>
            <w:tcW w:w="12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351,410</w:t>
            </w:r>
          </w:p>
        </w:tc>
        <w:tc>
          <w:tcPr>
            <w:tcW w:w="326"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12.30</w:t>
            </w:r>
          </w:p>
        </w:tc>
        <w:tc>
          <w:tcPr>
            <w:tcW w:w="326" w:type="dxa"/>
            <w:tcBorders/>
            <w:vAlign w:val="center"/>
          </w:tcPr>
          <w:p>
            <w:pPr>
              <w:pStyle w:val="TableContents"/>
              <w:bidi w:val="0"/>
              <w:spacing w:before="0" w:after="1"/>
              <w:ind w:left="0" w:right="0" w:hanging="0"/>
              <w:jc w:val="left"/>
              <w:rPr/>
            </w:pPr>
            <w:r>
              <w:rPr/>
              <w:t> </w:t>
            </w:r>
          </w:p>
        </w:tc>
        <w:tc>
          <w:tcPr>
            <w:tcW w:w="277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100% on December 31, 2026</w:t>
            </w:r>
          </w:p>
        </w:tc>
      </w:tr>
      <w:tr>
        <w:trPr/>
        <w:tc>
          <w:tcPr>
            <w:tcW w:w="1756" w:type="dxa"/>
            <w:tcBorders/>
            <w:shd w:fill="CCEEFF" w:val="clear"/>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January 1, 2024 </w:t>
            </w:r>
            <w:r>
              <w:rPr>
                <w:rFonts w:ascii="Arial;Helvetica;sans-serif" w:hAnsi="Arial;Helvetica;sans-serif"/>
                <w:sz w:val="15"/>
              </w:rPr>
              <w:t>(2)</w:t>
            </w:r>
          </w:p>
        </w:tc>
        <w:tc>
          <w:tcPr>
            <w:tcW w:w="326" w:type="dxa"/>
            <w:tcBorders/>
            <w:shd w:fill="CCEEFF" w:val="clear"/>
            <w:vAlign w:val="center"/>
          </w:tcPr>
          <w:p>
            <w:pPr>
              <w:pStyle w:val="TableContents"/>
              <w:bidi w:val="0"/>
              <w:spacing w:before="0" w:after="1"/>
              <w:ind w:left="0" w:right="0" w:hanging="0"/>
              <w:jc w:val="left"/>
              <w:rPr/>
            </w:pPr>
            <w:r>
              <w:rPr/>
              <w:t> </w:t>
            </w:r>
          </w:p>
        </w:tc>
        <w:tc>
          <w:tcPr>
            <w:tcW w:w="15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Restricted stock</w:t>
            </w:r>
          </w:p>
        </w:tc>
        <w:tc>
          <w:tcPr>
            <w:tcW w:w="326" w:type="dxa"/>
            <w:tcBorders/>
            <w:shd w:fill="CCEEFF" w:val="clear"/>
            <w:vAlign w:val="center"/>
          </w:tcPr>
          <w:p>
            <w:pPr>
              <w:pStyle w:val="TableContents"/>
              <w:bidi w:val="0"/>
              <w:spacing w:before="0" w:after="1"/>
              <w:ind w:left="0" w:right="0" w:hanging="0"/>
              <w:jc w:val="left"/>
              <w:rPr/>
            </w:pPr>
            <w:r>
              <w:rPr/>
              <w:t> </w:t>
            </w:r>
          </w:p>
        </w:tc>
        <w:tc>
          <w:tcPr>
            <w:tcW w:w="12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5,776</w:t>
            </w:r>
          </w:p>
        </w:tc>
        <w:tc>
          <w:tcPr>
            <w:tcW w:w="326"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10.28</w:t>
            </w:r>
          </w:p>
        </w:tc>
        <w:tc>
          <w:tcPr>
            <w:tcW w:w="326" w:type="dxa"/>
            <w:tcBorders/>
            <w:shd w:fill="CCEEFF" w:val="clear"/>
            <w:vAlign w:val="center"/>
          </w:tcPr>
          <w:p>
            <w:pPr>
              <w:pStyle w:val="TableContents"/>
              <w:bidi w:val="0"/>
              <w:spacing w:before="0" w:after="1"/>
              <w:ind w:left="0" w:right="0" w:hanging="0"/>
              <w:jc w:val="left"/>
              <w:rPr/>
            </w:pPr>
            <w:r>
              <w:rPr/>
              <w:t> </w:t>
            </w:r>
          </w:p>
        </w:tc>
        <w:tc>
          <w:tcPr>
            <w:tcW w:w="277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100% on January 1, 2026</w:t>
            </w:r>
          </w:p>
        </w:tc>
      </w:tr>
      <w:tr>
        <w:trPr/>
        <w:tc>
          <w:tcPr>
            <w:tcW w:w="1756"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April 1, 2024 </w:t>
            </w:r>
            <w:r>
              <w:rPr>
                <w:rFonts w:ascii="Arial;Helvetica;sans-serif" w:hAnsi="Arial;Helvetica;sans-serif"/>
                <w:sz w:val="15"/>
              </w:rPr>
              <w:t>(2)</w:t>
            </w:r>
          </w:p>
        </w:tc>
        <w:tc>
          <w:tcPr>
            <w:tcW w:w="326" w:type="dxa"/>
            <w:tcBorders/>
            <w:vAlign w:val="center"/>
          </w:tcPr>
          <w:p>
            <w:pPr>
              <w:pStyle w:val="TableContents"/>
              <w:bidi w:val="0"/>
              <w:spacing w:before="0" w:after="1"/>
              <w:ind w:left="0" w:right="0" w:hanging="0"/>
              <w:jc w:val="left"/>
              <w:rPr/>
            </w:pPr>
            <w:r>
              <w:rPr/>
              <w:t> </w:t>
            </w:r>
          </w:p>
        </w:tc>
        <w:tc>
          <w:tcPr>
            <w:tcW w:w="15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Restricted stock</w:t>
            </w:r>
          </w:p>
        </w:tc>
        <w:tc>
          <w:tcPr>
            <w:tcW w:w="326" w:type="dxa"/>
            <w:tcBorders/>
            <w:vAlign w:val="center"/>
          </w:tcPr>
          <w:p>
            <w:pPr>
              <w:pStyle w:val="TableContents"/>
              <w:bidi w:val="0"/>
              <w:spacing w:before="0" w:after="1"/>
              <w:ind w:left="0" w:right="0" w:hanging="0"/>
              <w:jc w:val="left"/>
              <w:rPr/>
            </w:pPr>
            <w:r>
              <w:rPr/>
              <w:t> </w:t>
            </w:r>
          </w:p>
        </w:tc>
        <w:tc>
          <w:tcPr>
            <w:tcW w:w="12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2,595</w:t>
            </w:r>
          </w:p>
        </w:tc>
        <w:tc>
          <w:tcPr>
            <w:tcW w:w="326"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10.84</w:t>
            </w:r>
          </w:p>
        </w:tc>
        <w:tc>
          <w:tcPr>
            <w:tcW w:w="326" w:type="dxa"/>
            <w:tcBorders/>
            <w:vAlign w:val="center"/>
          </w:tcPr>
          <w:p>
            <w:pPr>
              <w:pStyle w:val="TableContents"/>
              <w:bidi w:val="0"/>
              <w:spacing w:before="0" w:after="1"/>
              <w:ind w:left="0" w:right="0" w:hanging="0"/>
              <w:jc w:val="left"/>
              <w:rPr/>
            </w:pPr>
            <w:r>
              <w:rPr/>
              <w:t> </w:t>
            </w:r>
          </w:p>
        </w:tc>
        <w:tc>
          <w:tcPr>
            <w:tcW w:w="277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100% on January 1, 2026</w:t>
            </w:r>
          </w:p>
        </w:tc>
      </w:tr>
    </w:tbl>
    <w:tbl>
      <w:tblPr>
        <w:tblW w:w="4037" w:type="dxa"/>
        <w:jc w:val="left"/>
        <w:tblInd w:w="0" w:type="dxa"/>
        <w:tblLayout w:type="fixed"/>
        <w:tblCellMar>
          <w:top w:w="0" w:type="dxa"/>
          <w:left w:w="0" w:type="dxa"/>
          <w:bottom w:w="0" w:type="dxa"/>
          <w:right w:w="0" w:type="dxa"/>
        </w:tblCellMar>
      </w:tblPr>
      <w:tblGrid>
        <w:gridCol w:w="346"/>
        <w:gridCol w:w="3691"/>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369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Reflects grants to our executive officers.</w:t>
            </w:r>
          </w:p>
        </w:tc>
      </w:tr>
    </w:tbl>
    <w:tbl>
      <w:tblPr>
        <w:tblW w:w="10205" w:type="dxa"/>
        <w:jc w:val="left"/>
        <w:tblInd w:w="0" w:type="dxa"/>
        <w:tblLayout w:type="fixed"/>
        <w:tblCellMar>
          <w:top w:w="0" w:type="dxa"/>
          <w:left w:w="0" w:type="dxa"/>
          <w:bottom w:w="0" w:type="dxa"/>
          <w:right w:w="0" w:type="dxa"/>
        </w:tblCellMar>
      </w:tblPr>
      <w:tblGrid>
        <w:gridCol w:w="336"/>
        <w:gridCol w:w="9869"/>
      </w:tblGrid>
      <w:tr>
        <w:trPr/>
        <w:tc>
          <w:tcPr>
            <w:tcW w:w="33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869"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Reflects grants to certain independent members of our Board who have elected to take their quarterly fees in stock in lieu of cash.</w:t>
            </w:r>
          </w:p>
        </w:tc>
      </w:tr>
    </w:tbl>
    <w:p>
      <w:pPr>
        <w:pStyle w:val="TextBody"/>
        <w:bidi w:val="0"/>
        <w:spacing w:before="0" w:after="240"/>
        <w:ind w:left="0" w:right="0" w:hanging="0"/>
        <w:jc w:val="left"/>
        <w:rPr/>
      </w:pPr>
      <w:r>
        <w:rPr/>
        <w: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Restricted stock awards are based solely on service conditions and are accounted for as equity awards. Compensation cost for restricted stock is the product of the grant date fair value of each share and the number of shares granted and is recognized over the applicable vesting period on a straight-line basis. Forfeitures are recognized as they occur. No restricted stock awards have been granted to our executive officers or other employees since 2020. For each of the three- and six-month periods ended June 30, 2024 and 2023, we recognized $0.3 million and $0.6 million, respectively, as share-based compensation related to restricted stock.</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performance share units (“PSUs”) granted beginning in January 2021 may be settled in either cash or shares of our common stock upon vesting at the discretion of the Compensation Committee of our Board and have been accounted for as equity awards. Those PSUs consist of two components: (i) 50% based on the performance of our common stock against peer group companies, which component contains a service and a market condition, and (ii) 50% based on cumulative total Free Cash Flow, which component contains a service and a performance condition. Free Cash Flow is calculated as cash flows from operating activities less capital expenditures, net of proceeds from sale of assets. Our PSUs cliff vest at the end of a three-year period with the maximum amount of the award being 200% of the original PSU awards and the minimum amount being zero.</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For PSUs with a service and a market condition that are accounted for as equity awards, compensation cost is measured based on the grant date estimated fair value determined using a Monte Carlo simulation model and subsequently recognized over the vesting period on a straight-line basis. For PSUs with a service and a performance condition that are accounted for as equity awards, compensation cost is initially measured based on the grant date fair value. Cumulative compensation cost is subsequently adjusted at the end of each reporting period to reflect the current estimation of achieving the performance condition. For the three- and six-month periods ended June 30, 2024, $1.5 million and $2.8 million, respectively, were recognized as share-based compensation related to PSUs. For the three- and six-month periods ended June 30, 2023, $1.2 million and $2.4 million, respectively, were recognized as share-based compensation related to PSUs. In the first quarter 2024, based on the performance of our common stock price as compared to our performance peer group and our cumulative total Free Cash Flow, in each case over a three-year performance period, 452,381 PSUs granted in 2021 vested at 181%, representing 818,812 shares of our common stock with a total market value of $8.4 million.</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20</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currently outstanding RSUs may be settled in either cash or shares of our common stock upon vesting at the discretion of the Compensation Committee and have been accounted for as liability awards. Liability RSUs are measured at their estimated fair value based on the closing share price of our common stock as of each balance sheet date, and subsequent changes in the fair value of the awards are recognized in earnings for the portion of the award for which the requisite service period has elapsed. Cumulative compensation cost for vested liability RSUs equals the actual payout value upon vesting. For the three- and six-month periods ended June 30, 2024, $2.1 million and $3.7 million, respectively, were recognized as compensation cost. For the three- and six-month periods ended June 30, 2023, $1.2 million and $2.4 million, respectively, were recognized as compensation cost.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In 2024 and 2023, we granted fixed-value cash awards of $6.1 million and $6.0 million, respectively, to select management employees under the 2005 Incentive Plan. The value of these cash awards is recognized on a straight-line basis over a vesting period of three years. For the three- and six-month periods ended June 30, 2024, $1.3 million and $2.7 million, respectively, were recognized as compensation cost. For the three- and six-month periods ended June 30, 2023, $1.2 million and $2.4 million, respectively, were recognized as compensation cost.</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Defined Contribution Plans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sponsor a defined contribution 401(k) retirement plan (the “401(k) Plan”) in the U.S. We also contribute to various other defined contribution plans globally. For the three- and six-month periods ended June 30, 2024, we made contributions to our defined contribution plans totaling $1.4 million and $2.8 million, respectively. For the three- and six-month periods ended June 30, 2023, we made contributions to our defined contribution plans totaling $1.0 million and $2.1 million, respectively.</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Employee Stock Purchase Plan (“ESPP”)</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As of June 30, 2024, 1.0 million shares were available for issuance under the ESPP. The ESPP currently has a purchase limit of 260 shares per employee per purchase period.</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For more information regarding our employee benefit plans, including the 2005 Incentive Plan, the defined contribution plans and the ESPP, see Note 13 to our 2023 Form 10-K.</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21</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bookmarkStart w:id="1206" w:name="Tc_6LzKPfj32U-N6PL9v9kBTA_7_11"/>
      <w:bookmarkStart w:id="1207" w:name="Tc_Bcrk9kfXxkuW4RISBYsSUA_7_8"/>
      <w:bookmarkStart w:id="1208" w:name="Tc_Fp9lNk0mKkipWJ-ARDxatA_7_5"/>
      <w:bookmarkStart w:id="1209" w:name="Tc_EsZ3XnoSWUiGvWGoJi8rcQ_7_2"/>
      <w:bookmarkStart w:id="1210" w:name="Tc_NMxJzHCEv0e-EmqK7ZfHPQ_7_0"/>
      <w:bookmarkStart w:id="1211" w:name="Tc_X6ZbJyxTnUyko8J2eN1MwA_6_0"/>
      <w:bookmarkStart w:id="1212" w:name="Tc_zUlq-46Dc0aiXJxzbqGXIg_5_0"/>
      <w:bookmarkStart w:id="1213" w:name="Tc_bS9J0_acLEmND78UHuk8wg_4_11"/>
      <w:bookmarkStart w:id="1214" w:name="Tc_Ax2HpSFIM0uxQyTjKU0r-Q_4_8"/>
      <w:bookmarkStart w:id="1215" w:name="Tc_9mLq7iLeekesdYaNN5jPHg_4_5"/>
      <w:bookmarkStart w:id="1216" w:name="Tc_oMrtqsUxek-WuhGTniB8wQ_4_2"/>
      <w:bookmarkStart w:id="1217" w:name="Tc_blDIjKgvkk2xvtVqemO-DA_4_0"/>
      <w:bookmarkStart w:id="1218" w:name="Tc_YuwanFpJc06fheChiozNMA_3_11"/>
      <w:bookmarkStart w:id="1219" w:name="Tc_G1d8ELDkSUaZPKBjllboUA_3_8"/>
      <w:bookmarkStart w:id="1220" w:name="Tc_Ugrj8NxwhkeDqyNehxsGsw_3_5"/>
      <w:bookmarkStart w:id="1221" w:name="Tc_6KB6dJXn7EWS4Q1Z1wrm3A_3_2"/>
      <w:bookmarkStart w:id="1222" w:name="Tc_A0-ZS04_IEqwbyVpL7CYYA_2_8"/>
      <w:bookmarkStart w:id="1223" w:name="Tc_fWc9XbAK6EipgmH4gobsqg_2_2"/>
      <w:bookmarkStart w:id="1224" w:name="Tc_REtyELLsAE67K7z6nj0uTw_1_8"/>
      <w:bookmarkStart w:id="1225" w:name="Tc_hesbz2t4dkSN6xCLumcp0g_1_2"/>
      <w:bookmarkStart w:id="1226" w:name="Tc_PWeG3se7d0u6R5BBqHgDRw_24_11"/>
      <w:bookmarkStart w:id="1227" w:name="Tc_Zm2uz66ztUicz3ureRxJ6A_24_8"/>
      <w:bookmarkStart w:id="1228" w:name="Tc_asVsGv9xaEGw4fU__MB8Ww_24_5"/>
      <w:bookmarkStart w:id="1229" w:name="Tc_Ruxm_sdR_Eu1-sn0mxWdEA_24_2"/>
      <w:bookmarkStart w:id="1230" w:name="Tc_N-dt2oP97ES9w5o3KabHSw_24_0"/>
      <w:bookmarkStart w:id="1231" w:name="Tc_TDptMAJPyEW6YdS85iPDLw_23_0"/>
      <w:bookmarkStart w:id="1232" w:name="Tc_wI3LNlwlg0CGl9ZeFLP4yQ_22_12"/>
      <w:bookmarkStart w:id="1233" w:name="Tc_wCibn5YQw0CO2uzgwIBFxA_22_6"/>
      <w:bookmarkStart w:id="1234" w:name="Tc_TYda1R0jm0GOmIgzOSGf8w_22_3"/>
      <w:bookmarkStart w:id="1235" w:name="Tc_40bGs5YRKUuF1HhMkVyncA_22_0"/>
      <w:bookmarkStart w:id="1236" w:name="Tc_5iAHagRIfku8wBRjUEVx-A_21_0"/>
      <w:bookmarkStart w:id="1237" w:name="Tc_yTdabj5zvkautgvaYG_wxw_20_11"/>
      <w:bookmarkStart w:id="1238" w:name="Tc_mbib5KC7jUuc8slbmzJzVg_20_8"/>
      <w:bookmarkStart w:id="1239" w:name="Tc_PHa14xyRkkujTnQVwxMhYA_20_5"/>
      <w:bookmarkStart w:id="1240" w:name="Tc_3HtGyAwmdUOezILs0ABBBA_20_2"/>
      <w:bookmarkStart w:id="1241" w:name="Tc_Yi4algLg0EOmnIhbYhCF5A_20_0"/>
      <w:bookmarkStart w:id="1242" w:name="Tc_GyIdo7foKkefVJD9w82B9Q_19_0"/>
      <w:bookmarkStart w:id="1243" w:name="Tc_tUc-8kY6nESkuqO984Bjig_18_9"/>
      <w:bookmarkStart w:id="1244" w:name="Tc_FMCm_l2bUU--UC-hPo3Nkg_18_3"/>
      <w:bookmarkStart w:id="1245" w:name="Tc_vUEOwlk3N02tiyzKnvAvHA_18_0"/>
      <w:bookmarkStart w:id="1246" w:name="Tc_bqjsgkCTL0iXzXdoZVOVtQ_17_0"/>
      <w:bookmarkStart w:id="1247" w:name="Tc_RqGblwzi_kiv9FTBQpU7Ew_16_0"/>
      <w:bookmarkStart w:id="1248" w:name="Tc_Dts76myzPE6GKGHM9O2NDg_15_0"/>
      <w:bookmarkStart w:id="1249" w:name="Tc_KSfV2fjt9Um7b9_zkvWF2w_14_0"/>
      <w:bookmarkStart w:id="1250" w:name="Tc_r-5Hd1mkAEOKZXgwN6VmsQ_13_11"/>
      <w:bookmarkStart w:id="1251" w:name="Tc_uwtzxAovFUmHaxdIGz6Nrg_13_8"/>
      <w:bookmarkStart w:id="1252" w:name="Tc_kD5RVKf7eUezXEzYYMJ6FA_13_5"/>
      <w:bookmarkStart w:id="1253" w:name="Tc_CKqjPR0H2ku8Z263SCW58w_13_2"/>
      <w:bookmarkStart w:id="1254" w:name="Tc_5SaQiudcV0irsN5WNZBoqw_13_0"/>
      <w:bookmarkStart w:id="1255" w:name="Tc_Qe-brwPwyEGn6yqDeD7Ltg_12_0"/>
      <w:bookmarkStart w:id="1256" w:name="Tc_Et4--3sMk0mjAGzpYato5g_10_11"/>
      <w:bookmarkStart w:id="1257" w:name="Tc_TKt6gUwC2kGk1F0n3shsog_10_8"/>
      <w:bookmarkStart w:id="1258" w:name="Tc_ihZjQzAi5UmYb5p1cPpepQ_10_5"/>
      <w:bookmarkStart w:id="1259" w:name="Tc_o08rMiWKR0qvy0AtkvIXtw_10_2"/>
      <w:bookmarkStart w:id="1260" w:name="Tc_VjbTo8rHw0aWjdap-ffzSQ_10_0"/>
      <w:bookmarkStart w:id="1261" w:name="Tc_d6OL3PXYL0mFo62k1ZCbhQ_9_0"/>
      <w:bookmarkStart w:id="1262" w:name="Tc_41W9mLblN0OP98vPnfta0A_8_0"/>
      <w:bookmarkStart w:id="1263" w:name="Tc_vM0neVzEHEiZTx9DrIqcwA_7_0"/>
      <w:bookmarkStart w:id="1264" w:name="Tc_i0SAwqCIkkKWtpveSqDyOQ_6_0"/>
      <w:bookmarkStart w:id="1265" w:name="Tc_7H1oH41zFU-uj4F3d0tsTw_5_11"/>
      <w:bookmarkStart w:id="1266" w:name="Tc_jwYx-zBw8UWMz-btpGlOmA_5_8"/>
      <w:bookmarkStart w:id="1267" w:name="Tc_1vOVfEqbn0mtNQPM-oo6fg_5_5"/>
      <w:bookmarkStart w:id="1268" w:name="Tc_mv_nI7AGB0CxFqaJwMlabw_5_2"/>
      <w:bookmarkStart w:id="1269" w:name="Tc_pL-kyApq0021OBRjXA4fyw_5_0"/>
      <w:bookmarkStart w:id="1270" w:name="Tc_4wdP4_lPwEOSua9Lt_viMQ_4_0"/>
      <w:bookmarkStart w:id="1271" w:name="Tc_1ArxFCCLdUqLbiFVOook0g_3_11"/>
      <w:bookmarkStart w:id="1272" w:name="Tc_4URPD21cpUSUS5sNIkIqDQ_3_8"/>
      <w:bookmarkStart w:id="1273" w:name="Tc_p-xzY3l9akWjDp59husIPg_3_5"/>
      <w:bookmarkStart w:id="1274" w:name="Tc_CMCouinKjUW2WgB8urUlbw_3_2"/>
      <w:bookmarkStart w:id="1275" w:name="Tc_0Jc3YBuhzkOchB-1o5xvLA_2_8"/>
      <w:bookmarkStart w:id="1276" w:name="Tc_JjyDANbF5U6_U9WcNGcM2w_2_2"/>
      <w:bookmarkStart w:id="1277" w:name="Tc_rxCLm1ve7kKBulXFAC11Zw_1_8"/>
      <w:bookmarkStart w:id="1278" w:name="Tc_GEjUpE_180GduCPtAliLKA_1_2"/>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r>
        <w:rPr>
          <w:rFonts w:ascii="Arial;Helvetica;sans-serif" w:hAnsi="Arial;Helvetica;sans-serif"/>
          <w:b/>
          <w:sz w:val="20"/>
        </w:rPr>
        <w:t>Note 11 — Business Segment Information</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have four reportable business segments: Well Intervention, Robotics, Shallow Water Abandonment and Production Facilities. Our U.S., U.K. and Brazil Well Intervention operating segments are aggregated into the Well Intervention segment for financial reporting purposes. All material intercompany transactions between the segments have been eliminated. See Note 2 for more information on our business segments.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We evaluate our performance based on operating income of each reportable segment. Certain financial data by reportable segment are summarized as follows (in thousands):</w:t>
      </w:r>
    </w:p>
    <w:p>
      <w:pPr>
        <w:pStyle w:val="TextBody"/>
        <w:bidi w:val="0"/>
        <w:spacing w:before="0" w:after="240"/>
        <w:ind w:left="0" w:right="0" w:firstLine="720"/>
        <w:jc w:val="left"/>
        <w:rPr/>
      </w:pPr>
      <w:r>
        <w:rPr/>
        <w:t>​</w:t>
      </w:r>
    </w:p>
    <w:tbl>
      <w:tblPr>
        <w:tblW w:w="9466" w:type="dxa"/>
        <w:jc w:val="left"/>
        <w:tblInd w:w="0" w:type="dxa"/>
        <w:tblLayout w:type="fixed"/>
        <w:tblCellMar>
          <w:top w:w="0" w:type="dxa"/>
          <w:left w:w="0" w:type="dxa"/>
          <w:bottom w:w="0" w:type="dxa"/>
          <w:right w:w="0" w:type="dxa"/>
        </w:tblCellMar>
      </w:tblPr>
      <w:tblGrid>
        <w:gridCol w:w="4246"/>
        <w:gridCol w:w="326"/>
        <w:gridCol w:w="211"/>
        <w:gridCol w:w="811"/>
        <w:gridCol w:w="326"/>
        <w:gridCol w:w="211"/>
        <w:gridCol w:w="811"/>
        <w:gridCol w:w="109"/>
        <w:gridCol w:w="211"/>
        <w:gridCol w:w="811"/>
        <w:gridCol w:w="326"/>
        <w:gridCol w:w="211"/>
        <w:gridCol w:w="856"/>
      </w:tblGrid>
      <w:tr>
        <w:trPr/>
        <w:tc>
          <w:tcPr>
            <w:tcW w:w="4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696210" cy="175260"/>
                      <wp:effectExtent l="0" t="0" r="0" b="0"/>
                      <wp:wrapNone/>
                      <wp:docPr id="238" name="Frame237"/>
                      <a:graphic xmlns:a="http://schemas.openxmlformats.org/drawingml/2006/main">
                        <a:graphicData uri="http://schemas.microsoft.com/office/word/2010/wordprocessingShape">
                          <wps:wsp>
                            <wps:cNvSpPr txBox="1"/>
                            <wps:spPr>
                              <a:xfrm>
                                <a:off x="0" y="0"/>
                                <a:ext cx="2696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07010" cy="175260"/>
                      <wp:effectExtent l="0" t="0" r="0" b="0"/>
                      <wp:wrapNone/>
                      <wp:docPr id="239" name="Frame2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33985" cy="175260"/>
                      <wp:effectExtent l="0" t="0" r="0" b="0"/>
                      <wp:wrapNone/>
                      <wp:docPr id="240" name="Frame2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514985" cy="175260"/>
                      <wp:effectExtent l="0" t="0" r="0" b="0"/>
                      <wp:wrapNone/>
                      <wp:docPr id="241" name="Frame240"/>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07010" cy="175260"/>
                      <wp:effectExtent l="0" t="0" r="0" b="0"/>
                      <wp:wrapNone/>
                      <wp:docPr id="242" name="Frame2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33985" cy="175260"/>
                      <wp:effectExtent l="0" t="0" r="0" b="0"/>
                      <wp:wrapNone/>
                      <wp:docPr id="243" name="Frame2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514985" cy="175260"/>
                      <wp:effectExtent l="0" t="0" r="0" b="0"/>
                      <wp:wrapNone/>
                      <wp:docPr id="244" name="Frame243"/>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9215" cy="175260"/>
                      <wp:effectExtent l="0" t="0" r="0" b="0"/>
                      <wp:wrapNone/>
                      <wp:docPr id="245" name="Frame2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33985" cy="175260"/>
                      <wp:effectExtent l="0" t="0" r="0" b="0"/>
                      <wp:wrapNone/>
                      <wp:docPr id="246" name="Frame2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514985" cy="175260"/>
                      <wp:effectExtent l="0" t="0" r="0" b="0"/>
                      <wp:wrapNone/>
                      <wp:docPr id="247" name="Frame246"/>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07010" cy="175260"/>
                      <wp:effectExtent l="0" t="0" r="0" b="0"/>
                      <wp:wrapNone/>
                      <wp:docPr id="248" name="Frame2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33985" cy="175260"/>
                      <wp:effectExtent l="0" t="0" r="0" b="0"/>
                      <wp:wrapNone/>
                      <wp:docPr id="249" name="Frame2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543560" cy="175260"/>
                      <wp:effectExtent l="0" t="0" r="0" b="0"/>
                      <wp:wrapNone/>
                      <wp:docPr id="250" name="Frame249"/>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370"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Three Months Ended </w:t>
            </w:r>
          </w:p>
        </w:tc>
        <w:tc>
          <w:tcPr>
            <w:tcW w:w="109" w:type="dxa"/>
            <w:tcBorders/>
            <w:vAlign w:val="center"/>
          </w:tcPr>
          <w:p>
            <w:pPr>
              <w:pStyle w:val="TableContents"/>
              <w:bidi w:val="0"/>
              <w:spacing w:before="0" w:after="1"/>
              <w:ind w:left="0" w:right="0" w:hanging="0"/>
              <w:jc w:val="center"/>
              <w:rPr/>
            </w:pPr>
            <w:r>
              <w:rPr/>
              <w:t>​</w:t>
            </w:r>
          </w:p>
        </w:tc>
        <w:tc>
          <w:tcPr>
            <w:tcW w:w="2415"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Six Months Ended </w:t>
            </w:r>
          </w:p>
        </w:tc>
      </w:tr>
      <w:tr>
        <w:trPr/>
        <w:tc>
          <w:tcPr>
            <w:tcW w:w="42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37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w:t>
            </w:r>
          </w:p>
        </w:tc>
        <w:tc>
          <w:tcPr>
            <w:tcW w:w="109" w:type="dxa"/>
            <w:tcBorders/>
            <w:vAlign w:val="center"/>
          </w:tcPr>
          <w:p>
            <w:pPr>
              <w:pStyle w:val="TableContents"/>
              <w:bidi w:val="0"/>
              <w:spacing w:before="0" w:after="1"/>
              <w:ind w:left="0" w:right="0" w:hanging="0"/>
              <w:jc w:val="center"/>
              <w:rPr/>
            </w:pPr>
            <w:r>
              <w:rPr/>
              <w:t>​</w:t>
            </w:r>
          </w:p>
        </w:tc>
        <w:tc>
          <w:tcPr>
            <w:tcW w:w="24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w:t>
            </w:r>
          </w:p>
        </w:tc>
      </w:tr>
      <w:tr>
        <w:trPr/>
        <w:tc>
          <w:tcPr>
            <w:tcW w:w="42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326" w:type="dxa"/>
            <w:tcBorders/>
            <w:vAlign w:val="center"/>
          </w:tcPr>
          <w:p>
            <w:pPr>
              <w:pStyle w:val="TableContents"/>
              <w:bidi w:val="0"/>
              <w:spacing w:before="0" w:after="1"/>
              <w:ind w:left="0" w:right="0" w:hanging="0"/>
              <w:jc w:val="center"/>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c>
          <w:tcPr>
            <w:tcW w:w="109" w:type="dxa"/>
            <w:tcBorders/>
            <w:vAlign w:val="center"/>
          </w:tcPr>
          <w:p>
            <w:pPr>
              <w:pStyle w:val="TableContents"/>
              <w:bidi w:val="0"/>
              <w:spacing w:before="0" w:after="1"/>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326" w:type="dxa"/>
            <w:tcBorders/>
            <w:vAlign w:val="center"/>
          </w:tcPr>
          <w:p>
            <w:pPr>
              <w:pStyle w:val="TableContents"/>
              <w:bidi w:val="0"/>
              <w:spacing w:before="0" w:after="1"/>
              <w:ind w:left="0" w:right="0" w:hanging="0"/>
              <w:jc w:val="center"/>
              <w:rPr/>
            </w:pPr>
            <w:r>
              <w:rPr/>
              <w:t>    </w:t>
            </w:r>
          </w:p>
        </w:tc>
        <w:tc>
          <w:tcPr>
            <w:tcW w:w="10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424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revenues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pPr>
            <w:r>
              <w:rPr/>
              <w:t>  </w:t>
            </w:r>
          </w:p>
        </w:tc>
      </w:tr>
      <w:tr>
        <w:trPr/>
        <w:tc>
          <w:tcPr>
            <w:tcW w:w="424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Well Intervention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224,679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154,221</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441,138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296,659</w:t>
            </w:r>
          </w:p>
        </w:tc>
      </w:tr>
      <w:tr>
        <w:trPr/>
        <w:tc>
          <w:tcPr>
            <w:tcW w:w="424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Robotics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81,249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70,050</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131,558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119,272</w:t>
            </w:r>
          </w:p>
        </w:tc>
      </w:tr>
      <w:tr>
        <w:trPr/>
        <w:tc>
          <w:tcPr>
            <w:tcW w:w="424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Shallow Water Abandonment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50,841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76,306</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77,694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125,687</w:t>
            </w:r>
          </w:p>
        </w:tc>
      </w:tr>
      <w:tr>
        <w:trPr/>
        <w:tc>
          <w:tcPr>
            <w:tcW w:w="424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Production Facilities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25,400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23,128</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49,552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44,033</w:t>
            </w:r>
          </w:p>
        </w:tc>
      </w:tr>
      <w:tr>
        <w:trPr/>
        <w:tc>
          <w:tcPr>
            <w:tcW w:w="424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Intercompany eliminations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(17,372)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(14,888)</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(38,934)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(26,750)</w:t>
            </w:r>
          </w:p>
        </w:tc>
      </w:tr>
      <w:tr>
        <w:trPr/>
        <w:tc>
          <w:tcPr>
            <w:tcW w:w="424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364,797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308,817</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661,008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558,901</w:t>
            </w:r>
          </w:p>
        </w:tc>
      </w:tr>
      <w:tr>
        <w:trPr/>
        <w:tc>
          <w:tcPr>
            <w:tcW w:w="42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left"/>
              <w:rPr/>
            </w:pPr>
            <w:r>
              <w:rPr/>
              <w:t>​</w:t>
            </w:r>
          </w:p>
        </w:tc>
      </w:tr>
      <w:tr>
        <w:trPr/>
        <w:tc>
          <w:tcPr>
            <w:tcW w:w="424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Income (loss) from operations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pPr>
            <w:r>
              <w:rPr/>
              <w:t>  </w:t>
            </w:r>
          </w:p>
        </w:tc>
      </w:tr>
      <w:tr>
        <w:trPr/>
        <w:tc>
          <w:tcPr>
            <w:tcW w:w="424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Well Intervention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29,299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3,380</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47,978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(4,763)</w:t>
            </w:r>
          </w:p>
        </w:tc>
      </w:tr>
      <w:tr>
        <w:trPr/>
        <w:tc>
          <w:tcPr>
            <w:tcW w:w="424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Robotics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28,400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17,467</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33,850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22,561</w:t>
            </w:r>
          </w:p>
        </w:tc>
      </w:tr>
      <w:tr>
        <w:trPr/>
        <w:tc>
          <w:tcPr>
            <w:tcW w:w="424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Shallow Water Abandonment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19,762</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(12,709)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26,584</w:t>
            </w:r>
          </w:p>
        </w:tc>
      </w:tr>
      <w:tr>
        <w:trPr/>
        <w:tc>
          <w:tcPr>
            <w:tcW w:w="424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Production Facilities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9,097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7,774</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7,554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12,931</w:t>
            </w:r>
          </w:p>
        </w:tc>
      </w:tr>
      <w:tr>
        <w:trPr/>
        <w:tc>
          <w:tcPr>
            <w:tcW w:w="424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Segment operating income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66,515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48,383</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76,673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57,313</w:t>
            </w:r>
          </w:p>
        </w:tc>
      </w:tr>
      <w:tr>
        <w:trPr/>
        <w:tc>
          <w:tcPr>
            <w:tcW w:w="424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Change in fair value of contingent consideration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(10,828)</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(14,820)</w:t>
            </w:r>
          </w:p>
        </w:tc>
      </w:tr>
      <w:tr>
        <w:trPr/>
        <w:tc>
          <w:tcPr>
            <w:tcW w:w="424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Corporate, eliminations and other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(13,322)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(17,350)</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(24,756)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(30,591)</w:t>
            </w:r>
          </w:p>
        </w:tc>
      </w:tr>
      <w:tr>
        <w:trPr/>
        <w:tc>
          <w:tcPr>
            <w:tcW w:w="424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53,193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20,205</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51,917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11,902</w:t>
            </w:r>
          </w:p>
        </w:tc>
      </w:tr>
      <w:tr>
        <w:trPr/>
        <w:tc>
          <w:tcPr>
            <w:tcW w:w="424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interest expense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(5,891)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(4,228)</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(11,368)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(8,415)</w:t>
            </w:r>
          </w:p>
        </w:tc>
      </w:tr>
      <w:tr>
        <w:trPr/>
        <w:tc>
          <w:tcPr>
            <w:tcW w:w="424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Losses related to convertible senior notes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(20,922)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pPr>
            <w:r>
              <w:rPr/>
              <w:t>—</w:t>
            </w:r>
          </w:p>
        </w:tc>
      </w:tr>
      <w:tr>
        <w:trPr/>
        <w:tc>
          <w:tcPr>
            <w:tcW w:w="424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non-operating expense, net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(5,565)</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(598)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(258)</w:t>
            </w:r>
          </w:p>
        </w:tc>
      </w:tr>
      <w:tr>
        <w:trPr/>
        <w:tc>
          <w:tcPr>
            <w:tcW w:w="424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Income before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47,014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10,412</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19,029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3,229</w:t>
            </w:r>
          </w:p>
        </w:tc>
      </w:tr>
    </w:tbl>
    <w:p>
      <w:pPr>
        <w:pStyle w:val="TextBody"/>
        <w:bidi w:val="0"/>
        <w:spacing w:before="0" w:after="24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Intercompany segment amounts are derived primarily from equipment and services provided to other business segments. Intercompany segment revenues are as follows (in thousands):</w:t>
      </w:r>
    </w:p>
    <w:p>
      <w:pPr>
        <w:pStyle w:val="TextBody"/>
        <w:bidi w:val="0"/>
        <w:spacing w:before="0" w:after="240"/>
        <w:ind w:left="0" w:right="0" w:firstLine="720"/>
        <w:jc w:val="left"/>
        <w:rPr/>
      </w:pPr>
      <w:r>
        <w:rPr/>
        <w:t>​</w:t>
      </w:r>
    </w:p>
    <w:tbl>
      <w:tblPr>
        <w:tblW w:w="7655" w:type="dxa"/>
        <w:jc w:val="left"/>
        <w:tblInd w:w="0" w:type="dxa"/>
        <w:tblLayout w:type="fixed"/>
        <w:tblCellMar>
          <w:top w:w="0" w:type="dxa"/>
          <w:left w:w="0" w:type="dxa"/>
          <w:bottom w:w="0" w:type="dxa"/>
          <w:right w:w="0" w:type="dxa"/>
        </w:tblCellMar>
      </w:tblPr>
      <w:tblGrid>
        <w:gridCol w:w="2626"/>
        <w:gridCol w:w="326"/>
        <w:gridCol w:w="211"/>
        <w:gridCol w:w="691"/>
        <w:gridCol w:w="326"/>
        <w:gridCol w:w="211"/>
        <w:gridCol w:w="691"/>
        <w:gridCol w:w="326"/>
        <w:gridCol w:w="211"/>
        <w:gridCol w:w="691"/>
        <w:gridCol w:w="326"/>
        <w:gridCol w:w="211"/>
        <w:gridCol w:w="808"/>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667510" cy="175260"/>
                      <wp:effectExtent l="0" t="0" r="0" b="0"/>
                      <wp:wrapNone/>
                      <wp:docPr id="251" name="Frame250"/>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07010" cy="175260"/>
                      <wp:effectExtent l="0" t="0" r="0" b="0"/>
                      <wp:wrapNone/>
                      <wp:docPr id="252" name="Frame2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33985" cy="175260"/>
                      <wp:effectExtent l="0" t="0" r="0" b="0"/>
                      <wp:wrapNone/>
                      <wp:docPr id="253" name="Frame2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438785" cy="175260"/>
                      <wp:effectExtent l="0" t="0" r="0" b="0"/>
                      <wp:wrapNone/>
                      <wp:docPr id="254" name="Frame25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07010" cy="175260"/>
                      <wp:effectExtent l="0" t="0" r="0" b="0"/>
                      <wp:wrapNone/>
                      <wp:docPr id="255" name="Frame2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33985" cy="175260"/>
                      <wp:effectExtent l="0" t="0" r="0" b="0"/>
                      <wp:wrapNone/>
                      <wp:docPr id="256" name="Frame2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438785" cy="175260"/>
                      <wp:effectExtent l="0" t="0" r="0" b="0"/>
                      <wp:wrapNone/>
                      <wp:docPr id="257" name="Frame25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07010" cy="175260"/>
                      <wp:effectExtent l="0" t="0" r="0" b="0"/>
                      <wp:wrapNone/>
                      <wp:docPr id="258" name="Frame2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33985" cy="175260"/>
                      <wp:effectExtent l="0" t="0" r="0" b="0"/>
                      <wp:wrapNone/>
                      <wp:docPr id="259" name="Frame2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438785" cy="175260"/>
                      <wp:effectExtent l="0" t="0" r="0" b="0"/>
                      <wp:wrapNone/>
                      <wp:docPr id="260" name="Frame25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07010" cy="175260"/>
                      <wp:effectExtent l="0" t="0" r="0" b="0"/>
                      <wp:wrapNone/>
                      <wp:docPr id="261" name="Frame2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33985" cy="175260"/>
                      <wp:effectExtent l="0" t="0" r="0" b="0"/>
                      <wp:wrapNone/>
                      <wp:docPr id="262" name="Frame2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513080" cy="175260"/>
                      <wp:effectExtent l="0" t="0" r="0" b="0"/>
                      <wp:wrapNone/>
                      <wp:docPr id="263" name="Frame262"/>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30"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Three Months Ended </w:t>
            </w:r>
          </w:p>
        </w:tc>
        <w:tc>
          <w:tcPr>
            <w:tcW w:w="326" w:type="dxa"/>
            <w:tcBorders/>
            <w:vAlign w:val="center"/>
          </w:tcPr>
          <w:p>
            <w:pPr>
              <w:pStyle w:val="TableContents"/>
              <w:bidi w:val="0"/>
              <w:spacing w:before="0" w:after="1"/>
              <w:ind w:left="0" w:right="0" w:hanging="0"/>
              <w:jc w:val="center"/>
              <w:rPr/>
            </w:pPr>
            <w:r>
              <w:rPr/>
              <w:t>​</w:t>
            </w:r>
          </w:p>
        </w:tc>
        <w:tc>
          <w:tcPr>
            <w:tcW w:w="2247"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Six Months Ended </w:t>
            </w:r>
          </w:p>
        </w:tc>
      </w:tr>
      <w:tr>
        <w:trPr/>
        <w:tc>
          <w:tcPr>
            <w:tcW w:w="26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w:t>
            </w:r>
          </w:p>
        </w:tc>
        <w:tc>
          <w:tcPr>
            <w:tcW w:w="326" w:type="dxa"/>
            <w:tcBorders/>
            <w:vAlign w:val="center"/>
          </w:tcPr>
          <w:p>
            <w:pPr>
              <w:pStyle w:val="TableContents"/>
              <w:bidi w:val="0"/>
              <w:spacing w:before="0" w:after="1"/>
              <w:ind w:left="0" w:right="0" w:hanging="0"/>
              <w:jc w:val="center"/>
              <w:rPr/>
            </w:pPr>
            <w:r>
              <w:rPr/>
              <w:t>​</w:t>
            </w:r>
          </w:p>
        </w:tc>
        <w:tc>
          <w:tcPr>
            <w:tcW w:w="224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w:t>
            </w:r>
          </w:p>
        </w:tc>
      </w:tr>
      <w:tr>
        <w:trPr/>
        <w:tc>
          <w:tcPr>
            <w:tcW w:w="26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326" w:type="dxa"/>
            <w:tcBorders/>
            <w:vAlign w:val="center"/>
          </w:tcPr>
          <w:p>
            <w:pPr>
              <w:pStyle w:val="TableContents"/>
              <w:bidi w:val="0"/>
              <w:spacing w:before="0" w:after="1"/>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c>
          <w:tcPr>
            <w:tcW w:w="326" w:type="dxa"/>
            <w:tcBorders/>
            <w:vAlign w:val="center"/>
          </w:tcPr>
          <w:p>
            <w:pPr>
              <w:pStyle w:val="TableContents"/>
              <w:bidi w:val="0"/>
              <w:spacing w:before="0" w:after="1"/>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326" w:type="dxa"/>
            <w:tcBorders/>
            <w:vAlign w:val="center"/>
          </w:tcPr>
          <w:p>
            <w:pPr>
              <w:pStyle w:val="TableContents"/>
              <w:bidi w:val="0"/>
              <w:spacing w:before="0" w:after="1"/>
              <w:ind w:left="0" w:right="0" w:hanging="0"/>
              <w:jc w:val="center"/>
              <w:rPr/>
            </w:pPr>
            <w:r>
              <w:rPr/>
              <w:t>    </w:t>
            </w:r>
          </w:p>
        </w:tc>
        <w:tc>
          <w:tcPr>
            <w:tcW w:w="10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262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Well Intervention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6,918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6,873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18,170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11,342</w:t>
            </w:r>
          </w:p>
        </w:tc>
      </w:tr>
      <w:tr>
        <w:trPr/>
        <w:tc>
          <w:tcPr>
            <w:tcW w:w="262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Robotics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10,348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7,989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20,576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15,382</w:t>
            </w:r>
          </w:p>
        </w:tc>
      </w:tr>
      <w:tr>
        <w:trPr/>
        <w:tc>
          <w:tcPr>
            <w:tcW w:w="262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Shallow Water Abandonment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w:t>
            </w:r>
          </w:p>
        </w:tc>
      </w:tr>
      <w:tr>
        <w:trPr/>
        <w:tc>
          <w:tcPr>
            <w:tcW w:w="262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17,372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14,888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38,934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bottom w:val="double" w:sz="6" w:space="0" w:color="000000"/>
            </w:tcBorders>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26,750</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22</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Arial;Helvetica;sans-serif" w:hAnsi="Arial;Helvetica;sans-serif"/>
          <w:sz w:val="20"/>
        </w:rPr>
      </w:pPr>
      <w:bookmarkStart w:id="1279" w:name="Tc_9PLzXhY6okWxWZNPBUas9w_8_5"/>
      <w:bookmarkStart w:id="1280" w:name="Tc_ja7A-Uv1DkWUkGAoX4-g9A_8_2"/>
      <w:bookmarkStart w:id="1281" w:name="Tc_u1uJMTTWz0uUgIHMmeNaEQ_8_0"/>
      <w:bookmarkStart w:id="1282" w:name="Tc_iAyy77tWsUy822GxjY5dHA_7_0"/>
      <w:bookmarkStart w:id="1283" w:name="Tc_HJytTVckpUyVH6sofua6Ag_6_0"/>
      <w:bookmarkStart w:id="1284" w:name="Tc_1RX8V3xXYEOLtlku16cBLQ_5_0"/>
      <w:bookmarkStart w:id="1285" w:name="Tc_r65WC5cClEeYKQE7FHY2Lg_4_0"/>
      <w:bookmarkStart w:id="1286" w:name="Tc_xhC6XdGdmEGGC_1j3ygG3Q_3_5"/>
      <w:bookmarkStart w:id="1287" w:name="Tc_eCCv91NZ-kma2Fi0i84Iyw_3_2"/>
      <w:bookmarkStart w:id="1288" w:name="Tc_ERiPsaTl9kGxHQXwBXNE0Q_3_0"/>
      <w:bookmarkStart w:id="1289" w:name="Tc_FQmERn8LOESfoThyosH1hg_2_5"/>
      <w:bookmarkStart w:id="1290" w:name="Tc_24O-urkBoE6jsRugTrv40w_2_2"/>
      <w:bookmarkStart w:id="1291" w:name="Tc_RaPWPbLTpUiF74QeJ2FqDA_1_5"/>
      <w:bookmarkStart w:id="1292" w:name="Tc_tVhrEAk39kSO0diQmsl0Tw_1_2"/>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r>
        <w:rPr>
          <w:rFonts w:ascii="Arial;Helvetica;sans-serif" w:hAnsi="Arial;Helvetica;sans-serif"/>
          <w:sz w:val="20"/>
        </w:rPr>
        <w:t>Segment assets are comprised of all assets attributable to each reportable segment. Corporate and other includes all assets not directly identifiable with our business segments, most notably the majority of our cash and cash equivalents. The following table reflects total assets by reportable segment (in thousands):</w:t>
      </w:r>
    </w:p>
    <w:p>
      <w:pPr>
        <w:pStyle w:val="TextBody"/>
        <w:bidi w:val="0"/>
        <w:spacing w:before="0" w:after="240"/>
        <w:ind w:left="0" w:right="0" w:firstLine="720"/>
        <w:jc w:val="left"/>
        <w:rPr/>
      </w:pPr>
      <w:r>
        <w:rPr/>
        <w:t>​</w:t>
      </w:r>
    </w:p>
    <w:tbl>
      <w:tblPr>
        <w:tblW w:w="5920" w:type="dxa"/>
        <w:jc w:val="left"/>
        <w:tblInd w:w="0" w:type="dxa"/>
        <w:tblLayout w:type="fixed"/>
        <w:tblCellMar>
          <w:top w:w="0" w:type="dxa"/>
          <w:left w:w="0" w:type="dxa"/>
          <w:bottom w:w="0" w:type="dxa"/>
          <w:right w:w="0" w:type="dxa"/>
        </w:tblCellMar>
      </w:tblPr>
      <w:tblGrid>
        <w:gridCol w:w="2626"/>
        <w:gridCol w:w="326"/>
        <w:gridCol w:w="211"/>
        <w:gridCol w:w="961"/>
        <w:gridCol w:w="326"/>
        <w:gridCol w:w="240"/>
        <w:gridCol w:w="1230"/>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667510" cy="175260"/>
                      <wp:effectExtent l="0" t="0" r="0" b="0"/>
                      <wp:wrapNone/>
                      <wp:docPr id="264" name="Frame263"/>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07010" cy="175260"/>
                      <wp:effectExtent l="0" t="0" r="0" b="0"/>
                      <wp:wrapNone/>
                      <wp:docPr id="265" name="Frame2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33985" cy="175260"/>
                      <wp:effectExtent l="0" t="0" r="0" b="0"/>
                      <wp:wrapNone/>
                      <wp:docPr id="266" name="Frame2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10235" cy="175260"/>
                      <wp:effectExtent l="0" t="0" r="0" b="0"/>
                      <wp:wrapNone/>
                      <wp:docPr id="267" name="Frame266"/>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07010" cy="175260"/>
                      <wp:effectExtent l="0" t="0" r="0" b="0"/>
                      <wp:wrapNone/>
                      <wp:docPr id="268" name="Frame2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52400" cy="175260"/>
                      <wp:effectExtent l="0" t="0" r="0" b="0"/>
                      <wp:wrapNone/>
                      <wp:docPr id="269" name="Frame268"/>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781050" cy="175260"/>
                      <wp:effectExtent l="0" t="0" r="0" b="0"/>
                      <wp:wrapNone/>
                      <wp:docPr id="270" name="Frame269"/>
                      <a:graphic xmlns:a="http://schemas.openxmlformats.org/drawingml/2006/main">
                        <a:graphicData uri="http://schemas.microsoft.com/office/word/2010/wordprocessingShape">
                          <wps:wsp>
                            <wps:cNvSpPr txBox="1"/>
                            <wps:spPr>
                              <a:xfrm>
                                <a:off x="0" y="0"/>
                                <a:ext cx="781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72"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w:t>
            </w:r>
          </w:p>
        </w:tc>
        <w:tc>
          <w:tcPr>
            <w:tcW w:w="326" w:type="dxa"/>
            <w:tcBorders/>
            <w:vAlign w:val="center"/>
          </w:tcPr>
          <w:p>
            <w:pPr>
              <w:pStyle w:val="TableContents"/>
              <w:bidi w:val="0"/>
              <w:spacing w:before="0" w:after="1"/>
              <w:ind w:left="0" w:right="0" w:hanging="0"/>
              <w:jc w:val="left"/>
              <w:rPr/>
            </w:pPr>
            <w:r>
              <w:rPr/>
              <w:t>​</w:t>
            </w:r>
          </w:p>
        </w:tc>
        <w:tc>
          <w:tcPr>
            <w:tcW w:w="1470"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December 31, </w:t>
            </w:r>
          </w:p>
        </w:tc>
      </w:tr>
      <w:tr>
        <w:trPr/>
        <w:tc>
          <w:tcPr>
            <w:tcW w:w="26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326" w:type="dxa"/>
            <w:tcBorders/>
            <w:vAlign w:val="center"/>
          </w:tcPr>
          <w:p>
            <w:pPr>
              <w:pStyle w:val="TableContents"/>
              <w:bidi w:val="0"/>
              <w:spacing w:before="0" w:after="1"/>
              <w:ind w:left="0" w:right="0" w:hanging="0"/>
              <w:jc w:val="center"/>
              <w:rPr/>
            </w:pPr>
            <w:r>
              <w:rPr/>
              <w:t>    </w:t>
            </w:r>
          </w:p>
        </w:tc>
        <w:tc>
          <w:tcPr>
            <w:tcW w:w="14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262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Well Intervention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1,907,375</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3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1,790,971</w:t>
            </w:r>
          </w:p>
        </w:tc>
      </w:tr>
      <w:tr>
        <w:trPr/>
        <w:tc>
          <w:tcPr>
            <w:tcW w:w="262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Robotics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228,763</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123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177,801</w:t>
            </w:r>
          </w:p>
        </w:tc>
      </w:tr>
      <w:tr>
        <w:trPr/>
        <w:tc>
          <w:tcPr>
            <w:tcW w:w="262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Shallow Water Abandonment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183,924</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123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256,356</w:t>
            </w:r>
          </w:p>
        </w:tc>
      </w:tr>
      <w:tr>
        <w:trPr/>
        <w:tc>
          <w:tcPr>
            <w:tcW w:w="262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Production Facilities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115,050</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123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120,234</w:t>
            </w:r>
          </w:p>
        </w:tc>
      </w:tr>
      <w:tr>
        <w:trPr/>
        <w:tc>
          <w:tcPr>
            <w:tcW w:w="262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Corporate and other</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161,825</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210,674</w:t>
            </w:r>
          </w:p>
        </w:tc>
      </w:tr>
      <w:tr>
        <w:trPr/>
        <w:tc>
          <w:tcPr>
            <w:tcW w:w="262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2,596,937</w:t>
            </w:r>
          </w:p>
        </w:tc>
        <w:tc>
          <w:tcPr>
            <w:tcW w:w="326" w:type="dxa"/>
            <w:tcBorders/>
            <w:vAlign w:val="center"/>
          </w:tcPr>
          <w:p>
            <w:pPr>
              <w:pStyle w:val="TableContents"/>
              <w:bidi w:val="0"/>
              <w:spacing w:before="0" w:after="1"/>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30" w:type="dxa"/>
            <w:tcBorders>
              <w:bottom w:val="double" w:sz="6" w:space="0" w:color="000000"/>
            </w:tcBorders>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2,556,036</w:t>
            </w:r>
          </w:p>
        </w:tc>
      </w:tr>
    </w:tbl>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1293" w:name="Tc_d0Z1q-BUh0-VZEKkXnDaUw_4_5"/>
      <w:bookmarkStart w:id="1294" w:name="Tc_6SwLnQhd50m6ATcv7saFkw_4_2"/>
      <w:bookmarkStart w:id="1295" w:name="Tc_3PQo3Pm7NU2URy-o__lT1Q_4_0"/>
      <w:bookmarkStart w:id="1296" w:name="Tc_K6K5GIRL2kmz2Imq1P3Jjw_3_0"/>
      <w:bookmarkStart w:id="1297" w:name="Tc_lCHE5YK_2EycpdWwRkTrvg_2_5"/>
      <w:bookmarkStart w:id="1298" w:name="Tc_ryNRdIiOhUi1ldImI7ltqA_2_2"/>
      <w:bookmarkStart w:id="1299" w:name="Tc_nOpVsDjJGES26FJBs_Bfcg_2_0"/>
      <w:bookmarkStart w:id="1300" w:name="Tc_XJmrb7MFwUyTaGRyJO49lQ_1_5"/>
      <w:bookmarkStart w:id="1301" w:name="Tc_jNS5IYatpUe4GyYmDl1V7w_1_2"/>
      <w:bookmarkEnd w:id="1293"/>
      <w:bookmarkEnd w:id="1294"/>
      <w:bookmarkEnd w:id="1295"/>
      <w:bookmarkEnd w:id="1296"/>
      <w:bookmarkEnd w:id="1297"/>
      <w:bookmarkEnd w:id="1298"/>
      <w:bookmarkEnd w:id="1299"/>
      <w:bookmarkEnd w:id="1300"/>
      <w:bookmarkEnd w:id="1301"/>
      <w:r>
        <w:rPr>
          <w:rFonts w:ascii="Arial;Helvetica;sans-serif" w:hAnsi="Arial;Helvetica;sans-serif"/>
          <w:b/>
          <w:sz w:val="20"/>
        </w:rPr>
        <w:t>Note 12 — Asset Retirement Obligations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Our asset retirement obligations (“AROs”) relate to mature offshore oil and gas properties (Droshky and Thunder Hawk Field) that we acquired with the intention to perform decommissioning work at the end of their life cycles. AROs are recorded initially at fair value and consist of estimated costs for subsea infrastructure decommissioning and P&amp;A activities associated with our oil and gas properties. The estimated costs are discounted to present value using a credit-adjusted risk-free discount rate. After its initial recognition, an ARO liability is increased for the passage of time as accretion expense, which is a component of our depreciation and amortization expense. An ARO liability may also change based on revisions in estimated costs and/or timing to settle the obligations. The following table describes the changes in our AROs (in thousands):</w:t>
      </w:r>
    </w:p>
    <w:p>
      <w:pPr>
        <w:pStyle w:val="TextBody"/>
        <w:bidi w:val="0"/>
        <w:spacing w:before="0" w:after="240"/>
        <w:ind w:left="0" w:right="0" w:firstLine="720"/>
        <w:jc w:val="left"/>
        <w:rPr/>
      </w:pPr>
      <w:r>
        <w:rPr/>
        <w:t>​</w:t>
      </w:r>
    </w:p>
    <w:tbl>
      <w:tblPr>
        <w:tblW w:w="4419" w:type="dxa"/>
        <w:jc w:val="left"/>
        <w:tblInd w:w="0" w:type="dxa"/>
        <w:tblLayout w:type="fixed"/>
        <w:tblCellMar>
          <w:top w:w="0" w:type="dxa"/>
          <w:left w:w="0" w:type="dxa"/>
          <w:bottom w:w="0" w:type="dxa"/>
          <w:right w:w="0" w:type="dxa"/>
        </w:tblCellMar>
      </w:tblPr>
      <w:tblGrid>
        <w:gridCol w:w="1846"/>
        <w:gridCol w:w="326"/>
        <w:gridCol w:w="211"/>
        <w:gridCol w:w="691"/>
        <w:gridCol w:w="326"/>
        <w:gridCol w:w="211"/>
        <w:gridCol w:w="808"/>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172210" cy="175260"/>
                      <wp:effectExtent l="0" t="0" r="0" b="0"/>
                      <wp:wrapNone/>
                      <wp:docPr id="271" name="Frame270"/>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07010" cy="175260"/>
                      <wp:effectExtent l="0" t="0" r="0" b="0"/>
                      <wp:wrapNone/>
                      <wp:docPr id="272" name="Frame2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33985" cy="175260"/>
                      <wp:effectExtent l="0" t="0" r="0" b="0"/>
                      <wp:wrapNone/>
                      <wp:docPr id="273" name="Frame2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438785" cy="175260"/>
                      <wp:effectExtent l="0" t="0" r="0" b="0"/>
                      <wp:wrapNone/>
                      <wp:docPr id="274" name="Frame27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07010" cy="175260"/>
                      <wp:effectExtent l="0" t="0" r="0" b="0"/>
                      <wp:wrapNone/>
                      <wp:docPr id="275" name="Frame2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33985" cy="175260"/>
                      <wp:effectExtent l="0" t="0" r="0" b="0"/>
                      <wp:wrapNone/>
                      <wp:docPr id="276" name="Frame2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513080" cy="175260"/>
                      <wp:effectExtent l="0" t="0" r="0" b="0"/>
                      <wp:wrapNone/>
                      <wp:docPr id="277" name="Frame276"/>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326" w:type="dxa"/>
            <w:tcBorders/>
            <w:vAlign w:val="center"/>
          </w:tcPr>
          <w:p>
            <w:pPr>
              <w:pStyle w:val="TableContents"/>
              <w:bidi w:val="0"/>
              <w:spacing w:before="0" w:after="1"/>
              <w:ind w:left="0" w:right="0" w:hanging="0"/>
              <w:jc w:val="center"/>
              <w:rPr/>
            </w:pPr>
            <w:r>
              <w:rPr/>
              <w:t>    </w:t>
            </w:r>
          </w:p>
        </w:tc>
        <w:tc>
          <w:tcPr>
            <w:tcW w:w="10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184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AROs at January 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61,356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51,956</w:t>
            </w:r>
          </w:p>
        </w:tc>
      </w:tr>
      <w:tr>
        <w:trPr/>
        <w:tc>
          <w:tcPr>
            <w:tcW w:w="184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Accretion expense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2,794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2,364</w:t>
            </w:r>
          </w:p>
        </w:tc>
      </w:tr>
      <w:tr>
        <w:trPr/>
        <w:tc>
          <w:tcPr>
            <w:tcW w:w="184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AROs at June 30,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64,150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54,320</w:t>
            </w:r>
          </w:p>
        </w:tc>
      </w:tr>
    </w:tbl>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Note 13 — Commitments and Contingencies and Other Matters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Commitments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Our Well Intervention segment has long-term charter agreements with Siem Offshore AS for the </w:t>
      </w:r>
      <w:r>
        <w:rPr>
          <w:rFonts w:ascii="Arial;Helvetica;sans-serif" w:hAnsi="Arial;Helvetica;sans-serif"/>
          <w:i/>
          <w:sz w:val="20"/>
        </w:rPr>
        <w:t>Siem Helix</w:t>
      </w:r>
      <w:r>
        <w:rPr>
          <w:rFonts w:ascii="Arial;Helvetica;sans-serif" w:hAnsi="Arial;Helvetica;sans-serif"/>
          <w:sz w:val="20"/>
        </w:rPr>
        <w:t> </w:t>
      </w:r>
      <w:r>
        <w:rPr>
          <w:rFonts w:ascii="Arial;Helvetica;sans-serif" w:hAnsi="Arial;Helvetica;sans-serif"/>
          <w:i/>
          <w:sz w:val="20"/>
        </w:rPr>
        <w:t>1</w:t>
      </w:r>
      <w:r>
        <w:rPr>
          <w:rFonts w:ascii="Arial;Helvetica;sans-serif" w:hAnsi="Arial;Helvetica;sans-serif"/>
          <w:sz w:val="20"/>
        </w:rPr>
        <w:t xml:space="preserve"> and </w:t>
      </w:r>
      <w:r>
        <w:rPr>
          <w:rFonts w:ascii="Arial;Helvetica;sans-serif" w:hAnsi="Arial;Helvetica;sans-serif"/>
          <w:i/>
          <w:sz w:val="20"/>
        </w:rPr>
        <w:t>Siem Helix</w:t>
      </w:r>
      <w:r>
        <w:rPr>
          <w:rFonts w:ascii="Arial;Helvetica;sans-serif" w:hAnsi="Arial;Helvetica;sans-serif"/>
          <w:sz w:val="20"/>
        </w:rPr>
        <w:t> </w:t>
      </w:r>
      <w:r>
        <w:rPr>
          <w:rFonts w:ascii="Arial;Helvetica;sans-serif" w:hAnsi="Arial;Helvetica;sans-serif"/>
          <w:i/>
          <w:sz w:val="20"/>
        </w:rPr>
        <w:t>2</w:t>
      </w:r>
      <w:r>
        <w:rPr>
          <w:rFonts w:ascii="Arial;Helvetica;sans-serif" w:hAnsi="Arial;Helvetica;sans-serif"/>
          <w:sz w:val="20"/>
        </w:rPr>
        <w:t xml:space="preserve"> vessels, whose terms expire in December 2030 and December 2031, respectively. Our Robotics segment has vessel charters for the </w:t>
      </w:r>
      <w:r>
        <w:rPr>
          <w:rFonts w:ascii="Arial;Helvetica;sans-serif" w:hAnsi="Arial;Helvetica;sans-serif"/>
          <w:i/>
          <w:sz w:val="20"/>
        </w:rPr>
        <w:t>Grand Canyon II</w:t>
      </w:r>
      <w:r>
        <w:rPr>
          <w:rFonts w:ascii="Arial;Helvetica;sans-serif" w:hAnsi="Arial;Helvetica;sans-serif"/>
          <w:sz w:val="20"/>
        </w:rPr>
        <w:t xml:space="preserve">, the </w:t>
      </w:r>
      <w:r>
        <w:rPr>
          <w:rFonts w:ascii="Arial;Helvetica;sans-serif" w:hAnsi="Arial;Helvetica;sans-serif"/>
          <w:i/>
          <w:sz w:val="20"/>
        </w:rPr>
        <w:t>Grand Canyon III</w:t>
      </w:r>
      <w:r>
        <w:rPr>
          <w:rFonts w:ascii="Arial;Helvetica;sans-serif" w:hAnsi="Arial;Helvetica;sans-serif"/>
          <w:sz w:val="20"/>
        </w:rPr>
        <w:t xml:space="preserve">, the </w:t>
      </w:r>
      <w:r>
        <w:rPr>
          <w:rFonts w:ascii="Arial;Helvetica;sans-serif" w:hAnsi="Arial;Helvetica;sans-serif"/>
          <w:i/>
          <w:sz w:val="20"/>
        </w:rPr>
        <w:t>Shelia Bordelon</w:t>
      </w:r>
      <w:r>
        <w:rPr>
          <w:rFonts w:ascii="Arial;Helvetica;sans-serif" w:hAnsi="Arial;Helvetica;sans-serif"/>
          <w:sz w:val="20"/>
        </w:rPr>
        <w:t xml:space="preserve">, the </w:t>
      </w:r>
      <w:r>
        <w:rPr>
          <w:rFonts w:ascii="Arial;Helvetica;sans-serif" w:hAnsi="Arial;Helvetica;sans-serif"/>
          <w:i/>
          <w:sz w:val="20"/>
        </w:rPr>
        <w:t>North Sea Enabler</w:t>
      </w:r>
      <w:r>
        <w:rPr>
          <w:rFonts w:ascii="Arial;Helvetica;sans-serif" w:hAnsi="Arial;Helvetica;sans-serif"/>
          <w:sz w:val="20"/>
        </w:rPr>
        <w:t xml:space="preserve"> and the </w:t>
      </w:r>
      <w:r>
        <w:rPr>
          <w:rFonts w:ascii="Arial;Helvetica;sans-serif" w:hAnsi="Arial;Helvetica;sans-serif"/>
          <w:i/>
          <w:sz w:val="20"/>
        </w:rPr>
        <w:t>Glomar Wave</w:t>
      </w:r>
      <w:r>
        <w:rPr>
          <w:rFonts w:ascii="Arial;Helvetica;sans-serif" w:hAnsi="Arial;Helvetica;sans-serif"/>
          <w:sz w:val="20"/>
        </w:rPr>
        <w:t xml:space="preserve">. Our time charter agreement for the </w:t>
      </w:r>
      <w:r>
        <w:rPr>
          <w:rFonts w:ascii="Arial;Helvetica;sans-serif" w:hAnsi="Arial;Helvetica;sans-serif"/>
          <w:i/>
          <w:sz w:val="20"/>
        </w:rPr>
        <w:t>Grand Canyon II</w:t>
      </w:r>
      <w:r>
        <w:rPr>
          <w:rFonts w:ascii="Arial;Helvetica;sans-serif" w:hAnsi="Arial;Helvetica;sans-serif"/>
          <w:sz w:val="20"/>
        </w:rPr>
        <w:t xml:space="preserve"> expires in December 2030. Our time charter agreement for the </w:t>
      </w:r>
      <w:r>
        <w:rPr>
          <w:rFonts w:ascii="Arial;Helvetica;sans-serif" w:hAnsi="Arial;Helvetica;sans-serif"/>
          <w:i/>
          <w:sz w:val="20"/>
        </w:rPr>
        <w:t>Grand Canyon III</w:t>
      </w:r>
      <w:r>
        <w:rPr>
          <w:rFonts w:ascii="Arial;Helvetica;sans-serif" w:hAnsi="Arial;Helvetica;sans-serif"/>
          <w:sz w:val="20"/>
        </w:rPr>
        <w:t xml:space="preserve"> expires in May 2028. Our time charter agreement for the </w:t>
      </w:r>
      <w:r>
        <w:rPr>
          <w:rFonts w:ascii="Arial;Helvetica;sans-serif" w:hAnsi="Arial;Helvetica;sans-serif"/>
          <w:i/>
          <w:sz w:val="20"/>
        </w:rPr>
        <w:t xml:space="preserve">Shelia Bordelon </w:t>
      </w:r>
      <w:r>
        <w:rPr>
          <w:rFonts w:ascii="Arial;Helvetica;sans-serif" w:hAnsi="Arial;Helvetica;sans-serif"/>
          <w:sz w:val="20"/>
        </w:rPr>
        <w:t xml:space="preserve">in the Gulf of Mexico expires in June 2026. Our time charter agreement for the </w:t>
      </w:r>
      <w:r>
        <w:rPr>
          <w:rFonts w:ascii="Arial;Helvetica;sans-serif" w:hAnsi="Arial;Helvetica;sans-serif"/>
          <w:i/>
          <w:sz w:val="20"/>
        </w:rPr>
        <w:t>North Sea Enabler</w:t>
      </w:r>
      <w:r>
        <w:rPr>
          <w:rFonts w:ascii="Arial;Helvetica;sans-serif" w:hAnsi="Arial;Helvetica;sans-serif"/>
          <w:sz w:val="20"/>
        </w:rPr>
        <w:t xml:space="preserve"> expires in December 2025. We have a </w:t>
      </w:r>
      <w:r>
        <w:rPr>
          <w:rFonts w:ascii="Arial;Helvetica;sans-serif" w:hAnsi="Arial;Helvetica;sans-serif"/>
          <w:b w:val="false"/>
          <w:i w:val="false"/>
          <w:caps w:val="false"/>
          <w:smallCaps w:val="false"/>
          <w:sz w:val="20"/>
        </w:rPr>
        <w:t>three-year</w:t>
      </w:r>
      <w:r>
        <w:rPr>
          <w:rFonts w:ascii="Arial;Helvetica;sans-serif" w:hAnsi="Arial;Helvetica;sans-serif"/>
          <w:sz w:val="20"/>
        </w:rPr>
        <w:t xml:space="preserve"> charter agreement for the </w:t>
      </w:r>
      <w:r>
        <w:rPr>
          <w:rFonts w:ascii="Arial;Helvetica;sans-serif" w:hAnsi="Arial;Helvetica;sans-serif"/>
          <w:i/>
          <w:sz w:val="20"/>
        </w:rPr>
        <w:t>Glomar Wave</w:t>
      </w:r>
      <w:r>
        <w:rPr>
          <w:rFonts w:ascii="Arial;Helvetica;sans-serif" w:hAnsi="Arial;Helvetica;sans-serif"/>
          <w:sz w:val="20"/>
        </w:rPr>
        <w:t xml:space="preserve"> in the North Sea that expires in 2025. </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Contingencies and Claims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From time to time, we may incur losses related to our contracts for matters such as costs in excess of contract consideration or claims related to disputes with customers and any obligations thereunder. While we believe we maintain appropriate accruals for such matters, the actual cost to us may be more or less than the amounts reserved.</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We are involved in various legal proceedings in the normal couse of business, including claims under the General Maritime Laws of the United States and the Merchant Marine Act of 1920 (commonly referred to as the Jones Act), contract-related disputes, employee-related disputes and subsequently identified legacy issues related to Alliance. We recognize losses for lawsuits when the probability of an unfavorable outcome is probable and we can reasonably estimate the amount of the loss. For insured claims, we recognize such losses to the extent they exceed applicable insurance coverage. Although we can give no assurance about the outcome of litigation, claims or other proceedings, we do not currently believe that any loss resulting from litigation, claims or other proceedings, to the extent not otherwise covered by insurance, will have a material adverse impact on our consolidated financial statements.</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23</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bookmarkStart w:id="1302" w:name="Tc_cbWbMKEvcku3F0ALWrpbMQ_5_0"/>
      <w:bookmarkStart w:id="1303" w:name="Tc_nKmFdP5v8UKIXK-Xc8hpKg_4_5"/>
      <w:bookmarkStart w:id="1304" w:name="Tc_3Qop1ghfoEeQbq8sK6ZrGw_4_2"/>
      <w:bookmarkStart w:id="1305" w:name="Tc_1H0JBH-2qkGVPCFKrAcRxA_4_0"/>
      <w:bookmarkStart w:id="1306" w:name="Tc_k7J353fYwkmeEWnijN8E1g_3_5"/>
      <w:bookmarkStart w:id="1307" w:name="Tc_3v4FSG8GXkqYxC5fRmPzSA_3_2"/>
      <w:bookmarkStart w:id="1308" w:name="Tc_C23KocdY6UWdI7b0dDQiOQ_2_2"/>
      <w:bookmarkStart w:id="1309" w:name="Tc_-1gLqUDwS0aTy79aUhsuYQ_1_2"/>
      <w:bookmarkStart w:id="1310" w:name="_c58b6f1c_a66d_456f_acfb_9b6ac1b89b04"/>
      <w:bookmarkEnd w:id="1302"/>
      <w:bookmarkEnd w:id="1303"/>
      <w:bookmarkEnd w:id="1304"/>
      <w:bookmarkEnd w:id="1305"/>
      <w:bookmarkEnd w:id="1306"/>
      <w:bookmarkEnd w:id="1307"/>
      <w:bookmarkEnd w:id="1308"/>
      <w:bookmarkEnd w:id="1309"/>
      <w:bookmarkEnd w:id="1310"/>
      <w:r>
        <w:rPr>
          <w:rFonts w:ascii="Arial;Helvetica;sans-serif" w:hAnsi="Arial;Helvetica;sans-serif"/>
          <w:b/>
          <w:sz w:val="20"/>
        </w:rPr>
        <w:t>Note 14 — Statement of Cash Flow Information</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We define cash and cash equivalents as cash and all highly liquid financial instruments with original maturities of three months or less. The following table provides supplemental cash flow information (in thousands):</w:t>
      </w:r>
    </w:p>
    <w:p>
      <w:pPr>
        <w:pStyle w:val="TextBody"/>
        <w:bidi w:val="0"/>
        <w:spacing w:before="0" w:after="240"/>
        <w:ind w:left="0" w:right="0" w:firstLine="720"/>
        <w:jc w:val="left"/>
        <w:rPr/>
      </w:pPr>
      <w:r>
        <w:rPr/>
        <w:t>​</w:t>
      </w:r>
    </w:p>
    <w:tbl>
      <w:tblPr>
        <w:tblW w:w="4329" w:type="dxa"/>
        <w:jc w:val="left"/>
        <w:tblInd w:w="0" w:type="dxa"/>
        <w:tblLayout w:type="fixed"/>
        <w:tblCellMar>
          <w:top w:w="0" w:type="dxa"/>
          <w:left w:w="0" w:type="dxa"/>
          <w:bottom w:w="0" w:type="dxa"/>
          <w:right w:w="0" w:type="dxa"/>
        </w:tblCellMar>
      </w:tblPr>
      <w:tblGrid>
        <w:gridCol w:w="1966"/>
        <w:gridCol w:w="326"/>
        <w:gridCol w:w="211"/>
        <w:gridCol w:w="586"/>
        <w:gridCol w:w="326"/>
        <w:gridCol w:w="211"/>
        <w:gridCol w:w="703"/>
      </w:tblGrid>
      <w:tr>
        <w:trPr/>
        <w:tc>
          <w:tcPr>
            <w:tcW w:w="1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248410" cy="175260"/>
                      <wp:effectExtent l="0" t="0" r="0" b="0"/>
                      <wp:wrapNone/>
                      <wp:docPr id="278" name="Frame277"/>
                      <a:graphic xmlns:a="http://schemas.openxmlformats.org/drawingml/2006/main">
                        <a:graphicData uri="http://schemas.microsoft.com/office/word/2010/wordprocessingShape">
                          <wps:wsp>
                            <wps:cNvSpPr txBox="1"/>
                            <wps:spPr>
                              <a:xfrm>
                                <a:off x="0" y="0"/>
                                <a:ext cx="1248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07010" cy="175260"/>
                      <wp:effectExtent l="0" t="0" r="0" b="0"/>
                      <wp:wrapNone/>
                      <wp:docPr id="279" name="Frame2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33985" cy="175260"/>
                      <wp:effectExtent l="0" t="0" r="0" b="0"/>
                      <wp:wrapNone/>
                      <wp:docPr id="280" name="Frame2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372110" cy="175260"/>
                      <wp:effectExtent l="0" t="0" r="0" b="0"/>
                      <wp:wrapNone/>
                      <wp:docPr id="281" name="Frame280"/>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07010" cy="175260"/>
                      <wp:effectExtent l="0" t="0" r="0" b="0"/>
                      <wp:wrapNone/>
                      <wp:docPr id="282" name="Frame2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33985" cy="175260"/>
                      <wp:effectExtent l="0" t="0" r="0" b="0"/>
                      <wp:wrapNone/>
                      <wp:docPr id="283" name="Frame2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446405" cy="175260"/>
                      <wp:effectExtent l="0" t="0" r="0" b="0"/>
                      <wp:wrapNone/>
                      <wp:docPr id="284" name="Frame283"/>
                      <a:graphic xmlns:a="http://schemas.openxmlformats.org/drawingml/2006/main">
                        <a:graphicData uri="http://schemas.microsoft.com/office/word/2010/wordprocessingShape">
                          <wps:wsp>
                            <wps:cNvSpPr txBox="1"/>
                            <wps:spPr>
                              <a:xfrm>
                                <a:off x="0" y="0"/>
                                <a:ext cx="446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037"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Six Months Ended </w:t>
            </w:r>
          </w:p>
        </w:tc>
      </w:tr>
      <w:tr>
        <w:trPr/>
        <w:tc>
          <w:tcPr>
            <w:tcW w:w="19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03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w:t>
            </w:r>
          </w:p>
        </w:tc>
      </w:tr>
      <w:tr>
        <w:trPr/>
        <w:tc>
          <w:tcPr>
            <w:tcW w:w="19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326" w:type="dxa"/>
            <w:tcBorders/>
            <w:vAlign w:val="center"/>
          </w:tcPr>
          <w:p>
            <w:pPr>
              <w:pStyle w:val="TableContents"/>
              <w:bidi w:val="0"/>
              <w:spacing w:before="0" w:after="1"/>
              <w:ind w:left="0" w:right="0" w:hanging="0"/>
              <w:jc w:val="center"/>
              <w:rPr/>
            </w:pPr>
            <w:r>
              <w:rPr/>
              <w:t>    </w:t>
            </w:r>
          </w:p>
        </w:tc>
        <w:tc>
          <w:tcPr>
            <w:tcW w:w="91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19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Interest paid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9,762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8,616</w:t>
            </w:r>
          </w:p>
        </w:tc>
      </w:tr>
      <w:tr>
        <w:trPr/>
        <w:tc>
          <w:tcPr>
            <w:tcW w:w="1966"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Income taxes paid </w:t>
            </w:r>
            <w:r>
              <w:rPr>
                <w:rFonts w:ascii="Arial;Helvetica;sans-serif" w:hAnsi="Arial;Helvetica;sans-serif"/>
                <w:sz w:val="15"/>
              </w:rPr>
              <w:t>(1)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5,714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3" w:type="dxa"/>
            <w:tcBorders/>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4,243</w:t>
            </w:r>
          </w:p>
        </w:tc>
      </w:tr>
    </w:tbl>
    <w:tbl>
      <w:tblPr>
        <w:tblW w:w="3737" w:type="dxa"/>
        <w:jc w:val="left"/>
        <w:tblInd w:w="0" w:type="dxa"/>
        <w:tblLayout w:type="fixed"/>
        <w:tblCellMar>
          <w:top w:w="0" w:type="dxa"/>
          <w:left w:w="0" w:type="dxa"/>
          <w:bottom w:w="0" w:type="dxa"/>
          <w:right w:w="0" w:type="dxa"/>
        </w:tblCellMar>
      </w:tblPr>
      <w:tblGrid>
        <w:gridCol w:w="346"/>
        <w:gridCol w:w="3391"/>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339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Exclusive of any income tax refunds.</w:t>
            </w:r>
          </w:p>
        </w:tc>
      </w:tr>
    </w:tbl>
    <w:p>
      <w:pPr>
        <w:pStyle w:val="TextBody"/>
        <w:bidi w:val="0"/>
        <w:spacing w:before="0" w:after="24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Our capital additions include the acquisition of property and equipment for which payment has not been made. These non-cash capital additions were $0.2 million at June 30, 2024 and $1.1 million at December 31, 2023.</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1311" w:name="Tc_1rkvbGRUfESp511QVOQwyQ_4_5"/>
      <w:bookmarkStart w:id="1312" w:name="Tc_5yph1mtyLUCCSEiExG6I3w_4_2"/>
      <w:bookmarkStart w:id="1313" w:name="Tc_AIbNz3ANUE-BxnFaQJjJbg_4_0"/>
      <w:bookmarkStart w:id="1314" w:name="Tc_aH7ABgfT_0anwjmti1d9og_3_0"/>
      <w:bookmarkStart w:id="1315" w:name="Tc_iNlM8G5OnkycumnLUncL3A_2_5"/>
      <w:bookmarkStart w:id="1316" w:name="Tc_rEBjsyo19EeaT8Lqak2K4Q_2_2"/>
      <w:bookmarkStart w:id="1317" w:name="Tc_UlqaF78FTUqgPP_jN74OVA_2_0"/>
      <w:bookmarkStart w:id="1318" w:name="Tc_vnrOsWTqzUqjttwOBg3ywQ_1_5"/>
      <w:bookmarkStart w:id="1319" w:name="Tc_MZXlPsLdpkSDW4nzAZhTEA_1_2"/>
      <w:bookmarkStart w:id="1320" w:name="_f4e1c8fb_8264_49fc_a376_da20abbda397"/>
      <w:bookmarkEnd w:id="1311"/>
      <w:bookmarkEnd w:id="1312"/>
      <w:bookmarkEnd w:id="1313"/>
      <w:bookmarkEnd w:id="1314"/>
      <w:bookmarkEnd w:id="1315"/>
      <w:bookmarkEnd w:id="1316"/>
      <w:bookmarkEnd w:id="1317"/>
      <w:bookmarkEnd w:id="1318"/>
      <w:bookmarkEnd w:id="1319"/>
      <w:bookmarkEnd w:id="1320"/>
      <w:r>
        <w:rPr>
          <w:rFonts w:ascii="Arial;Helvetica;sans-serif" w:hAnsi="Arial;Helvetica;sans-serif"/>
          <w:b/>
          <w:sz w:val="20"/>
        </w:rPr>
        <w:t>Note 15 — Allowance for Credit Losses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We estimate current expected credit losses on our accounts receivable at each reporting date based on our credit loss history, adjusted for current factors including global economic and business conditions, offshore energy industry and market conditions, customer mix, contract payment terms and past due accounts receivable. The following table sets forth the activity in our allowance for credit losses (in thousands):</w:t>
      </w:r>
    </w:p>
    <w:p>
      <w:pPr>
        <w:pStyle w:val="TextBody"/>
        <w:bidi w:val="0"/>
        <w:spacing w:before="0" w:after="240"/>
        <w:ind w:left="0" w:right="0" w:firstLine="720"/>
        <w:jc w:val="left"/>
        <w:rPr/>
      </w:pPr>
      <w:r>
        <w:rPr/>
        <w:t>​</w:t>
      </w:r>
    </w:p>
    <w:tbl>
      <w:tblPr>
        <w:tblW w:w="4389" w:type="dxa"/>
        <w:jc w:val="left"/>
        <w:tblInd w:w="0" w:type="dxa"/>
        <w:tblLayout w:type="fixed"/>
        <w:tblCellMar>
          <w:top w:w="0" w:type="dxa"/>
          <w:left w:w="0" w:type="dxa"/>
          <w:bottom w:w="0" w:type="dxa"/>
          <w:right w:w="0" w:type="dxa"/>
        </w:tblCellMar>
      </w:tblPr>
      <w:tblGrid>
        <w:gridCol w:w="2026"/>
        <w:gridCol w:w="326"/>
        <w:gridCol w:w="211"/>
        <w:gridCol w:w="586"/>
        <w:gridCol w:w="326"/>
        <w:gridCol w:w="211"/>
        <w:gridCol w:w="703"/>
      </w:tblGrid>
      <w:tr>
        <w:trPr/>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286510" cy="175260"/>
                      <wp:effectExtent l="0" t="0" r="0" b="0"/>
                      <wp:wrapNone/>
                      <wp:docPr id="285" name="Frame284"/>
                      <a:graphic xmlns:a="http://schemas.openxmlformats.org/drawingml/2006/main">
                        <a:graphicData uri="http://schemas.microsoft.com/office/word/2010/wordprocessingShape">
                          <wps:wsp>
                            <wps:cNvSpPr txBox="1"/>
                            <wps:spPr>
                              <a:xfrm>
                                <a:off x="0" y="0"/>
                                <a:ext cx="1286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07010" cy="175260"/>
                      <wp:effectExtent l="0" t="0" r="0" b="0"/>
                      <wp:wrapNone/>
                      <wp:docPr id="286" name="Frame2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33985" cy="175260"/>
                      <wp:effectExtent l="0" t="0" r="0" b="0"/>
                      <wp:wrapNone/>
                      <wp:docPr id="287" name="Frame2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372110" cy="175260"/>
                      <wp:effectExtent l="0" t="0" r="0" b="0"/>
                      <wp:wrapNone/>
                      <wp:docPr id="288" name="Frame28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07010" cy="175260"/>
                      <wp:effectExtent l="0" t="0" r="0" b="0"/>
                      <wp:wrapNone/>
                      <wp:docPr id="289" name="Frame2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133985" cy="175260"/>
                      <wp:effectExtent l="0" t="0" r="0" b="0"/>
                      <wp:wrapNone/>
                      <wp:docPr id="290" name="Frame2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446405" cy="175260"/>
                      <wp:effectExtent l="0" t="0" r="0" b="0"/>
                      <wp:wrapNone/>
                      <wp:docPr id="291" name="Frame290"/>
                      <a:graphic xmlns:a="http://schemas.openxmlformats.org/drawingml/2006/main">
                        <a:graphicData uri="http://schemas.microsoft.com/office/word/2010/wordprocessingShape">
                          <wps:wsp>
                            <wps:cNvSpPr txBox="1"/>
                            <wps:spPr>
                              <a:xfrm>
                                <a:off x="0" y="0"/>
                                <a:ext cx="446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326" w:type="dxa"/>
            <w:tcBorders/>
            <w:vAlign w:val="center"/>
          </w:tcPr>
          <w:p>
            <w:pPr>
              <w:pStyle w:val="TableContents"/>
              <w:bidi w:val="0"/>
              <w:spacing w:before="0" w:after="1"/>
              <w:ind w:left="0" w:right="0" w:hanging="0"/>
              <w:jc w:val="center"/>
              <w:rPr/>
            </w:pPr>
            <w:r>
              <w:rPr/>
              <w:t>    </w:t>
            </w:r>
          </w:p>
        </w:tc>
        <w:tc>
          <w:tcPr>
            <w:tcW w:w="91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202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Balance at January 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3,407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2,277</w:t>
            </w:r>
          </w:p>
        </w:tc>
      </w:tr>
      <w:tr>
        <w:trPr/>
        <w:tc>
          <w:tcPr>
            <w:tcW w:w="2026"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Additions </w:t>
            </w:r>
            <w:r>
              <w:rPr>
                <w:rFonts w:ascii="Arial;Helvetica;sans-serif" w:hAnsi="Arial;Helvetica;sans-serif"/>
                <w:sz w:val="15"/>
              </w:rPr>
              <w:t>(1)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689</w:t>
            </w:r>
          </w:p>
        </w:tc>
      </w:tr>
      <w:tr>
        <w:trPr/>
        <w:tc>
          <w:tcPr>
            <w:tcW w:w="202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Balance at June 30,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3,836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3"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2,966</w:t>
            </w:r>
          </w:p>
        </w:tc>
      </w:tr>
    </w:tbl>
    <w:tbl>
      <w:tblPr>
        <w:tblW w:w="7652" w:type="dxa"/>
        <w:jc w:val="left"/>
        <w:tblInd w:w="0" w:type="dxa"/>
        <w:tblLayout w:type="fixed"/>
        <w:tblCellMar>
          <w:top w:w="0" w:type="dxa"/>
          <w:left w:w="0" w:type="dxa"/>
          <w:bottom w:w="0" w:type="dxa"/>
          <w:right w:w="0" w:type="dxa"/>
        </w:tblCellMar>
      </w:tblPr>
      <w:tblGrid>
        <w:gridCol w:w="346"/>
        <w:gridCol w:w="7306"/>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730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Additions reflect reserves for expected credit losses during the respective periods.</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1321" w:name="Tc_JpMwHrwdQkqylFLhb2HOWA_7_11"/>
      <w:bookmarkStart w:id="1322" w:name="Tc_3zJtd7RroU6MqSTithAWtQ_7_8"/>
      <w:bookmarkStart w:id="1323" w:name="Tc_d8bzkcpc0Uud-om1cv7sog_7_5"/>
      <w:bookmarkStart w:id="1324" w:name="Tc_7zU6OtrIPU68wlHoMddjHg_7_2"/>
      <w:bookmarkStart w:id="1325" w:name="Tc_K1dbAuoasUOwwI7aBws7zg_7_0"/>
      <w:bookmarkStart w:id="1326" w:name="Tc_-FJUM8H51EWK1MJvOccdeg_6_0"/>
      <w:bookmarkStart w:id="1327" w:name="Tc_VXdHxR4hJ0W_pM07ZXLLkA_5_0"/>
      <w:bookmarkStart w:id="1328" w:name="Tc_a6lFxrL9806gusUvxop4oQ_4_11"/>
      <w:bookmarkStart w:id="1329" w:name="Tc_VFClFOW-MEOb_Z6sTC7kig_4_8"/>
      <w:bookmarkStart w:id="1330" w:name="Tc_VjvD9G4tZEm8DV7PS0YfCw_4_6"/>
      <w:bookmarkStart w:id="1331" w:name="Tc_9nqhJQTT30eLB-xeQDDRcQ_4_5"/>
      <w:bookmarkStart w:id="1332" w:name="Tc_3ce_m6nahEe-_DehnovoIw_4_3"/>
      <w:bookmarkStart w:id="1333" w:name="Tc_7TDj1-oAIEGJbA3Rg7ubiA_4_2"/>
      <w:bookmarkStart w:id="1334" w:name="Tc_nSi8eAuXFEmLLrf0XtUwdA_4_0"/>
      <w:bookmarkStart w:id="1335" w:name="Tc_R701Juxjn0yv4PRf8ki3Fg_3_11"/>
      <w:bookmarkStart w:id="1336" w:name="Tc_jKefFa9Xn0K13RJGnjfMzw_3_8"/>
      <w:bookmarkStart w:id="1337" w:name="Tc_m2anFuHu90SO7EKS8TTAkg_3_5"/>
      <w:bookmarkStart w:id="1338" w:name="Tc_VsYROU-gJkaFQJtAyYZ-gg_3_2"/>
      <w:bookmarkStart w:id="1339" w:name="Tc_sBCxByOtpkqbgU1fAtFpzA_2_11"/>
      <w:bookmarkStart w:id="1340" w:name="Tc_3BPSlEK1ZkSc5NSSPfFG5Q_2_8"/>
      <w:bookmarkStart w:id="1341" w:name="Tc_V47kj3i32kiXUAq1B_lCWQ_2_5"/>
      <w:bookmarkStart w:id="1342" w:name="Tc_0Ry5Qm_-Qkmvib2_BRDGaQ_2_2"/>
      <w:bookmarkStart w:id="1343" w:name="Tc_fV5swd2J6EeHsn88jC-3eQ_1_8"/>
      <w:bookmarkStart w:id="1344" w:name="Tc_zu2WwnYo3kGCSdwtpRjm4g_1_2"/>
      <w:bookmarkStart w:id="1345" w:name="_f0641bc7_4c5d_4745_8d56_5cb0d2248d97"/>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r>
        <w:rPr>
          <w:rFonts w:ascii="Arial;Helvetica;sans-serif" w:hAnsi="Arial;Helvetica;sans-serif"/>
          <w:b/>
          <w:sz w:val="20"/>
        </w:rPr>
        <w:t>Note 16 — Fair Value Measurements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financial instruments include cash and cash equivalents, receivables, accounts payable and long-term debt. The carrying amount of cash and cash equivalents, trade and other current receivables as well as accounts payable approximates fair value due to the short-term nature of these instruments.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principal amount and estimated fair value of our long-term debt are as follows (in thousands):</w:t>
      </w:r>
    </w:p>
    <w:p>
      <w:pPr>
        <w:pStyle w:val="TextBody"/>
        <w:bidi w:val="0"/>
        <w:spacing w:before="0" w:after="240"/>
        <w:ind w:left="0" w:right="0" w:firstLine="720"/>
        <w:jc w:val="left"/>
        <w:rPr/>
      </w:pPr>
      <w:r>
        <w:rPr/>
        <w:t>​</w:t>
      </w:r>
    </w:p>
    <w:tbl>
      <w:tblPr>
        <w:tblW w:w="9241" w:type="dxa"/>
        <w:jc w:val="left"/>
        <w:tblInd w:w="0" w:type="dxa"/>
        <w:tblLayout w:type="fixed"/>
        <w:tblCellMar>
          <w:top w:w="0" w:type="dxa"/>
          <w:left w:w="0" w:type="dxa"/>
          <w:bottom w:w="0" w:type="dxa"/>
          <w:right w:w="0" w:type="dxa"/>
        </w:tblCellMar>
      </w:tblPr>
      <w:tblGrid>
        <w:gridCol w:w="3646"/>
        <w:gridCol w:w="326"/>
        <w:gridCol w:w="226"/>
        <w:gridCol w:w="854"/>
        <w:gridCol w:w="326"/>
        <w:gridCol w:w="211"/>
        <w:gridCol w:w="796"/>
        <w:gridCol w:w="326"/>
        <w:gridCol w:w="226"/>
        <w:gridCol w:w="854"/>
        <w:gridCol w:w="326"/>
        <w:gridCol w:w="211"/>
        <w:gridCol w:w="913"/>
      </w:tblGrid>
      <w:tr>
        <w:trPr/>
        <w:tc>
          <w:tcPr>
            <w:tcW w:w="3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315210" cy="175260"/>
                      <wp:effectExtent l="0" t="0" r="0" b="0"/>
                      <wp:wrapNone/>
                      <wp:docPr id="292" name="Frame291"/>
                      <a:graphic xmlns:a="http://schemas.openxmlformats.org/drawingml/2006/main">
                        <a:graphicData uri="http://schemas.microsoft.com/office/word/2010/wordprocessingShape">
                          <wps:wsp>
                            <wps:cNvSpPr txBox="1"/>
                            <wps:spPr>
                              <a:xfrm>
                                <a:off x="0" y="0"/>
                                <a:ext cx="2315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07010" cy="175260"/>
                      <wp:effectExtent l="0" t="0" r="0" b="0"/>
                      <wp:wrapNone/>
                      <wp:docPr id="293" name="Frame2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43510" cy="175260"/>
                      <wp:effectExtent l="0" t="0" r="0" b="0"/>
                      <wp:wrapNone/>
                      <wp:docPr id="294" name="Frame29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542290" cy="175260"/>
                      <wp:effectExtent l="0" t="0" r="0" b="0"/>
                      <wp:wrapNone/>
                      <wp:docPr id="295" name="Frame294"/>
                      <a:graphic xmlns:a="http://schemas.openxmlformats.org/drawingml/2006/main">
                        <a:graphicData uri="http://schemas.microsoft.com/office/word/2010/wordprocessingShape">
                          <wps:wsp>
                            <wps:cNvSpPr txBox="1"/>
                            <wps:spPr>
                              <a:xfrm>
                                <a:off x="0" y="0"/>
                                <a:ext cx="542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07010" cy="175260"/>
                      <wp:effectExtent l="0" t="0" r="0" b="0"/>
                      <wp:wrapNone/>
                      <wp:docPr id="296" name="Frame2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33985" cy="175260"/>
                      <wp:effectExtent l="0" t="0" r="0" b="0"/>
                      <wp:wrapNone/>
                      <wp:docPr id="297" name="Frame2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505460" cy="175260"/>
                      <wp:effectExtent l="0" t="0" r="0" b="0"/>
                      <wp:wrapNone/>
                      <wp:docPr id="298" name="Frame29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07010" cy="175260"/>
                      <wp:effectExtent l="0" t="0" r="0" b="0"/>
                      <wp:wrapNone/>
                      <wp:docPr id="299" name="Frame2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43510" cy="175260"/>
                      <wp:effectExtent l="0" t="0" r="0" b="0"/>
                      <wp:wrapNone/>
                      <wp:docPr id="300" name="Frame29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542290" cy="175260"/>
                      <wp:effectExtent l="0" t="0" r="0" b="0"/>
                      <wp:wrapNone/>
                      <wp:docPr id="301" name="Frame300"/>
                      <a:graphic xmlns:a="http://schemas.openxmlformats.org/drawingml/2006/main">
                        <a:graphicData uri="http://schemas.microsoft.com/office/word/2010/wordprocessingShape">
                          <wps:wsp>
                            <wps:cNvSpPr txBox="1"/>
                            <wps:spPr>
                              <a:xfrm>
                                <a:off x="0" y="0"/>
                                <a:ext cx="542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07010" cy="175260"/>
                      <wp:effectExtent l="0" t="0" r="0" b="0"/>
                      <wp:wrapNone/>
                      <wp:docPr id="302" name="Frame3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33985" cy="175260"/>
                      <wp:effectExtent l="0" t="0" r="0" b="0"/>
                      <wp:wrapNone/>
                      <wp:docPr id="303" name="Frame3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579755" cy="175260"/>
                      <wp:effectExtent l="0" t="0" r="0" b="0"/>
                      <wp:wrapNone/>
                      <wp:docPr id="304" name="Frame303"/>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1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2024</w:t>
            </w:r>
          </w:p>
        </w:tc>
        <w:tc>
          <w:tcPr>
            <w:tcW w:w="326" w:type="dxa"/>
            <w:tcBorders/>
            <w:vAlign w:val="center"/>
          </w:tcPr>
          <w:p>
            <w:pPr>
              <w:pStyle w:val="TableContents"/>
              <w:bidi w:val="0"/>
              <w:spacing w:before="0" w:after="1"/>
              <w:ind w:left="0" w:right="0" w:hanging="0"/>
              <w:jc w:val="left"/>
              <w:rPr/>
            </w:pPr>
            <w:r>
              <w:rPr/>
              <w:t>​</w:t>
            </w:r>
          </w:p>
        </w:tc>
        <w:tc>
          <w:tcPr>
            <w:tcW w:w="25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December 31, 2023</w:t>
            </w:r>
          </w:p>
        </w:tc>
      </w:tr>
      <w:tr>
        <w:trPr/>
        <w:tc>
          <w:tcPr>
            <w:tcW w:w="36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80"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Principal</w:t>
            </w:r>
          </w:p>
        </w:tc>
        <w:tc>
          <w:tcPr>
            <w:tcW w:w="326" w:type="dxa"/>
            <w:tcBorders/>
            <w:vAlign w:val="center"/>
          </w:tcPr>
          <w:p>
            <w:pPr>
              <w:pStyle w:val="TableContents"/>
              <w:bidi w:val="0"/>
              <w:spacing w:before="0" w:after="1"/>
              <w:ind w:left="0" w:right="0" w:hanging="0"/>
              <w:jc w:val="center"/>
              <w:rPr/>
            </w:pPr>
            <w:r>
              <w:rPr/>
              <w:t>​</w:t>
            </w:r>
          </w:p>
        </w:tc>
        <w:tc>
          <w:tcPr>
            <w:tcW w:w="1007"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Fair</w:t>
            </w:r>
          </w:p>
        </w:tc>
        <w:tc>
          <w:tcPr>
            <w:tcW w:w="326" w:type="dxa"/>
            <w:tcBorders/>
            <w:vAlign w:val="center"/>
          </w:tcPr>
          <w:p>
            <w:pPr>
              <w:pStyle w:val="TableContents"/>
              <w:bidi w:val="0"/>
              <w:spacing w:before="0" w:after="1"/>
              <w:ind w:left="0" w:right="0" w:hanging="0"/>
              <w:jc w:val="center"/>
              <w:rPr/>
            </w:pPr>
            <w:r>
              <w:rPr/>
              <w:t>​</w:t>
            </w:r>
          </w:p>
        </w:tc>
        <w:tc>
          <w:tcPr>
            <w:tcW w:w="1080"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Principal</w:t>
            </w:r>
          </w:p>
        </w:tc>
        <w:tc>
          <w:tcPr>
            <w:tcW w:w="326" w:type="dxa"/>
            <w:tcBorders/>
            <w:vAlign w:val="center"/>
          </w:tcPr>
          <w:p>
            <w:pPr>
              <w:pStyle w:val="TableContents"/>
              <w:bidi w:val="0"/>
              <w:spacing w:before="0" w:after="1"/>
              <w:ind w:left="0" w:right="0" w:hanging="0"/>
              <w:jc w:val="center"/>
              <w:rPr/>
            </w:pPr>
            <w:r>
              <w:rPr/>
              <w:t>​</w:t>
            </w:r>
          </w:p>
        </w:tc>
        <w:tc>
          <w:tcPr>
            <w:tcW w:w="1124"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Fair</w:t>
            </w:r>
          </w:p>
        </w:tc>
      </w:tr>
      <w:tr>
        <w:trPr/>
        <w:tc>
          <w:tcPr>
            <w:tcW w:w="36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80"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20"/>
              </w:rPr>
            </w:pPr>
            <w:r>
              <w:rPr>
                <w:rFonts w:ascii="Arial;Helvetica;sans-serif" w:hAnsi="Arial;Helvetica;sans-serif"/>
                <w:b/>
                <w:sz w:val="20"/>
              </w:rPr>
              <w:t xml:space="preserve">Amount </w:t>
            </w:r>
            <w:r>
              <w:rPr>
                <w:rFonts w:ascii="Arial;Helvetica;sans-serif" w:hAnsi="Arial;Helvetica;sans-serif"/>
                <w:b/>
                <w:sz w:val="15"/>
              </w:rPr>
              <w:t>(1)</w:t>
            </w:r>
          </w:p>
        </w:tc>
        <w:tc>
          <w:tcPr>
            <w:tcW w:w="326" w:type="dxa"/>
            <w:tcBorders/>
            <w:vAlign w:val="center"/>
          </w:tcPr>
          <w:p>
            <w:pPr>
              <w:pStyle w:val="TableContents"/>
              <w:bidi w:val="0"/>
              <w:spacing w:before="0" w:after="1"/>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20"/>
              </w:rPr>
            </w:pPr>
            <w:r>
              <w:rPr>
                <w:rFonts w:ascii="Arial;Helvetica;sans-serif" w:hAnsi="Arial;Helvetica;sans-serif"/>
                <w:b/>
                <w:sz w:val="20"/>
              </w:rPr>
              <w:t xml:space="preserve">Value </w:t>
            </w:r>
            <w:r>
              <w:rPr>
                <w:rFonts w:ascii="Arial;Helvetica;sans-serif" w:hAnsi="Arial;Helvetica;sans-serif"/>
                <w:b/>
                <w:sz w:val="15"/>
              </w:rPr>
              <w:t>(2)</w:t>
            </w:r>
          </w:p>
        </w:tc>
        <w:tc>
          <w:tcPr>
            <w:tcW w:w="326" w:type="dxa"/>
            <w:tcBorders/>
            <w:vAlign w:val="center"/>
          </w:tcPr>
          <w:p>
            <w:pPr>
              <w:pStyle w:val="TableContents"/>
              <w:bidi w:val="0"/>
              <w:spacing w:before="0" w:after="1"/>
              <w:ind w:left="0" w:right="0" w:hanging="0"/>
              <w:jc w:val="center"/>
              <w:rPr/>
            </w:pPr>
            <w:r>
              <w:rPr/>
              <w:t>    </w:t>
            </w:r>
          </w:p>
        </w:tc>
        <w:tc>
          <w:tcPr>
            <w:tcW w:w="1080"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20"/>
              </w:rPr>
            </w:pPr>
            <w:r>
              <w:rPr>
                <w:rFonts w:ascii="Arial;Helvetica;sans-serif" w:hAnsi="Arial;Helvetica;sans-serif"/>
                <w:b/>
                <w:sz w:val="20"/>
              </w:rPr>
              <w:t xml:space="preserve">Amount </w:t>
            </w:r>
            <w:r>
              <w:rPr>
                <w:rFonts w:ascii="Arial;Helvetica;sans-serif" w:hAnsi="Arial;Helvetica;sans-serif"/>
                <w:b/>
                <w:sz w:val="15"/>
              </w:rPr>
              <w:t>(1)</w:t>
            </w:r>
          </w:p>
        </w:tc>
        <w:tc>
          <w:tcPr>
            <w:tcW w:w="326" w:type="dxa"/>
            <w:tcBorders/>
            <w:vAlign w:val="center"/>
          </w:tcPr>
          <w:p>
            <w:pPr>
              <w:pStyle w:val="TableContents"/>
              <w:bidi w:val="0"/>
              <w:spacing w:before="0" w:after="1"/>
              <w:ind w:left="0" w:right="0" w:hanging="0"/>
              <w:jc w:val="center"/>
              <w:rPr/>
            </w:pPr>
            <w:r>
              <w:rPr/>
              <w:t>    </w:t>
            </w:r>
          </w:p>
        </w:tc>
        <w:tc>
          <w:tcPr>
            <w:tcW w:w="1124"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20"/>
              </w:rPr>
            </w:pPr>
            <w:r>
              <w:rPr>
                <w:rFonts w:ascii="Arial;Helvetica;sans-serif" w:hAnsi="Arial;Helvetica;sans-serif"/>
                <w:b/>
                <w:sz w:val="20"/>
              </w:rPr>
              <w:t xml:space="preserve">Value </w:t>
            </w:r>
            <w:r>
              <w:rPr>
                <w:rFonts w:ascii="Arial;Helvetica;sans-serif" w:hAnsi="Arial;Helvetica;sans-serif"/>
                <w:b/>
                <w:sz w:val="15"/>
              </w:rPr>
              <w:t>(2)</w:t>
            </w:r>
          </w:p>
        </w:tc>
      </w:tr>
      <w:tr>
        <w:trPr/>
        <w:tc>
          <w:tcPr>
            <w:tcW w:w="364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2026 Notes (fully redeemed March 2024)</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40,199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64,117</w:t>
            </w:r>
          </w:p>
        </w:tc>
      </w:tr>
      <w:tr>
        <w:trPr/>
        <w:tc>
          <w:tcPr>
            <w:tcW w:w="364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MARAD Debt (matures February 2027)</w:t>
            </w:r>
          </w:p>
        </w:tc>
        <w:tc>
          <w:tcPr>
            <w:tcW w:w="3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5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28,258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28,020</w:t>
            </w:r>
          </w:p>
        </w:tc>
        <w:tc>
          <w:tcPr>
            <w:tcW w:w="3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5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32,580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32,348</w:t>
            </w:r>
          </w:p>
        </w:tc>
      </w:tr>
      <w:tr>
        <w:trPr/>
        <w:tc>
          <w:tcPr>
            <w:tcW w:w="364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2029 Notes (mature March 2029)</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300,000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319,500</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300,000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315,987</w:t>
            </w:r>
          </w:p>
        </w:tc>
      </w:tr>
      <w:tr>
        <w:trPr/>
        <w:tc>
          <w:tcPr>
            <w:tcW w:w="364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debt</w:t>
            </w:r>
          </w:p>
        </w:tc>
        <w:tc>
          <w:tcPr>
            <w:tcW w:w="326" w:type="dxa"/>
            <w:tcBorders/>
            <w:vAlign w:val="center"/>
          </w:tcPr>
          <w:p>
            <w:pPr>
              <w:pStyle w:val="TableContents"/>
              <w:bidi w:val="0"/>
              <w:spacing w:before="0"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4"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328,258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347,520</w:t>
            </w:r>
          </w:p>
        </w:tc>
        <w:tc>
          <w:tcPr>
            <w:tcW w:w="326" w:type="dxa"/>
            <w:tcBorders/>
            <w:vAlign w:val="center"/>
          </w:tcPr>
          <w:p>
            <w:pPr>
              <w:pStyle w:val="TableContents"/>
              <w:bidi w:val="0"/>
              <w:spacing w:before="0"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4"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372,779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bottom w:val="double" w:sz="6" w:space="0" w:color="000000"/>
            </w:tcBorders>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412,452</w:t>
            </w:r>
          </w:p>
        </w:tc>
      </w:tr>
    </w:tbl>
    <w:tbl>
      <w:tblPr>
        <w:tblW w:w="10205" w:type="dxa"/>
        <w:jc w:val="left"/>
        <w:tblInd w:w="0" w:type="dxa"/>
        <w:tblLayout w:type="fixed"/>
        <w:tblCellMar>
          <w:top w:w="0" w:type="dxa"/>
          <w:left w:w="0" w:type="dxa"/>
          <w:bottom w:w="0" w:type="dxa"/>
          <w:right w:w="0" w:type="dxa"/>
        </w:tblCellMar>
      </w:tblPr>
      <w:tblGrid>
        <w:gridCol w:w="321"/>
        <w:gridCol w:w="9884"/>
      </w:tblGrid>
      <w:tr>
        <w:trPr/>
        <w:tc>
          <w:tcPr>
            <w:tcW w:w="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8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Principal amount includes current maturities and excludes any related unamortized debt discount and debt issuance costs. See Note 5 for additional disclosures on our long-term debt.</w:t>
            </w:r>
          </w:p>
        </w:tc>
      </w:tr>
    </w:tbl>
    <w:tbl>
      <w:tblPr>
        <w:tblW w:w="10205" w:type="dxa"/>
        <w:jc w:val="left"/>
        <w:tblInd w:w="0" w:type="dxa"/>
        <w:tblLayout w:type="fixed"/>
        <w:tblCellMar>
          <w:top w:w="0" w:type="dxa"/>
          <w:left w:w="0" w:type="dxa"/>
          <w:bottom w:w="0" w:type="dxa"/>
          <w:right w:w="0" w:type="dxa"/>
        </w:tblCellMar>
      </w:tblPr>
      <w:tblGrid>
        <w:gridCol w:w="327"/>
        <w:gridCol w:w="9878"/>
      </w:tblGrid>
      <w:tr>
        <w:trPr/>
        <w:tc>
          <w:tcPr>
            <w:tcW w:w="32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878"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estimated fair value was determined using Level 2 fair value inputs under the market approach, which was determined using quotes in inactive markets.</w:t>
            </w:r>
          </w:p>
        </w:tc>
      </w:tr>
    </w:tbl>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24</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bookmarkStart w:id="1346" w:name="Item2ManagementsDiscussionandAnalysisofF"/>
      <w:bookmarkStart w:id="1347" w:name="_ef843c0c_dd07_4621_873d_048a56674510"/>
      <w:bookmarkEnd w:id="1346"/>
      <w:bookmarkEnd w:id="1347"/>
      <w:r>
        <w:rPr>
          <w:rFonts w:ascii="Arial;Helvetica;sans-serif" w:hAnsi="Arial;Helvetica;sans-serif"/>
          <w:b/>
          <w:sz w:val="20"/>
        </w:rPr>
        <w:t>Item 2. Management’s Discussion and Analysis of Financial Condition and Results of Operations</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FORWARD-LOOKING STATEMENTS AND ASSUMPTIONS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This Quarterly Report on Form 10-Q contains or incorporates by reference various statements that contain forward-looking information regarding Helix and represent our current expectations or forecasts of future events. This forward-looking information is intended to be covered by the safe harbor for “forward-looking statements” provided by the Private Securities Litigation Reform Act of 1995 as set forth in Section 27A of the Securities Act of 1933, as amended, and Section 21E of the Securities Exchange Act of 1934, as amended (the “Exchange Act”). All statements included herein or incorporated by reference herein that are predictive in nature, that depend upon or refer to future events or conditions, or that use terms and phrases such as “achieve,” “anticipate,” “believe,” “estimate,” “budget,” “expect,” “forecast,” “plan,” “project,” “propose,” “strategy,” “predict,” “envision,” “hope,” “intend,” “will,” “continue,” “may,” “potential,” “should,” “could” and similar terms and phrases are forward-looking statements although not all forward-looking statements contain such identifying words. Included in forward-looking statements are, among other things: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our business strategy, corporate initiatives and any other business plans, forecasts or objectives, any or all of which are subject to change;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projections of revenues, gross margins, expenses, earnings or losses, working capital, debt and liquidity, cash flows, future operations expenditures or other financial items;</w:t>
            </w:r>
          </w:p>
        </w:tc>
      </w:tr>
    </w:tbl>
    <w:tbl>
      <w:tblPr>
        <w:tblW w:w="7641" w:type="dxa"/>
        <w:jc w:val="left"/>
        <w:tblInd w:w="0" w:type="dxa"/>
        <w:tblLayout w:type="fixed"/>
        <w:tblCellMar>
          <w:top w:w="28" w:type="dxa"/>
          <w:left w:w="28" w:type="dxa"/>
          <w:bottom w:w="28" w:type="dxa"/>
          <w:right w:w="28" w:type="dxa"/>
        </w:tblCellMar>
      </w:tblPr>
      <w:tblGrid>
        <w:gridCol w:w="124"/>
        <w:gridCol w:w="256"/>
        <w:gridCol w:w="72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our backlog and commercial contracts and rates thereunder;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our ability to enter into, renew and/or perform commercial contracts, including the scope, timing and outcome of those contracts;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the spot market, the continuation of our current backlog, visibility and future utilization, our spending and cost management efforts and our ability to manage changes, oil price volatility and its effects and results on the foregoing as well as our protocols and plans;</w:t>
            </w:r>
          </w:p>
        </w:tc>
      </w:tr>
    </w:tbl>
    <w:tbl>
      <w:tblPr>
        <w:tblW w:w="5691" w:type="dxa"/>
        <w:jc w:val="left"/>
        <w:tblInd w:w="0" w:type="dxa"/>
        <w:tblLayout w:type="fixed"/>
        <w:tblCellMar>
          <w:top w:w="28" w:type="dxa"/>
          <w:left w:w="28" w:type="dxa"/>
          <w:bottom w:w="28" w:type="dxa"/>
          <w:right w:w="28" w:type="dxa"/>
        </w:tblCellMar>
      </w:tblPr>
      <w:tblGrid>
        <w:gridCol w:w="124"/>
        <w:gridCol w:w="256"/>
        <w:gridCol w:w="5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1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energy transition and energy security;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our ability to identify, effect and integrate mergers, acquisitions, joint ventures or other transactions and any subsequently identified legacy issues with respect thereto;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the acquisition, construction, completion, upgrades to or maintenance and/or regulatory certification of vessels, systems or equipment and any anticipated costs or downtime related thereto;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any financing transactions or arrangements, or our ability to enter into such transactions or arrangements;</w:t>
            </w:r>
          </w:p>
        </w:tc>
      </w:tr>
    </w:tbl>
    <w:tbl>
      <w:tblPr>
        <w:tblW w:w="6246" w:type="dxa"/>
        <w:jc w:val="left"/>
        <w:tblInd w:w="0" w:type="dxa"/>
        <w:tblLayout w:type="fixed"/>
        <w:tblCellMar>
          <w:top w:w="28" w:type="dxa"/>
          <w:left w:w="28" w:type="dxa"/>
          <w:bottom w:w="28" w:type="dxa"/>
          <w:right w:w="28" w:type="dxa"/>
        </w:tblCellMar>
      </w:tblPr>
      <w:tblGrid>
        <w:gridCol w:w="124"/>
        <w:gridCol w:w="256"/>
        <w:gridCol w:w="58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6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our trade receivables and their collectability;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potential legislative, governmental, regulatory, administrative or other public body actions, requirements, permits or decisions;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our sustainability initiatives and the successes thereon or regarding our environmental efforts, including with respect to greenhouse gas emissions;</w:t>
            </w:r>
          </w:p>
        </w:tc>
      </w:tr>
    </w:tbl>
    <w:tbl>
      <w:tblPr>
        <w:tblW w:w="7941" w:type="dxa"/>
        <w:jc w:val="left"/>
        <w:tblInd w:w="0" w:type="dxa"/>
        <w:tblLayout w:type="fixed"/>
        <w:tblCellMar>
          <w:top w:w="28" w:type="dxa"/>
          <w:left w:w="28" w:type="dxa"/>
          <w:bottom w:w="28" w:type="dxa"/>
          <w:right w:w="28" w:type="dxa"/>
        </w:tblCellMar>
      </w:tblPr>
      <w:tblGrid>
        <w:gridCol w:w="124"/>
        <w:gridCol w:w="256"/>
        <w:gridCol w:w="75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global, market or investor sentiment with respect to fossil fuels;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general economic or political conditions, whether international, national or in the regional or local markets in which we do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our existing activities in, and future expansion into, the offshore renewable energy market;</w:t>
            </w:r>
          </w:p>
        </w:tc>
      </w:tr>
    </w:tbl>
    <w:tbl>
      <w:tblPr>
        <w:tblW w:w="8766" w:type="dxa"/>
        <w:jc w:val="left"/>
        <w:tblInd w:w="0" w:type="dxa"/>
        <w:tblLayout w:type="fixed"/>
        <w:tblCellMar>
          <w:top w:w="28" w:type="dxa"/>
          <w:left w:w="28" w:type="dxa"/>
          <w:bottom w:w="28" w:type="dxa"/>
          <w:right w:w="28" w:type="dxa"/>
        </w:tblCellMar>
      </w:tblPr>
      <w:tblGrid>
        <w:gridCol w:w="124"/>
        <w:gridCol w:w="256"/>
        <w:gridCol w:w="8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potential developments, industry trends, performance or industry ranking;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our human capital resources, including our ability to retain our senior management and other key employees;</w:t>
            </w:r>
          </w:p>
        </w:tc>
      </w:tr>
    </w:tbl>
    <w:tbl>
      <w:tblPr>
        <w:tblW w:w="6471" w:type="dxa"/>
        <w:jc w:val="left"/>
        <w:tblInd w:w="0" w:type="dxa"/>
        <w:tblLayout w:type="fixed"/>
        <w:tblCellMar>
          <w:top w:w="28" w:type="dxa"/>
          <w:left w:w="28" w:type="dxa"/>
          <w:bottom w:w="28" w:type="dxa"/>
          <w:right w:w="28" w:type="dxa"/>
        </w:tblCellMar>
      </w:tblPr>
      <w:tblGrid>
        <w:gridCol w:w="124"/>
        <w:gridCol w:w="256"/>
        <w:gridCol w:w="6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our share repurchase authorization or program;</w:t>
            </w:r>
          </w:p>
        </w:tc>
      </w:tr>
    </w:tbl>
    <w:tbl>
      <w:tblPr>
        <w:tblW w:w="9906" w:type="dxa"/>
        <w:jc w:val="left"/>
        <w:tblInd w:w="0" w:type="dxa"/>
        <w:tblLayout w:type="fixed"/>
        <w:tblCellMar>
          <w:top w:w="28" w:type="dxa"/>
          <w:left w:w="28" w:type="dxa"/>
          <w:bottom w:w="28" w:type="dxa"/>
          <w:right w:w="28" w:type="dxa"/>
        </w:tblCellMar>
      </w:tblPr>
      <w:tblGrid>
        <w:gridCol w:w="124"/>
        <w:gridCol w:w="256"/>
        <w:gridCol w:w="9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the underlying assumptions related to any projection or forward-looking statement; and</w:t>
            </w:r>
          </w:p>
        </w:tc>
      </w:tr>
    </w:tbl>
    <w:tbl>
      <w:tblPr>
        <w:tblW w:w="6606" w:type="dxa"/>
        <w:jc w:val="left"/>
        <w:tblInd w:w="0" w:type="dxa"/>
        <w:tblLayout w:type="fixed"/>
        <w:tblCellMar>
          <w:top w:w="28" w:type="dxa"/>
          <w:left w:w="28" w:type="dxa"/>
          <w:bottom w:w="28" w:type="dxa"/>
          <w:right w:w="28" w:type="dxa"/>
        </w:tblCellMar>
      </w:tblPr>
      <w:tblGrid>
        <w:gridCol w:w="124"/>
        <w:gridCol w:w="256"/>
        <w:gridCol w:w="6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other statements that relate to non-historical or future information.</w:t>
            </w:r>
          </w:p>
        </w:tc>
      </w:tr>
    </w:tbl>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Although we believe that the expectations reflected in our forward-looking statements are reasonable and are based on reasonable assumptions, they do involve risks, uncertainties and other factors that could cause actual results to differ materially from those in the forward-looking statements. These factors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impact of domestic and global economic and market conditions and the future impact of such conditions on the offshore energy industry and the demand for our services;</w:t>
            </w:r>
          </w:p>
        </w:tc>
      </w:tr>
    </w:tbl>
    <w:tbl>
      <w:tblPr>
        <w:tblW w:w="9576" w:type="dxa"/>
        <w:jc w:val="left"/>
        <w:tblInd w:w="0" w:type="dxa"/>
        <w:tblLayout w:type="fixed"/>
        <w:tblCellMar>
          <w:top w:w="28" w:type="dxa"/>
          <w:left w:w="28" w:type="dxa"/>
          <w:bottom w:w="28" w:type="dxa"/>
          <w:right w:w="28" w:type="dxa"/>
        </w:tblCellMar>
      </w:tblPr>
      <w:tblGrid>
        <w:gridCol w:w="124"/>
        <w:gridCol w:w="256"/>
        <w:gridCol w:w="91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general impact of oil and natural gas price volatility and the cyclical nature of the oil and gas market;</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25</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potential effects of regional tensions that have escalated or may escalate, including into conflicts or wars, and their impact on the global economy, oil and gas market, our operations, international trade, or our ability to do business with certain parties or in certain regions, and any governmental sanctions resulting therefrom;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results of corporate initiatives such as alliances, partnerships, joint ventures, mergers, acquisitions, divestitures and restructurings, and any amounts payable in connection therewith, or the determination not to pursue or effect such initiatives;</w:t>
            </w:r>
          </w:p>
        </w:tc>
      </w:tr>
    </w:tbl>
    <w:tbl>
      <w:tblPr>
        <w:tblW w:w="5856" w:type="dxa"/>
        <w:jc w:val="left"/>
        <w:tblInd w:w="0" w:type="dxa"/>
        <w:tblLayout w:type="fixed"/>
        <w:tblCellMar>
          <w:top w:w="28" w:type="dxa"/>
          <w:left w:w="28" w:type="dxa"/>
          <w:bottom w:w="28" w:type="dxa"/>
          <w:right w:w="28" w:type="dxa"/>
        </w:tblCellMar>
      </w:tblPr>
      <w:tblGrid>
        <w:gridCol w:w="124"/>
        <w:gridCol w:w="256"/>
        <w:gridCol w:w="5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operating results of acquired properties and/or equipment;</w:t>
            </w:r>
          </w:p>
        </w:tc>
      </w:tr>
    </w:tbl>
    <w:tbl>
      <w:tblPr>
        <w:tblW w:w="9186" w:type="dxa"/>
        <w:jc w:val="left"/>
        <w:tblInd w:w="0" w:type="dxa"/>
        <w:tblLayout w:type="fixed"/>
        <w:tblCellMar>
          <w:top w:w="28" w:type="dxa"/>
          <w:left w:w="28" w:type="dxa"/>
          <w:bottom w:w="28" w:type="dxa"/>
          <w:right w:w="28" w:type="dxa"/>
        </w:tblCellMar>
      </w:tblPr>
      <w:tblGrid>
        <w:gridCol w:w="124"/>
        <w:gridCol w:w="256"/>
        <w:gridCol w:w="8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impact of inflation and our ability to recoup rising costs in the rates we charge to our customers;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impact of our ability to secure and realize backlog, including any potential cancellation, deferral or modification of our work or contracts by our customers;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ability to effectively bid, renew and perform our contracts, including the impact of equipment problems or failure;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impact of the imposition by our customers of rate reductions, fines and penalties with respect to our operating assets;</w:t>
            </w:r>
          </w:p>
        </w:tc>
      </w:tr>
    </w:tbl>
    <w:tbl>
      <w:tblPr>
        <w:tblW w:w="7401" w:type="dxa"/>
        <w:jc w:val="left"/>
        <w:tblInd w:w="0" w:type="dxa"/>
        <w:tblLayout w:type="fixed"/>
        <w:tblCellMar>
          <w:top w:w="28" w:type="dxa"/>
          <w:left w:w="28" w:type="dxa"/>
          <w:bottom w:w="28" w:type="dxa"/>
          <w:right w:w="28" w:type="dxa"/>
        </w:tblCellMar>
      </w:tblPr>
      <w:tblGrid>
        <w:gridCol w:w="124"/>
        <w:gridCol w:w="256"/>
        <w:gridCol w:w="7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2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performance of contracts by customers, suppliers and other counterparties;</w:t>
            </w:r>
          </w:p>
        </w:tc>
      </w:tr>
    </w:tbl>
    <w:tbl>
      <w:tblPr>
        <w:tblW w:w="7296" w:type="dxa"/>
        <w:jc w:val="left"/>
        <w:tblInd w:w="0" w:type="dxa"/>
        <w:tblLayout w:type="fixed"/>
        <w:tblCellMar>
          <w:top w:w="28" w:type="dxa"/>
          <w:left w:w="28" w:type="dxa"/>
          <w:bottom w:w="28" w:type="dxa"/>
          <w:right w:w="28" w:type="dxa"/>
        </w:tblCellMar>
      </w:tblPr>
      <w:tblGrid>
        <w:gridCol w:w="124"/>
        <w:gridCol w:w="256"/>
        <w:gridCol w:w="69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results of our continuing efforts to control costs and improve performance;</w:t>
            </w:r>
          </w:p>
        </w:tc>
      </w:tr>
    </w:tbl>
    <w:tbl>
      <w:tblPr>
        <w:tblW w:w="7836" w:type="dxa"/>
        <w:jc w:val="left"/>
        <w:tblInd w:w="0" w:type="dxa"/>
        <w:tblLayout w:type="fixed"/>
        <w:tblCellMar>
          <w:top w:w="28" w:type="dxa"/>
          <w:left w:w="28" w:type="dxa"/>
          <w:bottom w:w="28" w:type="dxa"/>
          <w:right w:w="28" w:type="dxa"/>
        </w:tblCellMar>
      </w:tblPr>
      <w:tblGrid>
        <w:gridCol w:w="124"/>
        <w:gridCol w:w="256"/>
        <w:gridCol w:w="74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unexpected future operations expenditures, including the amount and nature thereof;</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effectiveness and timing of our vessel and/or system upgrades, regulatory certification and inspection as well as major maintenance items;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operating hazards, including unexpected delays in the delivery, chartering or customer acceptance, and terms of acceptance, of our assets;</w:t>
            </w:r>
          </w:p>
        </w:tc>
      </w:tr>
    </w:tbl>
    <w:tbl>
      <w:tblPr>
        <w:tblW w:w="8661" w:type="dxa"/>
        <w:jc w:val="left"/>
        <w:tblInd w:w="0" w:type="dxa"/>
        <w:tblLayout w:type="fixed"/>
        <w:tblCellMar>
          <w:top w:w="28" w:type="dxa"/>
          <w:left w:w="28" w:type="dxa"/>
          <w:bottom w:w="28" w:type="dxa"/>
          <w:right w:w="28" w:type="dxa"/>
        </w:tblCellMar>
      </w:tblPr>
      <w:tblGrid>
        <w:gridCol w:w="124"/>
        <w:gridCol w:w="256"/>
        <w:gridCol w:w="8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effect of adverse weather conditions and/or other risks associated with marine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impact of foreign currency exchange controls, potential illiquidity of those currencies and exchange rate fluctuations;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effectiveness of our risk management activities and processes, including with respect to our cybersecurity initiatives and disclosures;</w:t>
            </w:r>
          </w:p>
        </w:tc>
      </w:tr>
    </w:tbl>
    <w:tbl>
      <w:tblPr>
        <w:tblW w:w="2811" w:type="dxa"/>
        <w:jc w:val="left"/>
        <w:tblInd w:w="0" w:type="dxa"/>
        <w:tblLayout w:type="fixed"/>
        <w:tblCellMar>
          <w:top w:w="28" w:type="dxa"/>
          <w:left w:w="28" w:type="dxa"/>
          <w:bottom w:w="28" w:type="dxa"/>
          <w:right w:w="28" w:type="dxa"/>
        </w:tblCellMar>
      </w:tblPr>
      <w:tblGrid>
        <w:gridCol w:w="124"/>
        <w:gridCol w:w="256"/>
        <w:gridCol w:w="2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effects of competition;</w:t>
            </w:r>
          </w:p>
        </w:tc>
      </w:tr>
    </w:tbl>
    <w:tbl>
      <w:tblPr>
        <w:tblW w:w="9006" w:type="dxa"/>
        <w:jc w:val="left"/>
        <w:tblInd w:w="0" w:type="dxa"/>
        <w:tblLayout w:type="fixed"/>
        <w:tblCellMar>
          <w:top w:w="28" w:type="dxa"/>
          <w:left w:w="28" w:type="dxa"/>
          <w:bottom w:w="28" w:type="dxa"/>
          <w:right w:w="28" w:type="dxa"/>
        </w:tblCellMar>
      </w:tblPr>
      <w:tblGrid>
        <w:gridCol w:w="124"/>
        <w:gridCol w:w="256"/>
        <w:gridCol w:w="86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availability of capital (including any financing) to fund our business strategy and/or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effects of our indebtedness, our ability to comply with debt covenants and our ability to reduce capital commitments;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impact of our stock price on our financing activities such as repurchases of our common stock under share repurchase programs;</w:t>
            </w:r>
          </w:p>
        </w:tc>
      </w:tr>
    </w:tbl>
    <w:tbl>
      <w:tblPr>
        <w:tblW w:w="6156" w:type="dxa"/>
        <w:jc w:val="left"/>
        <w:tblInd w:w="0" w:type="dxa"/>
        <w:tblLayout w:type="fixed"/>
        <w:tblCellMar>
          <w:top w:w="28" w:type="dxa"/>
          <w:left w:w="28" w:type="dxa"/>
          <w:bottom w:w="28" w:type="dxa"/>
          <w:right w:w="28" w:type="dxa"/>
        </w:tblCellMar>
      </w:tblPr>
      <w:tblGrid>
        <w:gridCol w:w="124"/>
        <w:gridCol w:w="256"/>
        <w:gridCol w:w="57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effectiveness of our sustainability initiatives and disclosures;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impact of current and future laws and governmental regulations and how they will be interpreted or enforced, including related to fossil fuel production, decommissioning, and litigation and similar claims in which we may be involved;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future impact of international activity and trade agreements on our business, operations and financial condition;</w:t>
            </w:r>
          </w:p>
        </w:tc>
      </w:tr>
    </w:tbl>
    <w:tbl>
      <w:tblPr>
        <w:tblW w:w="4821" w:type="dxa"/>
        <w:jc w:val="left"/>
        <w:tblInd w:w="0" w:type="dxa"/>
        <w:tblLayout w:type="fixed"/>
        <w:tblCellMar>
          <w:top w:w="28" w:type="dxa"/>
          <w:left w:w="28" w:type="dxa"/>
          <w:bottom w:w="28" w:type="dxa"/>
          <w:right w:w="28" w:type="dxa"/>
        </w:tblCellMar>
      </w:tblPr>
      <w:tblGrid>
        <w:gridCol w:w="124"/>
        <w:gridCol w:w="256"/>
        <w:gridCol w:w="44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effectiveness of any future hedging activities;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potential impact of a negative event related to our human capital resources, including a loss of one or more key employees;</w:t>
            </w:r>
          </w:p>
        </w:tc>
      </w:tr>
    </w:tbl>
    <w:tbl>
      <w:tblPr>
        <w:tblW w:w="6336" w:type="dxa"/>
        <w:jc w:val="left"/>
        <w:tblInd w:w="0" w:type="dxa"/>
        <w:tblLayout w:type="fixed"/>
        <w:tblCellMar>
          <w:top w:w="28" w:type="dxa"/>
          <w:left w:w="28" w:type="dxa"/>
          <w:bottom w:w="28" w:type="dxa"/>
          <w:right w:w="28" w:type="dxa"/>
        </w:tblCellMar>
      </w:tblPr>
      <w:tblGrid>
        <w:gridCol w:w="124"/>
        <w:gridCol w:w="256"/>
        <w:gridCol w:w="59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impact of general, market, industry or business conditions; and</w:t>
            </w:r>
          </w:p>
        </w:tc>
      </w:tr>
    </w:tbl>
    <w:tbl>
      <w:tblPr>
        <w:tblW w:w="7446" w:type="dxa"/>
        <w:jc w:val="left"/>
        <w:tblInd w:w="0" w:type="dxa"/>
        <w:tblLayout w:type="fixed"/>
        <w:tblCellMar>
          <w:top w:w="28" w:type="dxa"/>
          <w:left w:w="28" w:type="dxa"/>
          <w:bottom w:w="28" w:type="dxa"/>
          <w:right w:w="28" w:type="dxa"/>
        </w:tblCellMar>
      </w:tblPr>
      <w:tblGrid>
        <w:gridCol w:w="124"/>
        <w:gridCol w:w="256"/>
        <w:gridCol w:w="70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6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factors generally described in Item 1A. Risk Factors in our 2023 Form 10-K.</w:t>
            </w:r>
          </w:p>
        </w:tc>
      </w:tr>
    </w:tbl>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actual results could also differ materially from those anticipated in any forward-looking statements as a result of a variety of factors, including those described in Item 7. “Management’s Discussion and Analysis of Financial Condition and Results of Operations” in our 2023 Form 10-K. Should one or more of the risks or uncertainties described in this Quarterly Report occur, or should underlying assumptions prove incorrect, our actual results and plans could differ materially from those expressed in any forward-looking statements.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26</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caution you not to place undue reliance on forward-looking statements. Forward-looking statements are only as of the date they are made, and other than as required under the securities laws, we assume no obligation to update or revise forward-looking statements, all of which are expressly qualified by the statements in this section, or provide reasons why actual results may differ. All forward-looking statements, express or implied, included in this Quarterly Report are expressly qualified in their entirety by this cautionary statement. This cautionary statement should also be considered in connection with any subsequent written or oral forward-looking statements that we or persons acting on our behalf may issue. We urge you to carefully review and consider the disclosures made in this Quarterly Report and our reports filed with the SEC and incorporated by reference in our 2023 Form 10-K that attempt to advise interested parties of the risks and factors that may affect our business.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EXECUTIVE SUMMARY</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Our Business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We are an international offshore energy services company that provides specialty services to the offshore energy industry, with a focus on well intervention, robotics and decommissioning operations. Our services are key in supporting a global energy transition by maximizing production of existing oil and gas reserves, decommissioning end-of-life oil and gas fields and supporting renewable energy developments. Our well intervention fleet includes seven purpose-built well intervention vessels and 12 subsea intervention systems. Our robotics equipment includes 39 work-class ROVs, six trenchers and two IROV boulder grabs. We charter robotics support vessels on long-term, short-term, flexible and spot bases to facilitate our ROV and trenching operations. Our Shallow Water Abandonment segment includes nine liftboats, six OSVs, three DSVs, one heavy lift derrick barge, one crew boat, 20 P&amp;A systems and six CT systems. Our Production Facilities segment includes the </w:t>
      </w:r>
      <w:r>
        <w:rPr>
          <w:rFonts w:ascii="Arial;Helvetica;sans-serif" w:hAnsi="Arial;Helvetica;sans-serif"/>
          <w:i/>
          <w:sz w:val="20"/>
        </w:rPr>
        <w:t>HP I</w:t>
      </w:r>
      <w:r>
        <w:rPr>
          <w:rFonts w:ascii="Arial;Helvetica;sans-serif" w:hAnsi="Arial;Helvetica;sans-serif"/>
          <w:sz w:val="20"/>
        </w:rPr>
        <w:t>, the HFRS and our ownership of mature oil and gas properties.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Industry Influences and Market Environment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Demand for our services is primarily influenced by the condition of the oil and gas and the renewable energy markets and, in particular, the willingness of offshore energy companies to spend on operational activities and capital projects. The performance of our business is largely affected by the prevailing market prices for oil and natural gas, which are impacted by domestic and global economic conditions, hydrocarbon production and capacity, geopolitical issues, weather, global health, and various other factors. Demand for decommissioning, which has been an area of growth for us in recent years, is affected by commodity prices as well as governmental regulations and political forces globally.</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Oil prices continue to be volatile but have generally remained robust since 2020. Global demand for oil continues to experience growth, and we expect the current market conditions will maintain continued customer spending for the industry. Despite the current commodity price environment, factors that could threaten the current commodity price environment persist, including regional conflicts, unrest in the Middle East, decisions from members of the Organization of Petroleum Exporting Countries (“OPEC”) and other non-OPEC producer nations (collectively with OPEC members, “OPEC+”), various governmental and customer sustainability initiatives and continued shifting of resource allocation to renewable energy. We expect these factors will continue to contribute to commodity price volatility with the potential to temper customer spending for oil and gas projects.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maximize production of existing oil and gas reserves for our customers primarily in our Well Intervention segment. Historically, drilling rigs have been the asset class used for offshore well intervention work, and rig day rates are a pricing indicator for our services. Our customers have used drilling rigs on existing long-term contracts (rig overhang) to perform well intervention work instead of new drilling activities. Current volumes of work, rig utilization rates, the day rates quoted by drilling rig contractors and existing rig overhang affect the utilization and/or rates we can achieve for our assets and services.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are seeing oil and gas companies continue to invest in long-cycle exploration projects in addition to maintaining and/or increasing production from their existing reserves. As historically production enhancement through well intervention is less expensive per incremental barrel of oil than exploration, we expect oil and gas companies to continue to focus on optimizing production of their existing subsea wells.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27</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support the energy transition to renewable energy through our services in offshore wind farm developments, primarily including subsea cable trenching and burial as well as seabed clearance and preparation services. Demand for our services in the renewable energy market is affected by various factors, including the pace of consumer shift towards renewable energy sources, global electricity demand, technological advancements that increase the generation and/or reduce the cost of renewable energy, expansion of offshore renewable energy projects to deeper water and other regions, and government subsidies for renewable energy projects. We expect growth in our renewables services as the energy market transitions to continued offshore renewable energy developments.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Once end-of-life oil and gas wells have depleted their production, we decommission wells and infrastructure in our Well Intervention and Shallow Water Abandonment segments. Our operations service the life cycle of an oil and gas field and provide P&amp;A and decommissioning services at the end of the life of a field as required by governmental regulations. We believe that our well intervention vessels have a competitive advantage in performing these services efficiently and with our suite of shallow water assets and capabilities, we are the only provider of full-field decommissioning services in the Gulf of Mexico shelf. The demand for P&amp;A services should grow over the mid- to long-term as the subsea tree base expands, as government regulations continue to place stronger emphasis on decommissioning aged wells worldwide (including subsea trees as well as mature dry tree wells in the shallow waters of the Gulf of Mexico), as customers look to reduce their decommissioning obligations and as customers shift resources to renewable energy.</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Outlook</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In 2024, we expect to experience another strong year of performance driven by increasing demand for our decommissioning services internationally and continued growth in the offshore renewables trenching market. We expect the demand for shallow water decommissioning services in the Gulf of Mexico to remain soft in the near term but should grow over the mid- to long-term.</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Backlog</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Our backlog is represented by signed contracts. As of June 30, 2024, our consolidated backlog totaled approximately $873 million, of which $443 million is expected to be performed over the remainder of 2024. Our various contracts with Shell, ExxonMobil and Subsea 7 globally, our contracts with Trident Energy and Petrobras in Brazil, and our agreement for the </w:t>
      </w:r>
      <w:r>
        <w:rPr>
          <w:rFonts w:ascii="Arial;Helvetica;sans-serif" w:hAnsi="Arial;Helvetica;sans-serif"/>
          <w:i/>
          <w:sz w:val="20"/>
        </w:rPr>
        <w:t>HP I</w:t>
      </w:r>
      <w:r>
        <w:rPr>
          <w:rFonts w:ascii="Arial;Helvetica;sans-serif" w:hAnsi="Arial;Helvetica;sans-serif"/>
          <w:sz w:val="20"/>
        </w:rPr>
        <w:t xml:space="preserve"> in the Gulf of Mexico represented approximately 73% of our total backlog as of June 30, 2024. Backlog is not necessarily a reliable indicator of revenues derived from our contracts as services are often added but may sometimes be subtracted; contracts may be renegotiated, deferred, canceled and in many cases modified while in progress; and reduced rates, fines and penalties may be imposed by our customers. Furthermore, our contracts are in certain cases cancelable without penalty. If there are cancellation fees, the amount of those fees can be substantially less than amounts reflected in backlog.</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RESULTS OF OPERATIONS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Non-GAAP Financial Measures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 non-GAAP financial measure is generally defined by the SEC as a numerical measure of a company’s historical or future performance, financial position or cash flows that includes or excludes amounts from the most directly comparable measure under GAAP. Non-GAAP financial measures should be viewed in addition to, and not as an alternative to, our reported results prepared in accordance with GAAP. Users of this financial information should consider the types of events and transactions that are excluded from these measures.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28</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evaluate our operating performance and financial condition based on EBITDA, Adjusted EBITDA, Free Cash Flow and Net Debt. EBITDA, Adjusted EBITDA, Free Cash Flow and Net Debt are non-GAAP financial measures that are commonly used but are not recognized accounting terms under GAAP. We use EBITDA, Adjusted EBITDA, Free Cash Flow and Net Debt to monitor and facilitate internal evaluation of the performance of our business operations, to facilitate external comparison of our business results to those of others in our industry, to analyze and evaluate financial and strategic planning decisions regarding future investments and acquisitions, to plan and evaluate operating budgets, and in certain cases, to report our results to the holders of our debt as required by our debt covenants. We believe that our measures of EBITDA, Adjusted EBITDA, Free Cash Flow and Net Debt provide useful information to the public regarding our operating performance and ability to service debt and fund capital expenditures and may help our investors understand and compare our results to other companies that have different financing, capital and tax structures. Other companies may calculate their measures of EBITDA, Adjusted EBITDA, Free Cash Flow and Net Debt differently from the way we do, which may limit their usefulness as comparative measures. EBITDA, Adjusted EBITDA, Free Cash Flow and Net Debt should not be considered in isolation or as a substitute for, but instead are supplemental to, income from operations, net income, cash flows from operating activities, or other data prepared in accordance with GAAP.</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define EBITDA as earnings before income taxes, net interest expense, net other income or expense, and depreciation and amortization expense. Non-cash impairment losses on goodwill and other long-lived assets are also added back if applicable. To arrive at our measure of Adjusted EBITDA, we exclude gains or losses on disposition of assets, acquisition and integration costs, gains or losses related to convertible senior notes, the change in fair value of contingent consideration and the general provision (release) for current expected credit losses, if any. We define Free Cash Flow as cash flows from operating activities less capital expenditures, net of proceeds from asset sales and insurance recoveries (related to property and equipment), if any. Net Debt is calculated as long-term debt including current maturities of long-term debt less cash and cash equivalents. In the following reconciliations, we provide amounts as reflected in the condensed consolidated financial statements unless otherwise noted.</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reconciliation of our net loss to EBITDA and Adjusted EBITDA is as follows (in thousands):</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4966"/>
        <w:gridCol w:w="326"/>
        <w:gridCol w:w="211"/>
        <w:gridCol w:w="691"/>
        <w:gridCol w:w="326"/>
        <w:gridCol w:w="211"/>
        <w:gridCol w:w="691"/>
        <w:gridCol w:w="326"/>
        <w:gridCol w:w="211"/>
        <w:gridCol w:w="796"/>
        <w:gridCol w:w="326"/>
        <w:gridCol w:w="211"/>
        <w:gridCol w:w="913"/>
      </w:tblGrid>
      <w:tr>
        <w:trPr/>
        <w:tc>
          <w:tcPr>
            <w:tcW w:w="49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07010" cy="175260"/>
                      <wp:effectExtent l="0" t="0" r="0" b="0"/>
                      <wp:wrapNone/>
                      <wp:docPr id="305" name="Frame3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33985" cy="175260"/>
                      <wp:effectExtent l="0" t="0" r="0" b="0"/>
                      <wp:wrapNone/>
                      <wp:docPr id="306" name="Frame3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438785" cy="175260"/>
                      <wp:effectExtent l="0" t="0" r="0" b="0"/>
                      <wp:wrapNone/>
                      <wp:docPr id="307" name="Frame30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07010" cy="175260"/>
                      <wp:effectExtent l="0" t="0" r="0" b="0"/>
                      <wp:wrapNone/>
                      <wp:docPr id="308" name="Frame3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33985" cy="175260"/>
                      <wp:effectExtent l="0" t="0" r="0" b="0"/>
                      <wp:wrapNone/>
                      <wp:docPr id="309" name="Frame3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438785" cy="175260"/>
                      <wp:effectExtent l="0" t="0" r="0" b="0"/>
                      <wp:wrapNone/>
                      <wp:docPr id="310" name="Frame30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07010" cy="175260"/>
                      <wp:effectExtent l="0" t="0" r="0" b="0"/>
                      <wp:wrapNone/>
                      <wp:docPr id="311" name="Frame3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33985" cy="175260"/>
                      <wp:effectExtent l="0" t="0" r="0" b="0"/>
                      <wp:wrapNone/>
                      <wp:docPr id="312" name="Frame3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505460" cy="175260"/>
                      <wp:effectExtent l="0" t="0" r="0" b="0"/>
                      <wp:wrapNone/>
                      <wp:docPr id="313" name="Frame31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07010" cy="175260"/>
                      <wp:effectExtent l="0" t="0" r="0" b="0"/>
                      <wp:wrapNone/>
                      <wp:docPr id="314" name="Frame3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33985" cy="175260"/>
                      <wp:effectExtent l="0" t="0" r="0" b="0"/>
                      <wp:wrapNone/>
                      <wp:docPr id="315" name="Frame3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579755" cy="175260"/>
                      <wp:effectExtent l="0" t="0" r="0" b="0"/>
                      <wp:wrapNone/>
                      <wp:docPr id="316" name="Frame315"/>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9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30"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Three Months Ended </w:t>
            </w:r>
          </w:p>
        </w:tc>
        <w:tc>
          <w:tcPr>
            <w:tcW w:w="326" w:type="dxa"/>
            <w:tcBorders/>
            <w:vAlign w:val="center"/>
          </w:tcPr>
          <w:p>
            <w:pPr>
              <w:pStyle w:val="TableContents"/>
              <w:bidi w:val="0"/>
              <w:spacing w:before="0" w:after="1"/>
              <w:ind w:left="0" w:right="0" w:hanging="0"/>
              <w:jc w:val="center"/>
              <w:rPr/>
            </w:pPr>
            <w:r>
              <w:rPr/>
              <w:t>​</w:t>
            </w:r>
          </w:p>
        </w:tc>
        <w:tc>
          <w:tcPr>
            <w:tcW w:w="2457"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Six Months Ended </w:t>
            </w:r>
          </w:p>
        </w:tc>
      </w:tr>
      <w:tr>
        <w:trPr/>
        <w:tc>
          <w:tcPr>
            <w:tcW w:w="49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w:t>
            </w:r>
          </w:p>
        </w:tc>
        <w:tc>
          <w:tcPr>
            <w:tcW w:w="326" w:type="dxa"/>
            <w:tcBorders/>
            <w:vAlign w:val="center"/>
          </w:tcPr>
          <w:p>
            <w:pPr>
              <w:pStyle w:val="TableContents"/>
              <w:bidi w:val="0"/>
              <w:spacing w:before="0" w:after="1"/>
              <w:ind w:left="0" w:right="0" w:hanging="0"/>
              <w:jc w:val="center"/>
              <w:rPr/>
            </w:pPr>
            <w:r>
              <w:rPr/>
              <w:t>​</w:t>
            </w:r>
          </w:p>
        </w:tc>
        <w:tc>
          <w:tcPr>
            <w:tcW w:w="245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w:t>
            </w:r>
          </w:p>
        </w:tc>
      </w:tr>
      <w:tr>
        <w:trPr/>
        <w:tc>
          <w:tcPr>
            <w:tcW w:w="49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326" w:type="dxa"/>
            <w:tcBorders/>
            <w:vAlign w:val="center"/>
          </w:tcPr>
          <w:p>
            <w:pPr>
              <w:pStyle w:val="TableContents"/>
              <w:bidi w:val="0"/>
              <w:spacing w:before="0" w:after="1"/>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c>
          <w:tcPr>
            <w:tcW w:w="326" w:type="dxa"/>
            <w:tcBorders/>
            <w:vAlign w:val="center"/>
          </w:tcPr>
          <w:p>
            <w:pPr>
              <w:pStyle w:val="TableContents"/>
              <w:bidi w:val="0"/>
              <w:spacing w:before="0" w:after="1"/>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326" w:type="dxa"/>
            <w:tcBorders/>
            <w:vAlign w:val="center"/>
          </w:tcPr>
          <w:p>
            <w:pPr>
              <w:pStyle w:val="TableContents"/>
              <w:bidi w:val="0"/>
              <w:spacing w:before="0" w:after="1"/>
              <w:ind w:left="0" w:right="0" w:hanging="0"/>
              <w:jc w:val="center"/>
              <w:rPr/>
            </w:pPr>
            <w:r>
              <w:rPr/>
              <w:t>    </w:t>
            </w:r>
          </w:p>
        </w:tc>
        <w:tc>
          <w:tcPr>
            <w:tcW w:w="112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49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32,289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7,100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6,002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1,935</w:t>
            </w:r>
          </w:p>
        </w:tc>
      </w:tr>
      <w:tr>
        <w:trPr/>
        <w:tc>
          <w:tcPr>
            <w:tcW w:w="49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Adjustments: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3" w:type="dxa"/>
            <w:tcBorders/>
            <w:vAlign w:val="center"/>
          </w:tcPr>
          <w:p>
            <w:pPr>
              <w:pStyle w:val="TableContents"/>
              <w:bidi w:val="0"/>
              <w:spacing w:before="0" w:after="1"/>
              <w:ind w:left="0" w:right="0" w:hanging="0"/>
              <w:jc w:val="right"/>
              <w:rPr/>
            </w:pPr>
            <w:r>
              <w:rPr/>
              <w:t>  </w:t>
            </w:r>
          </w:p>
        </w:tc>
      </w:tr>
      <w:tr>
        <w:trPr/>
        <w:tc>
          <w:tcPr>
            <w:tcW w:w="49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Income tax provision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14,725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3,312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13,027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1,294</w:t>
            </w:r>
          </w:p>
        </w:tc>
      </w:tr>
      <w:tr>
        <w:trPr/>
        <w:tc>
          <w:tcPr>
            <w:tcW w:w="49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interest expense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5,891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4,228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11,368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8,415</w:t>
            </w:r>
          </w:p>
        </w:tc>
      </w:tr>
      <w:tr>
        <w:trPr/>
        <w:tc>
          <w:tcPr>
            <w:tcW w:w="49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expense,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5,740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2,598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2,296</w:t>
            </w:r>
          </w:p>
        </w:tc>
      </w:tr>
      <w:tr>
        <w:trPr/>
        <w:tc>
          <w:tcPr>
            <w:tcW w:w="49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43,471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39,227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89,824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76,764</w:t>
            </w:r>
          </w:p>
        </w:tc>
      </w:tr>
      <w:tr>
        <w:trPr/>
        <w:tc>
          <w:tcPr>
            <w:tcW w:w="49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EBITDA</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96,758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59,607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122,819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90,704</w:t>
            </w:r>
          </w:p>
        </w:tc>
      </w:tr>
      <w:tr>
        <w:trPr/>
        <w:tc>
          <w:tcPr>
            <w:tcW w:w="49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Adjustments: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3" w:type="dxa"/>
            <w:tcBorders/>
            <w:vAlign w:val="center"/>
          </w:tcPr>
          <w:p>
            <w:pPr>
              <w:pStyle w:val="TableContents"/>
              <w:bidi w:val="0"/>
              <w:spacing w:before="0" w:after="1"/>
              <w:ind w:left="0" w:right="0" w:hanging="0"/>
              <w:jc w:val="right"/>
              <w:rPr/>
            </w:pPr>
            <w:r>
              <w:rPr/>
              <w:t>  </w:t>
            </w:r>
          </w:p>
        </w:tc>
      </w:tr>
      <w:tr>
        <w:trPr/>
        <w:tc>
          <w:tcPr>
            <w:tcW w:w="49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(Gain) loss on disposition of assets,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(367)</w:t>
            </w:r>
          </w:p>
        </w:tc>
      </w:tr>
      <w:tr>
        <w:trPr/>
        <w:tc>
          <w:tcPr>
            <w:tcW w:w="49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Acquisition and integration costs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540</w:t>
            </w:r>
          </w:p>
        </w:tc>
      </w:tr>
      <w:tr>
        <w:trPr/>
        <w:tc>
          <w:tcPr>
            <w:tcW w:w="49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Change in fair value of contingent consideration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10,828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14,820</w:t>
            </w:r>
          </w:p>
        </w:tc>
      </w:tr>
      <w:tr>
        <w:trPr/>
        <w:tc>
          <w:tcPr>
            <w:tcW w:w="49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General provision (release) for current expected credit losses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548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689</w:t>
            </w:r>
          </w:p>
        </w:tc>
      </w:tr>
      <w:tr>
        <w:trPr/>
        <w:tc>
          <w:tcPr>
            <w:tcW w:w="49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Losses related to convertible senior notes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20,922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9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Adjusted EBITDA</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96,895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71,292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143,885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bottom w:val="double" w:sz="6" w:space="0" w:color="000000"/>
            </w:tcBorders>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106,386</w:t>
            </w:r>
          </w:p>
        </w:tc>
      </w:tr>
    </w:tbl>
    <w:p>
      <w:pPr>
        <w:pStyle w:val="TextBody"/>
        <w:bidi w:val="0"/>
        <w:spacing w:before="0" w:after="24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reconciliation of our cash flows from operating activities to Free Cash Flow is as follows (in thousands):</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7617"/>
        <w:gridCol w:w="326"/>
        <w:gridCol w:w="211"/>
        <w:gridCol w:w="705"/>
        <w:gridCol w:w="326"/>
        <w:gridCol w:w="211"/>
        <w:gridCol w:w="809"/>
      </w:tblGrid>
      <w:tr>
        <w:trPr/>
        <w:tc>
          <w:tcPr>
            <w:tcW w:w="761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07010" cy="175260"/>
                      <wp:effectExtent l="0" t="0" r="0" b="0"/>
                      <wp:wrapNone/>
                      <wp:docPr id="317" name="Frame3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33985" cy="175260"/>
                      <wp:effectExtent l="0" t="0" r="0" b="0"/>
                      <wp:wrapNone/>
                      <wp:docPr id="318" name="Frame3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447675" cy="175260"/>
                      <wp:effectExtent l="0" t="0" r="0" b="0"/>
                      <wp:wrapNone/>
                      <wp:docPr id="319" name="Frame318"/>
                      <a:graphic xmlns:a="http://schemas.openxmlformats.org/drawingml/2006/main">
                        <a:graphicData uri="http://schemas.microsoft.com/office/word/2010/wordprocessingShape">
                          <wps:wsp>
                            <wps:cNvSpPr txBox="1"/>
                            <wps:spPr>
                              <a:xfrm>
                                <a:off x="0" y="0"/>
                                <a:ext cx="447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07010" cy="175260"/>
                      <wp:effectExtent l="0" t="0" r="0" b="0"/>
                      <wp:wrapNone/>
                      <wp:docPr id="320" name="Frame3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33985" cy="175260"/>
                      <wp:effectExtent l="0" t="0" r="0" b="0"/>
                      <wp:wrapNone/>
                      <wp:docPr id="321" name="Frame3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513715" cy="175260"/>
                      <wp:effectExtent l="0" t="0" r="0" b="0"/>
                      <wp:wrapNone/>
                      <wp:docPr id="322" name="Frame321"/>
                      <a:graphic xmlns:a="http://schemas.openxmlformats.org/drawingml/2006/main">
                        <a:graphicData uri="http://schemas.microsoft.com/office/word/2010/wordprocessingShape">
                          <wps:wsp>
                            <wps:cNvSpPr txBox="1"/>
                            <wps:spPr>
                              <a:xfrm>
                                <a:off x="0" y="0"/>
                                <a:ext cx="513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61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262"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Six Months Ended </w:t>
            </w:r>
          </w:p>
        </w:tc>
      </w:tr>
      <w:tr>
        <w:trPr/>
        <w:tc>
          <w:tcPr>
            <w:tcW w:w="761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26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w:t>
            </w:r>
          </w:p>
        </w:tc>
      </w:tr>
      <w:tr>
        <w:trPr/>
        <w:tc>
          <w:tcPr>
            <w:tcW w:w="761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326" w:type="dxa"/>
            <w:tcBorders/>
            <w:vAlign w:val="center"/>
          </w:tcPr>
          <w:p>
            <w:pPr>
              <w:pStyle w:val="TableContents"/>
              <w:bidi w:val="0"/>
              <w:spacing w:before="0" w:after="1"/>
              <w:ind w:left="0" w:right="0" w:hanging="0"/>
              <w:jc w:val="center"/>
              <w:rPr/>
            </w:pPr>
            <w:r>
              <w:rPr/>
              <w:t>    </w:t>
            </w:r>
          </w:p>
        </w:tc>
        <w:tc>
          <w:tcPr>
            <w:tcW w:w="10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761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Cash flows from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52,320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26,109</w:t>
            </w:r>
          </w:p>
        </w:tc>
      </w:tr>
      <w:tr>
        <w:trPr/>
        <w:tc>
          <w:tcPr>
            <w:tcW w:w="761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Capital expenditures, net of proceeds from asset sales and insurance recoveries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(7,231)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(7,555)</w:t>
            </w:r>
          </w:p>
        </w:tc>
      </w:tr>
      <w:tr>
        <w:trPr/>
        <w:tc>
          <w:tcPr>
            <w:tcW w:w="761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Free Cash Flow</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45,089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9"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18,554</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29</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reconciliation of our long-term debt to Net Debt is as follows (in thousands):</w:t>
      </w:r>
    </w:p>
    <w:p>
      <w:pPr>
        <w:pStyle w:val="TextBody"/>
        <w:bidi w:val="0"/>
        <w:spacing w:before="0" w:after="240"/>
        <w:ind w:left="0" w:right="0" w:firstLine="720"/>
        <w:jc w:val="left"/>
        <w:rPr/>
      </w:pPr>
      <w:r>
        <w:rPr/>
        <w:t>​</w:t>
      </w:r>
    </w:p>
    <w:tbl>
      <w:tblPr>
        <w:tblW w:w="7075" w:type="dxa"/>
        <w:jc w:val="left"/>
        <w:tblInd w:w="0" w:type="dxa"/>
        <w:tblLayout w:type="fixed"/>
        <w:tblCellMar>
          <w:top w:w="0" w:type="dxa"/>
          <w:left w:w="0" w:type="dxa"/>
          <w:bottom w:w="0" w:type="dxa"/>
          <w:right w:w="0" w:type="dxa"/>
        </w:tblCellMar>
      </w:tblPr>
      <w:tblGrid>
        <w:gridCol w:w="3826"/>
        <w:gridCol w:w="326"/>
        <w:gridCol w:w="211"/>
        <w:gridCol w:w="916"/>
        <w:gridCol w:w="326"/>
        <w:gridCol w:w="278"/>
        <w:gridCol w:w="1192"/>
      </w:tblGrid>
      <w:tr>
        <w:trPr/>
        <w:tc>
          <w:tcPr>
            <w:tcW w:w="3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429510" cy="175260"/>
                      <wp:effectExtent l="0" t="0" r="0" b="0"/>
                      <wp:wrapNone/>
                      <wp:docPr id="323" name="Frame322"/>
                      <a:graphic xmlns:a="http://schemas.openxmlformats.org/drawingml/2006/main">
                        <a:graphicData uri="http://schemas.microsoft.com/office/word/2010/wordprocessingShape">
                          <wps:wsp>
                            <wps:cNvSpPr txBox="1"/>
                            <wps:spPr>
                              <a:xfrm>
                                <a:off x="0" y="0"/>
                                <a:ext cx="2429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07010" cy="175260"/>
                      <wp:effectExtent l="0" t="0" r="0" b="0"/>
                      <wp:wrapNone/>
                      <wp:docPr id="324" name="Frame3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33985" cy="175260"/>
                      <wp:effectExtent l="0" t="0" r="0" b="0"/>
                      <wp:wrapNone/>
                      <wp:docPr id="325" name="Frame3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581660" cy="175260"/>
                      <wp:effectExtent l="0" t="0" r="0" b="0"/>
                      <wp:wrapNone/>
                      <wp:docPr id="326" name="Frame325"/>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07010" cy="175260"/>
                      <wp:effectExtent l="0" t="0" r="0" b="0"/>
                      <wp:wrapNone/>
                      <wp:docPr id="327" name="Frame3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176530" cy="175260"/>
                      <wp:effectExtent l="0" t="0" r="0" b="0"/>
                      <wp:wrapNone/>
                      <wp:docPr id="328" name="Frame327"/>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756920" cy="175260"/>
                      <wp:effectExtent l="0" t="0" r="0" b="0"/>
                      <wp:wrapNone/>
                      <wp:docPr id="329" name="Frame328"/>
                      <a:graphic xmlns:a="http://schemas.openxmlformats.org/drawingml/2006/main">
                        <a:graphicData uri="http://schemas.microsoft.com/office/word/2010/wordprocessingShape">
                          <wps:wsp>
                            <wps:cNvSpPr txBox="1"/>
                            <wps:spPr>
                              <a:xfrm>
                                <a:off x="0" y="0"/>
                                <a:ext cx="756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27"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w:t>
            </w:r>
          </w:p>
        </w:tc>
        <w:tc>
          <w:tcPr>
            <w:tcW w:w="326" w:type="dxa"/>
            <w:tcBorders/>
            <w:vAlign w:val="center"/>
          </w:tcPr>
          <w:p>
            <w:pPr>
              <w:pStyle w:val="TableContents"/>
              <w:bidi w:val="0"/>
              <w:spacing w:before="0" w:after="1"/>
              <w:ind w:left="0" w:right="0" w:hanging="0"/>
              <w:jc w:val="left"/>
              <w:rPr/>
            </w:pPr>
            <w:r>
              <w:rPr/>
              <w:t>​</w:t>
            </w:r>
          </w:p>
        </w:tc>
        <w:tc>
          <w:tcPr>
            <w:tcW w:w="1470"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December 31, </w:t>
            </w:r>
          </w:p>
        </w:tc>
      </w:tr>
      <w:tr>
        <w:trPr/>
        <w:tc>
          <w:tcPr>
            <w:tcW w:w="38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326" w:type="dxa"/>
            <w:tcBorders/>
            <w:vAlign w:val="center"/>
          </w:tcPr>
          <w:p>
            <w:pPr>
              <w:pStyle w:val="TableContents"/>
              <w:bidi w:val="0"/>
              <w:spacing w:before="0" w:after="1"/>
              <w:ind w:left="0" w:right="0" w:hanging="0"/>
              <w:jc w:val="center"/>
              <w:rPr/>
            </w:pPr>
            <w:r>
              <w:rPr/>
              <w:t>    </w:t>
            </w:r>
          </w:p>
        </w:tc>
        <w:tc>
          <w:tcPr>
            <w:tcW w:w="14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382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Long-term debt including current maturities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318,629</w:t>
            </w:r>
          </w:p>
        </w:tc>
        <w:tc>
          <w:tcPr>
            <w:tcW w:w="32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9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361,722</w:t>
            </w:r>
          </w:p>
        </w:tc>
      </w:tr>
      <w:tr>
        <w:trPr/>
        <w:tc>
          <w:tcPr>
            <w:tcW w:w="382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Cash and cash equivalents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(275,066)</w:t>
            </w:r>
          </w:p>
        </w:tc>
        <w:tc>
          <w:tcPr>
            <w:tcW w:w="326" w:type="dxa"/>
            <w:tcBorders/>
            <w:vAlign w:val="center"/>
          </w:tcPr>
          <w:p>
            <w:pPr>
              <w:pStyle w:val="TableContents"/>
              <w:bidi w:val="0"/>
              <w:spacing w:before="0" w:after="1"/>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9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(332,191)</w:t>
            </w:r>
          </w:p>
        </w:tc>
      </w:tr>
      <w:tr>
        <w:trPr/>
        <w:tc>
          <w:tcPr>
            <w:tcW w:w="382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Debt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43,563</w:t>
            </w:r>
          </w:p>
        </w:tc>
        <w:tc>
          <w:tcPr>
            <w:tcW w:w="326" w:type="dxa"/>
            <w:tcBorders/>
            <w:shd w:fill="CCEEFF" w:val="clear"/>
            <w:vAlign w:val="center"/>
          </w:tcPr>
          <w:p>
            <w:pPr>
              <w:pStyle w:val="TableContents"/>
              <w:bidi w:val="0"/>
              <w:spacing w:before="0" w:after="1"/>
              <w:ind w:left="0" w:right="0" w:hanging="0"/>
              <w:jc w:val="left"/>
              <w:rPr/>
            </w:pPr>
            <w:r>
              <w:rPr/>
              <w:t>​</w:t>
            </w:r>
          </w:p>
        </w:tc>
        <w:tc>
          <w:tcPr>
            <w:tcW w:w="27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92"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29,531</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Comparison of Three Months Ended June 30, 2024 and 2023</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We have four reportable business segments: Well Intervention, Robotics, Shallow Water Abandonment and Production Facilities. All material intercompany transactions between the segments have been eliminated in our condensed consolidated financial statements, including our condensed consolidated results of operations. The following table details various financial and operational highlights for the periods presented (dollars in thousands):</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4581"/>
        <w:gridCol w:w="326"/>
        <w:gridCol w:w="211"/>
        <w:gridCol w:w="802"/>
        <w:gridCol w:w="406"/>
        <w:gridCol w:w="211"/>
        <w:gridCol w:w="802"/>
        <w:gridCol w:w="406"/>
        <w:gridCol w:w="211"/>
        <w:gridCol w:w="778"/>
        <w:gridCol w:w="326"/>
        <w:gridCol w:w="811"/>
        <w:gridCol w:w="334"/>
      </w:tblGrid>
      <w:tr>
        <w:trPr/>
        <w:tc>
          <w:tcPr>
            <w:tcW w:w="45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07010" cy="175260"/>
                      <wp:effectExtent l="0" t="0" r="0" b="0"/>
                      <wp:wrapNone/>
                      <wp:docPr id="330" name="Frame3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133985" cy="175260"/>
                      <wp:effectExtent l="0" t="0" r="0" b="0"/>
                      <wp:wrapNone/>
                      <wp:docPr id="331" name="Frame3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509270" cy="175260"/>
                      <wp:effectExtent l="0" t="0" r="0" b="0"/>
                      <wp:wrapNone/>
                      <wp:docPr id="332" name="Frame331"/>
                      <a:graphic xmlns:a="http://schemas.openxmlformats.org/drawingml/2006/main">
                        <a:graphicData uri="http://schemas.microsoft.com/office/word/2010/wordprocessingShape">
                          <wps:wsp>
                            <wps:cNvSpPr txBox="1"/>
                            <wps:spPr>
                              <a:xfrm>
                                <a:off x="0" y="0"/>
                                <a:ext cx="509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57810" cy="175260"/>
                      <wp:effectExtent l="0" t="0" r="0" b="0"/>
                      <wp:wrapNone/>
                      <wp:docPr id="333" name="Frame332"/>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133985" cy="175260"/>
                      <wp:effectExtent l="0" t="0" r="0" b="0"/>
                      <wp:wrapNone/>
                      <wp:docPr id="334" name="Frame3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509270" cy="175260"/>
                      <wp:effectExtent l="0" t="0" r="0" b="0"/>
                      <wp:wrapNone/>
                      <wp:docPr id="335" name="Frame334"/>
                      <a:graphic xmlns:a="http://schemas.openxmlformats.org/drawingml/2006/main">
                        <a:graphicData uri="http://schemas.microsoft.com/office/word/2010/wordprocessingShape">
                          <wps:wsp>
                            <wps:cNvSpPr txBox="1"/>
                            <wps:spPr>
                              <a:xfrm>
                                <a:off x="0" y="0"/>
                                <a:ext cx="509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57810" cy="175260"/>
                      <wp:effectExtent l="0" t="0" r="0" b="0"/>
                      <wp:wrapNone/>
                      <wp:docPr id="336" name="Frame335"/>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133985" cy="175260"/>
                      <wp:effectExtent l="0" t="0" r="0" b="0"/>
                      <wp:wrapNone/>
                      <wp:docPr id="337" name="Frame3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494030" cy="175260"/>
                      <wp:effectExtent l="0" t="0" r="0" b="0"/>
                      <wp:wrapNone/>
                      <wp:docPr id="338" name="Frame337"/>
                      <a:graphic xmlns:a="http://schemas.openxmlformats.org/drawingml/2006/main">
                        <a:graphicData uri="http://schemas.microsoft.com/office/word/2010/wordprocessingShape">
                          <wps:wsp>
                            <wps:cNvSpPr txBox="1"/>
                            <wps:spPr>
                              <a:xfrm>
                                <a:off x="0" y="0"/>
                                <a:ext cx="494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07010" cy="175260"/>
                      <wp:effectExtent l="0" t="0" r="0" b="0"/>
                      <wp:wrapNone/>
                      <wp:docPr id="339" name="Frame3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514985" cy="175260"/>
                      <wp:effectExtent l="0" t="0" r="0" b="0"/>
                      <wp:wrapNone/>
                      <wp:docPr id="340" name="Frame339"/>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12090" cy="175260"/>
                      <wp:effectExtent l="0" t="0" r="0" b="0"/>
                      <wp:wrapNone/>
                      <wp:docPr id="341" name="Frame340"/>
                      <a:graphic xmlns:a="http://schemas.openxmlformats.org/drawingml/2006/main">
                        <a:graphicData uri="http://schemas.microsoft.com/office/word/2010/wordprocessingShape">
                          <wps:wsp>
                            <wps:cNvSpPr txBox="1"/>
                            <wps:spPr>
                              <a:xfrm>
                                <a:off x="0" y="0"/>
                                <a:ext cx="2120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32"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Three Months Ended </w:t>
            </w:r>
          </w:p>
        </w:tc>
        <w:tc>
          <w:tcPr>
            <w:tcW w:w="406" w:type="dxa"/>
            <w:tcBorders/>
            <w:vAlign w:val="center"/>
          </w:tcPr>
          <w:p>
            <w:pPr>
              <w:pStyle w:val="TableContents"/>
              <w:bidi w:val="0"/>
              <w:spacing w:before="0" w:after="1"/>
              <w:ind w:left="0" w:right="0" w:hanging="0"/>
              <w:jc w:val="left"/>
              <w:rPr/>
            </w:pPr>
            <w:r>
              <w:rPr/>
              <w:t>​</w:t>
            </w:r>
          </w:p>
        </w:tc>
        <w:tc>
          <w:tcPr>
            <w:tcW w:w="2126" w:type="dxa"/>
            <w:gridSpan w:val="4"/>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Increase/</w:t>
            </w:r>
          </w:p>
        </w:tc>
        <w:tc>
          <w:tcPr>
            <w:tcW w:w="334" w:type="dxa"/>
            <w:tcBorders/>
            <w:vAlign w:val="center"/>
          </w:tcPr>
          <w:p>
            <w:pPr>
              <w:pStyle w:val="TableContents"/>
              <w:bidi w:val="0"/>
              <w:spacing w:before="0" w:after="1"/>
              <w:ind w:left="0" w:right="0" w:hanging="0"/>
              <w:jc w:val="center"/>
              <w:rPr/>
            </w:pPr>
            <w:r>
              <w:rPr/>
              <w:t> </w:t>
            </w:r>
          </w:p>
        </w:tc>
      </w:tr>
      <w:tr>
        <w:trPr/>
        <w:tc>
          <w:tcPr>
            <w:tcW w:w="45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3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w:t>
            </w:r>
          </w:p>
        </w:tc>
        <w:tc>
          <w:tcPr>
            <w:tcW w:w="406" w:type="dxa"/>
            <w:tcBorders/>
            <w:vAlign w:val="center"/>
          </w:tcPr>
          <w:p>
            <w:pPr>
              <w:pStyle w:val="TableContents"/>
              <w:bidi w:val="0"/>
              <w:spacing w:before="0" w:after="1"/>
              <w:ind w:left="0" w:right="0" w:hanging="0"/>
              <w:jc w:val="left"/>
              <w:rPr/>
            </w:pPr>
            <w:r>
              <w:rPr/>
              <w:t>​</w:t>
            </w:r>
          </w:p>
        </w:tc>
        <w:tc>
          <w:tcPr>
            <w:tcW w:w="2126"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(Decrease)</w:t>
            </w:r>
          </w:p>
        </w:tc>
        <w:tc>
          <w:tcPr>
            <w:tcW w:w="334" w:type="dxa"/>
            <w:tcBorders/>
            <w:vAlign w:val="center"/>
          </w:tcPr>
          <w:p>
            <w:pPr>
              <w:pStyle w:val="TableContents"/>
              <w:bidi w:val="0"/>
              <w:spacing w:before="0" w:after="1"/>
              <w:ind w:left="0" w:right="0" w:hanging="0"/>
              <w:jc w:val="center"/>
              <w:rPr/>
            </w:pPr>
            <w:r>
              <w:rPr/>
              <w:t> </w:t>
            </w:r>
          </w:p>
        </w:tc>
      </w:tr>
      <w:tr>
        <w:trPr/>
        <w:tc>
          <w:tcPr>
            <w:tcW w:w="45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1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406" w:type="dxa"/>
            <w:tcBorders/>
            <w:vAlign w:val="center"/>
          </w:tcPr>
          <w:p>
            <w:pPr>
              <w:pStyle w:val="TableContents"/>
              <w:bidi w:val="0"/>
              <w:spacing w:before="0" w:after="1"/>
              <w:ind w:left="0" w:right="0" w:hanging="0"/>
              <w:jc w:val="left"/>
              <w:rPr/>
            </w:pPr>
            <w:r>
              <w:rPr/>
              <w:t>    </w:t>
            </w:r>
          </w:p>
        </w:tc>
        <w:tc>
          <w:tcPr>
            <w:tcW w:w="101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c>
          <w:tcPr>
            <w:tcW w:w="406" w:type="dxa"/>
            <w:tcBorders/>
            <w:vAlign w:val="center"/>
          </w:tcPr>
          <w:p>
            <w:pPr>
              <w:pStyle w:val="TableContents"/>
              <w:bidi w:val="0"/>
              <w:spacing w:before="0" w:after="1"/>
              <w:ind w:left="0" w:right="0" w:hanging="0"/>
              <w:jc w:val="left"/>
              <w:rPr/>
            </w:pPr>
            <w:r>
              <w:rPr/>
              <w:t>    </w:t>
            </w:r>
          </w:p>
        </w:tc>
        <w:tc>
          <w:tcPr>
            <w:tcW w:w="98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Amount</w:t>
            </w:r>
          </w:p>
        </w:tc>
        <w:tc>
          <w:tcPr>
            <w:tcW w:w="326" w:type="dxa"/>
            <w:tcBorders/>
            <w:vAlign w:val="center"/>
          </w:tcPr>
          <w:p>
            <w:pPr>
              <w:pStyle w:val="TableContents"/>
              <w:bidi w:val="0"/>
              <w:spacing w:before="0" w:after="1"/>
              <w:ind w:left="0" w:right="0" w:hanging="0"/>
              <w:jc w:val="center"/>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Percent</w:t>
            </w:r>
          </w:p>
        </w:tc>
        <w:tc>
          <w:tcPr>
            <w:tcW w:w="334" w:type="dxa"/>
            <w:tcBorders/>
            <w:vAlign w:val="center"/>
          </w:tcPr>
          <w:p>
            <w:pPr>
              <w:pStyle w:val="TableContents"/>
              <w:bidi w:val="0"/>
              <w:spacing w:before="0" w:after="1"/>
              <w:ind w:left="0" w:right="0" w:hanging="0"/>
              <w:jc w:val="center"/>
              <w:rPr/>
            </w:pPr>
            <w:r>
              <w:rPr/>
              <w:t> </w:t>
            </w:r>
          </w:p>
        </w:tc>
      </w:tr>
      <w:tr>
        <w:trPr/>
        <w:tc>
          <w:tcPr>
            <w:tcW w:w="458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revenues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02"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02"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78"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34" w:type="dxa"/>
            <w:tcBorders/>
            <w:shd w:fill="CCEEFF" w:val="clear"/>
            <w:vAlign w:val="center"/>
          </w:tcPr>
          <w:p>
            <w:pPr>
              <w:pStyle w:val="TableContents"/>
              <w:bidi w:val="0"/>
              <w:spacing w:before="0" w:after="1"/>
              <w:ind w:left="0" w:right="0" w:hanging="0"/>
              <w:jc w:val="left"/>
              <w:rPr/>
            </w:pPr>
            <w:r>
              <w:rPr/>
              <w:t>​</w:t>
            </w:r>
          </w:p>
        </w:tc>
      </w:tr>
      <w:tr>
        <w:trPr/>
        <w:tc>
          <w:tcPr>
            <w:tcW w:w="458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Well Intervention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224,679</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154,221</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7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70,458</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46</w:t>
            </w:r>
          </w:p>
        </w:tc>
        <w:tc>
          <w:tcPr>
            <w:tcW w:w="33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458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Robotics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81,249</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70,050</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11,199</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w:t>
            </w:r>
          </w:p>
        </w:tc>
        <w:tc>
          <w:tcPr>
            <w:tcW w:w="33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458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Shallow Water Abandonment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50,841</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76,306</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7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(25,465)</w:t>
            </w:r>
          </w:p>
        </w:tc>
        <w:tc>
          <w:tcPr>
            <w:tcW w:w="32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w:t>
            </w:r>
          </w:p>
        </w:tc>
        <w:tc>
          <w:tcPr>
            <w:tcW w:w="33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458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Production Facilities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25,400</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23,128</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2,272</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w:t>
            </w:r>
          </w:p>
        </w:tc>
        <w:tc>
          <w:tcPr>
            <w:tcW w:w="33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458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Intercompany eliminations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(17,372)</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(14,888)</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(2,484)</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34" w:type="dxa"/>
            <w:tcBorders/>
            <w:vAlign w:val="center"/>
          </w:tcPr>
          <w:p>
            <w:pPr>
              <w:pStyle w:val="TableContents"/>
              <w:bidi w:val="0"/>
              <w:spacing w:before="0" w:after="1"/>
              <w:ind w:left="0" w:right="0" w:hanging="0"/>
              <w:jc w:val="left"/>
              <w:rPr/>
            </w:pPr>
            <w:r>
              <w:rPr/>
              <w:t>​</w:t>
            </w:r>
          </w:p>
        </w:tc>
      </w:tr>
      <w:tr>
        <w:trPr/>
        <w:tc>
          <w:tcPr>
            <w:tcW w:w="45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364,797</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308,817</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7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55,980</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w:t>
            </w:r>
          </w:p>
        </w:tc>
        <w:tc>
          <w:tcPr>
            <w:tcW w:w="33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45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7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34" w:type="dxa"/>
            <w:tcBorders/>
            <w:vAlign w:val="center"/>
          </w:tcPr>
          <w:p>
            <w:pPr>
              <w:pStyle w:val="TableContents"/>
              <w:bidi w:val="0"/>
              <w:spacing w:before="0" w:after="1"/>
              <w:ind w:left="0" w:right="0" w:hanging="0"/>
              <w:jc w:val="left"/>
              <w:rPr/>
            </w:pPr>
            <w:r>
              <w:rPr/>
              <w:t>​</w:t>
            </w:r>
          </w:p>
        </w:tc>
      </w:tr>
      <w:tr>
        <w:trPr/>
        <w:tc>
          <w:tcPr>
            <w:tcW w:w="458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Gross profit (loss)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34" w:type="dxa"/>
            <w:tcBorders/>
            <w:shd w:fill="CCEEFF" w:val="clear"/>
            <w:vAlign w:val="center"/>
          </w:tcPr>
          <w:p>
            <w:pPr>
              <w:pStyle w:val="TableContents"/>
              <w:bidi w:val="0"/>
              <w:spacing w:before="0" w:after="1"/>
              <w:ind w:left="0" w:right="0" w:hanging="0"/>
              <w:jc w:val="left"/>
              <w:rPr/>
            </w:pPr>
            <w:r>
              <w:rPr/>
              <w:t>​</w:t>
            </w:r>
          </w:p>
        </w:tc>
      </w:tr>
      <w:tr>
        <w:trPr/>
        <w:tc>
          <w:tcPr>
            <w:tcW w:w="458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Well Intervention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33,615</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6,974</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7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26,641</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382</w:t>
            </w:r>
          </w:p>
        </w:tc>
        <w:tc>
          <w:tcPr>
            <w:tcW w:w="33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458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Robotics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30,888</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19,524</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11,364</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58</w:t>
            </w:r>
          </w:p>
        </w:tc>
        <w:tc>
          <w:tcPr>
            <w:tcW w:w="33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458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Shallow Water Abandonment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1,654</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20,992</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7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(19,338)</w:t>
            </w:r>
          </w:p>
        </w:tc>
        <w:tc>
          <w:tcPr>
            <w:tcW w:w="32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(92)</w:t>
            </w:r>
          </w:p>
        </w:tc>
        <w:tc>
          <w:tcPr>
            <w:tcW w:w="33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458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Production Facilities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9,891</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8,654</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1,237</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w:t>
            </w:r>
          </w:p>
        </w:tc>
        <w:tc>
          <w:tcPr>
            <w:tcW w:w="33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458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Corporate, eliminations and other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(562)</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(795)</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233</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34" w:type="dxa"/>
            <w:tcBorders/>
            <w:vAlign w:val="center"/>
          </w:tcPr>
          <w:p>
            <w:pPr>
              <w:pStyle w:val="TableContents"/>
              <w:bidi w:val="0"/>
              <w:spacing w:before="0" w:after="1"/>
              <w:ind w:left="0" w:right="0" w:hanging="0"/>
              <w:jc w:val="left"/>
              <w:rPr/>
            </w:pPr>
            <w:r>
              <w:rPr/>
              <w:t>​</w:t>
            </w:r>
          </w:p>
        </w:tc>
      </w:tr>
      <w:tr>
        <w:trPr/>
        <w:tc>
          <w:tcPr>
            <w:tcW w:w="45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75,486</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55,349</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7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20,137</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w:t>
            </w:r>
          </w:p>
        </w:tc>
        <w:tc>
          <w:tcPr>
            <w:tcW w:w="33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45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7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34" w:type="dxa"/>
            <w:tcBorders/>
            <w:vAlign w:val="center"/>
          </w:tcPr>
          <w:p>
            <w:pPr>
              <w:pStyle w:val="TableContents"/>
              <w:bidi w:val="0"/>
              <w:spacing w:before="0" w:after="1"/>
              <w:ind w:left="0" w:right="0" w:hanging="0"/>
              <w:jc w:val="left"/>
              <w:rPr/>
            </w:pPr>
            <w:r>
              <w:rPr/>
              <w:t>​</w:t>
            </w:r>
          </w:p>
        </w:tc>
      </w:tr>
      <w:tr>
        <w:trPr/>
        <w:tc>
          <w:tcPr>
            <w:tcW w:w="458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Gross margin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34" w:type="dxa"/>
            <w:tcBorders/>
            <w:shd w:fill="CCEEFF" w:val="clear"/>
            <w:vAlign w:val="center"/>
          </w:tcPr>
          <w:p>
            <w:pPr>
              <w:pStyle w:val="TableContents"/>
              <w:bidi w:val="0"/>
              <w:spacing w:before="0" w:after="1"/>
              <w:ind w:left="0" w:right="0" w:hanging="0"/>
              <w:jc w:val="left"/>
              <w:rPr/>
            </w:pPr>
            <w:r>
              <w:rPr/>
              <w:t>​</w:t>
            </w:r>
          </w:p>
        </w:tc>
      </w:tr>
      <w:tr>
        <w:trPr/>
        <w:tc>
          <w:tcPr>
            <w:tcW w:w="458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Well Intervention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w:t>
            </w:r>
          </w:p>
        </w:tc>
        <w:tc>
          <w:tcPr>
            <w:tcW w:w="334" w:type="dxa"/>
            <w:tcBorders/>
            <w:vAlign w:val="center"/>
          </w:tcPr>
          <w:p>
            <w:pPr>
              <w:pStyle w:val="TableContents"/>
              <w:bidi w:val="0"/>
              <w:spacing w:before="0" w:after="1"/>
              <w:ind w:left="0" w:right="0" w:hanging="0"/>
              <w:jc w:val="left"/>
              <w:rPr/>
            </w:pPr>
            <w:r>
              <w:rPr/>
              <w:t>​</w:t>
            </w:r>
          </w:p>
        </w:tc>
      </w:tr>
      <w:tr>
        <w:trPr/>
        <w:tc>
          <w:tcPr>
            <w:tcW w:w="458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Robotics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34" w:type="dxa"/>
            <w:tcBorders/>
            <w:shd w:fill="CCEEFF" w:val="clear"/>
            <w:vAlign w:val="center"/>
          </w:tcPr>
          <w:p>
            <w:pPr>
              <w:pStyle w:val="TableContents"/>
              <w:bidi w:val="0"/>
              <w:spacing w:before="0" w:after="1"/>
              <w:ind w:left="0" w:right="0" w:hanging="0"/>
              <w:jc w:val="left"/>
              <w:rPr/>
            </w:pPr>
            <w:r>
              <w:rPr/>
              <w:t>​</w:t>
            </w:r>
          </w:p>
        </w:tc>
      </w:tr>
      <w:tr>
        <w:trPr/>
        <w:tc>
          <w:tcPr>
            <w:tcW w:w="458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Shallow Water Abandonment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34" w:type="dxa"/>
            <w:tcBorders/>
            <w:vAlign w:val="center"/>
          </w:tcPr>
          <w:p>
            <w:pPr>
              <w:pStyle w:val="TableContents"/>
              <w:bidi w:val="0"/>
              <w:spacing w:before="0" w:after="1"/>
              <w:ind w:left="0" w:right="0" w:hanging="0"/>
              <w:jc w:val="left"/>
              <w:rPr/>
            </w:pPr>
            <w:r>
              <w:rPr/>
              <w:t>​</w:t>
            </w:r>
          </w:p>
        </w:tc>
      </w:tr>
      <w:tr>
        <w:trPr/>
        <w:tc>
          <w:tcPr>
            <w:tcW w:w="458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Production Facilities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39</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37</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34" w:type="dxa"/>
            <w:tcBorders/>
            <w:shd w:fill="CCEEFF" w:val="clear"/>
            <w:vAlign w:val="center"/>
          </w:tcPr>
          <w:p>
            <w:pPr>
              <w:pStyle w:val="TableContents"/>
              <w:bidi w:val="0"/>
              <w:spacing w:before="0" w:after="1"/>
              <w:ind w:left="0" w:right="0" w:hanging="0"/>
              <w:jc w:val="left"/>
              <w:rPr/>
            </w:pPr>
            <w:r>
              <w:rPr/>
              <w:t>​</w:t>
            </w:r>
          </w:p>
        </w:tc>
      </w:tr>
      <w:tr>
        <w:trPr/>
        <w:tc>
          <w:tcPr>
            <w:tcW w:w="458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company</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34" w:type="dxa"/>
            <w:tcBorders/>
            <w:vAlign w:val="center"/>
          </w:tcPr>
          <w:p>
            <w:pPr>
              <w:pStyle w:val="TableContents"/>
              <w:bidi w:val="0"/>
              <w:spacing w:before="0" w:after="1"/>
              <w:ind w:left="0" w:right="0" w:hanging="0"/>
              <w:jc w:val="left"/>
              <w:rPr/>
            </w:pPr>
            <w:r>
              <w:rPr/>
              <w:t>​</w:t>
            </w:r>
          </w:p>
        </w:tc>
      </w:tr>
      <w:tr>
        <w:trPr/>
        <w:tc>
          <w:tcPr>
            <w:tcW w:w="45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2" w:type="dxa"/>
            <w:tcBorders/>
            <w:shd w:fill="CCEEFF" w:val="clear"/>
            <w:vAlign w:val="center"/>
          </w:tcPr>
          <w:p>
            <w:pPr>
              <w:pStyle w:val="TableContents"/>
              <w:bidi w:val="0"/>
              <w:spacing w:before="0" w:after="1"/>
              <w:ind w:left="0" w:right="0" w:hanging="0"/>
              <w:jc w:val="left"/>
              <w:rPr/>
            </w:pPr>
            <w:r>
              <w:rPr/>
              <w:t>​</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2" w:type="dxa"/>
            <w:tcBorders/>
            <w:shd w:fill="CCEEFF" w:val="clear"/>
            <w:vAlign w:val="center"/>
          </w:tcPr>
          <w:p>
            <w:pPr>
              <w:pStyle w:val="TableContents"/>
              <w:bidi w:val="0"/>
              <w:spacing w:before="0" w:after="1"/>
              <w:ind w:left="0" w:right="0" w:hanging="0"/>
              <w:jc w:val="left"/>
              <w:rPr/>
            </w:pPr>
            <w:r>
              <w:rPr/>
              <w:t>​</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7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left"/>
              <w:rPr/>
            </w:pPr>
            <w:r>
              <w:rPr/>
              <w:t>​</w:t>
            </w:r>
          </w:p>
        </w:tc>
        <w:tc>
          <w:tcPr>
            <w:tcW w:w="334" w:type="dxa"/>
            <w:tcBorders/>
            <w:shd w:fill="CCEEFF" w:val="clear"/>
            <w:vAlign w:val="center"/>
          </w:tcPr>
          <w:p>
            <w:pPr>
              <w:pStyle w:val="TableContents"/>
              <w:bidi w:val="0"/>
              <w:spacing w:before="0" w:after="1"/>
              <w:ind w:left="0" w:right="0" w:hanging="0"/>
              <w:jc w:val="left"/>
              <w:rPr/>
            </w:pPr>
            <w:r>
              <w:rPr/>
              <w:t>​</w:t>
            </w:r>
          </w:p>
        </w:tc>
      </w:tr>
      <w:tr>
        <w:trPr/>
        <w:tc>
          <w:tcPr>
            <w:tcW w:w="4581"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Number of vessels, Robotics assets or Shallow Water Abandonment systems </w:t>
            </w:r>
            <w:r>
              <w:rPr>
                <w:rFonts w:ascii="Arial;Helvetica;sans-serif" w:hAnsi="Arial;Helvetica;sans-serif"/>
                <w:sz w:val="15"/>
              </w:rPr>
              <w:t>(1)</w:t>
            </w:r>
            <w:r>
              <w:rPr>
                <w:rFonts w:ascii="Arial;Helvetica;sans-serif" w:hAnsi="Arial;Helvetica;sans-serif"/>
                <w:sz w:val="20"/>
              </w:rPr>
              <w:t xml:space="preserve"> / Utilization </w:t>
            </w:r>
            <w:r>
              <w:rPr>
                <w:rFonts w:ascii="Arial;Helvetica;sans-serif" w:hAnsi="Arial;Helvetica;sans-serif"/>
                <w:sz w:val="15"/>
              </w:rPr>
              <w:t>(2)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pPr>
            <w:r>
              <w:rPr/>
              <w:t>  </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pPr>
            <w:r>
              <w:rPr/>
              <w:t>  </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34" w:type="dxa"/>
            <w:tcBorders/>
            <w:vAlign w:val="center"/>
          </w:tcPr>
          <w:p>
            <w:pPr>
              <w:pStyle w:val="TableContents"/>
              <w:bidi w:val="0"/>
              <w:spacing w:before="0" w:after="1"/>
              <w:ind w:left="0" w:right="0" w:hanging="0"/>
              <w:jc w:val="left"/>
              <w:rPr/>
            </w:pPr>
            <w:r>
              <w:rPr/>
              <w:t>​</w:t>
            </w:r>
          </w:p>
        </w:tc>
      </w:tr>
      <w:tr>
        <w:trPr/>
        <w:tc>
          <w:tcPr>
            <w:tcW w:w="458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Well Intervention vessels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 / 94</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 / 84</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34" w:type="dxa"/>
            <w:tcBorders/>
            <w:shd w:fill="CCEEFF" w:val="clear"/>
            <w:vAlign w:val="center"/>
          </w:tcPr>
          <w:p>
            <w:pPr>
              <w:pStyle w:val="TableContents"/>
              <w:bidi w:val="0"/>
              <w:spacing w:before="0" w:after="1"/>
              <w:ind w:left="0" w:right="0" w:hanging="0"/>
              <w:jc w:val="left"/>
              <w:rPr/>
            </w:pPr>
            <w:r>
              <w:rPr/>
              <w:t>​</w:t>
            </w:r>
          </w:p>
        </w:tc>
      </w:tr>
      <w:tr>
        <w:trPr/>
        <w:tc>
          <w:tcPr>
            <w:tcW w:w="4581"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Robotics assets </w:t>
            </w:r>
            <w:r>
              <w:rPr>
                <w:rFonts w:ascii="Arial;Helvetica;sans-serif" w:hAnsi="Arial;Helvetica;sans-serif"/>
                <w:sz w:val="15"/>
              </w:rPr>
              <w:t>(3)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 / 76</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46 / 58</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34" w:type="dxa"/>
            <w:tcBorders/>
            <w:vAlign w:val="center"/>
          </w:tcPr>
          <w:p>
            <w:pPr>
              <w:pStyle w:val="TableContents"/>
              <w:bidi w:val="0"/>
              <w:spacing w:before="0" w:after="1"/>
              <w:ind w:left="0" w:right="0" w:hanging="0"/>
              <w:jc w:val="left"/>
              <w:rPr/>
            </w:pPr>
            <w:r>
              <w:rPr/>
              <w:t>​</w:t>
            </w:r>
          </w:p>
        </w:tc>
      </w:tr>
      <w:tr>
        <w:trPr/>
        <w:tc>
          <w:tcPr>
            <w:tcW w:w="458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Chartered Robotics vessels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 / 97</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 / 96</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34" w:type="dxa"/>
            <w:tcBorders/>
            <w:shd w:fill="CCEEFF" w:val="clear"/>
            <w:vAlign w:val="center"/>
          </w:tcPr>
          <w:p>
            <w:pPr>
              <w:pStyle w:val="TableContents"/>
              <w:bidi w:val="0"/>
              <w:spacing w:before="0" w:after="1"/>
              <w:ind w:left="0" w:right="0" w:hanging="0"/>
              <w:jc w:val="left"/>
              <w:rPr/>
            </w:pPr>
            <w:r>
              <w:rPr/>
              <w:t>​</w:t>
            </w:r>
          </w:p>
        </w:tc>
      </w:tr>
      <w:tr>
        <w:trPr/>
        <w:tc>
          <w:tcPr>
            <w:tcW w:w="4581"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Shallow Water Abandonment vessels </w:t>
            </w:r>
            <w:r>
              <w:rPr>
                <w:rFonts w:ascii="Arial;Helvetica;sans-serif" w:hAnsi="Arial;Helvetica;sans-serif"/>
                <w:sz w:val="15"/>
              </w:rPr>
              <w:t>(4)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 / 58</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 / 78</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34" w:type="dxa"/>
            <w:tcBorders/>
            <w:vAlign w:val="center"/>
          </w:tcPr>
          <w:p>
            <w:pPr>
              <w:pStyle w:val="TableContents"/>
              <w:bidi w:val="0"/>
              <w:spacing w:before="0" w:after="1"/>
              <w:ind w:left="0" w:right="0" w:hanging="0"/>
              <w:jc w:val="left"/>
              <w:rPr/>
            </w:pPr>
            <w:r>
              <w:rPr/>
              <w:t>​</w:t>
            </w:r>
          </w:p>
        </w:tc>
      </w:tr>
      <w:tr>
        <w:trPr/>
        <w:tc>
          <w:tcPr>
            <w:tcW w:w="4581" w:type="dxa"/>
            <w:tcBorders/>
            <w:shd w:fill="CCEEFF" w:val="clear"/>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Shallow Water Abandonment systems </w:t>
            </w:r>
            <w:r>
              <w:rPr>
                <w:rFonts w:ascii="Arial;Helvetica;sans-serif" w:hAnsi="Arial;Helvetica;sans-serif"/>
                <w:sz w:val="15"/>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 / 27</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 / 81</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34" w:type="dxa"/>
            <w:tcBorders/>
            <w:shd w:fill="CCEEFF" w:val="clear"/>
            <w:vAlign w:val="center"/>
          </w:tcPr>
          <w:p>
            <w:pPr>
              <w:pStyle w:val="TableContents"/>
              <w:bidi w:val="0"/>
              <w:spacing w:before="0" w:after="1"/>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90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Represents the number of vessels, Robotics assets or Shallow Water Abandonment systems as of the end of the period, including spot vessels and those under term charters, and excluding acquired vessels prior to their in-service dates, vessels managed on behalf of third parties and vessels or assets disposed of and/or taken out of service.</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30</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90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Represents the average utilization rate, which is calculated by dividing the total number of days the vessels, Robotics assets or Shallow Water Abandonment systems generated revenues by the total number of calendar days in the applicable period. Utilization rates of chartered Robotics vessels during the three-month periods ended June 30, 2024 and 2023 included 91 and 113 spot vessel days, respectively, at near full utilization.</w:t>
            </w:r>
          </w:p>
        </w:tc>
      </w:tr>
    </w:tbl>
    <w:tbl>
      <w:tblPr>
        <w:tblW w:w="5207" w:type="dxa"/>
        <w:jc w:val="left"/>
        <w:tblInd w:w="0" w:type="dxa"/>
        <w:tblLayout w:type="fixed"/>
        <w:tblCellMar>
          <w:top w:w="0" w:type="dxa"/>
          <w:left w:w="0" w:type="dxa"/>
          <w:bottom w:w="0" w:type="dxa"/>
          <w:right w:w="0" w:type="dxa"/>
        </w:tblCellMar>
      </w:tblPr>
      <w:tblGrid>
        <w:gridCol w:w="346"/>
        <w:gridCol w:w="4861"/>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486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Consists of ROVs, trenchers and IROV boulder grabs.</w:t>
            </w:r>
          </w:p>
        </w:tc>
      </w:tr>
    </w:tbl>
    <w:tbl>
      <w:tblPr>
        <w:tblW w:w="7277" w:type="dxa"/>
        <w:jc w:val="left"/>
        <w:tblInd w:w="0" w:type="dxa"/>
        <w:tblLayout w:type="fixed"/>
        <w:tblCellMar>
          <w:top w:w="0" w:type="dxa"/>
          <w:left w:w="0" w:type="dxa"/>
          <w:bottom w:w="0" w:type="dxa"/>
          <w:right w:w="0" w:type="dxa"/>
        </w:tblCellMar>
      </w:tblPr>
      <w:tblGrid>
        <w:gridCol w:w="346"/>
        <w:gridCol w:w="6931"/>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w:t>
            </w:r>
          </w:p>
        </w:tc>
        <w:tc>
          <w:tcPr>
            <w:tcW w:w="693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Consists of liftboats, OSVs, DSVs, a heavy lift derrick barge and a crew boat.</w:t>
            </w:r>
          </w:p>
        </w:tc>
      </w:tr>
    </w:tbl>
    <w:tbl>
      <w:tblPr>
        <w:tblW w:w="3512" w:type="dxa"/>
        <w:jc w:val="left"/>
        <w:tblInd w:w="0" w:type="dxa"/>
        <w:tblLayout w:type="fixed"/>
        <w:tblCellMar>
          <w:top w:w="0" w:type="dxa"/>
          <w:left w:w="0" w:type="dxa"/>
          <w:bottom w:w="0" w:type="dxa"/>
          <w:right w:w="0" w:type="dxa"/>
        </w:tblCellMar>
      </w:tblPr>
      <w:tblGrid>
        <w:gridCol w:w="346"/>
        <w:gridCol w:w="3166"/>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w:t>
            </w:r>
          </w:p>
        </w:tc>
        <w:tc>
          <w:tcPr>
            <w:tcW w:w="316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Consists of P&amp;A and CT systems.</w:t>
            </w:r>
          </w:p>
        </w:tc>
      </w:tr>
    </w:tbl>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Intercompany segment amounts are derived primarily from equipment and services provided to other business segments. Intercompany segment revenues are as follows (in thousands):</w:t>
      </w:r>
    </w:p>
    <w:p>
      <w:pPr>
        <w:pStyle w:val="TextBody"/>
        <w:bidi w:val="0"/>
        <w:spacing w:before="0" w:after="240"/>
        <w:ind w:left="0" w:right="0" w:firstLine="720"/>
        <w:jc w:val="left"/>
        <w:rPr/>
      </w:pPr>
      <w:r>
        <w:rPr/>
        <w:t>​</w:t>
      </w:r>
    </w:p>
    <w:tbl>
      <w:tblPr>
        <w:tblW w:w="6518" w:type="dxa"/>
        <w:jc w:val="left"/>
        <w:tblInd w:w="0" w:type="dxa"/>
        <w:tblLayout w:type="fixed"/>
        <w:tblCellMar>
          <w:top w:w="0" w:type="dxa"/>
          <w:left w:w="0" w:type="dxa"/>
          <w:bottom w:w="0" w:type="dxa"/>
          <w:right w:w="0" w:type="dxa"/>
        </w:tblCellMar>
      </w:tblPr>
      <w:tblGrid>
        <w:gridCol w:w="2626"/>
        <w:gridCol w:w="326"/>
        <w:gridCol w:w="211"/>
        <w:gridCol w:w="691"/>
        <w:gridCol w:w="326"/>
        <w:gridCol w:w="211"/>
        <w:gridCol w:w="691"/>
        <w:gridCol w:w="326"/>
        <w:gridCol w:w="254"/>
        <w:gridCol w:w="856"/>
      </w:tblGrid>
      <w:tr>
        <w:trPr/>
        <w:tc>
          <w:tcPr>
            <w:tcW w:w="26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07010" cy="175260"/>
                      <wp:effectExtent l="0" t="0" r="0" b="0"/>
                      <wp:wrapNone/>
                      <wp:docPr id="342" name="Frame3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133985" cy="175260"/>
                      <wp:effectExtent l="0" t="0" r="0" b="0"/>
                      <wp:wrapNone/>
                      <wp:docPr id="343" name="Frame3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438785" cy="175260"/>
                      <wp:effectExtent l="0" t="0" r="0" b="0"/>
                      <wp:wrapNone/>
                      <wp:docPr id="344" name="Frame34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07010" cy="175260"/>
                      <wp:effectExtent l="0" t="0" r="0" b="0"/>
                      <wp:wrapNone/>
                      <wp:docPr id="345" name="Frame3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33985" cy="175260"/>
                      <wp:effectExtent l="0" t="0" r="0" b="0"/>
                      <wp:wrapNone/>
                      <wp:docPr id="346" name="Frame3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438785" cy="175260"/>
                      <wp:effectExtent l="0" t="0" r="0" b="0"/>
                      <wp:wrapNone/>
                      <wp:docPr id="347" name="Frame34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07010" cy="175260"/>
                      <wp:effectExtent l="0" t="0" r="0" b="0"/>
                      <wp:wrapNone/>
                      <wp:docPr id="348" name="Frame3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61290" cy="175260"/>
                      <wp:effectExtent l="0" t="0" r="0" b="0"/>
                      <wp:wrapNone/>
                      <wp:docPr id="349" name="Frame348"/>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543560" cy="175260"/>
                      <wp:effectExtent l="0" t="0" r="0" b="0"/>
                      <wp:wrapNone/>
                      <wp:docPr id="350" name="Frame349"/>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30"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Three Months Ended </w:t>
            </w:r>
          </w:p>
        </w:tc>
        <w:tc>
          <w:tcPr>
            <w:tcW w:w="326" w:type="dxa"/>
            <w:tcBorders/>
            <w:vAlign w:val="center"/>
          </w:tcPr>
          <w:p>
            <w:pPr>
              <w:pStyle w:val="TableContents"/>
              <w:bidi w:val="0"/>
              <w:spacing w:before="0" w:after="1"/>
              <w:ind w:left="0" w:right="0" w:hanging="0"/>
              <w:jc w:val="center"/>
              <w:rPr/>
            </w:pPr>
            <w:r>
              <w:rPr/>
              <w:t>​</w:t>
            </w:r>
          </w:p>
        </w:tc>
        <w:tc>
          <w:tcPr>
            <w:tcW w:w="254"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center"/>
              <w:rPr/>
            </w:pPr>
            <w:r>
              <w:rPr/>
              <w:t>​</w:t>
            </w:r>
          </w:p>
        </w:tc>
      </w:tr>
      <w:tr>
        <w:trPr/>
        <w:tc>
          <w:tcPr>
            <w:tcW w:w="26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w:t>
            </w:r>
          </w:p>
        </w:tc>
        <w:tc>
          <w:tcPr>
            <w:tcW w:w="326" w:type="dxa"/>
            <w:tcBorders/>
            <w:vAlign w:val="center"/>
          </w:tcPr>
          <w:p>
            <w:pPr>
              <w:pStyle w:val="TableContents"/>
              <w:bidi w:val="0"/>
              <w:spacing w:before="0" w:after="1"/>
              <w:ind w:left="0" w:right="0" w:hanging="0"/>
              <w:jc w:val="center"/>
              <w:rPr/>
            </w:pPr>
            <w:r>
              <w:rPr/>
              <w:t>​</w:t>
            </w:r>
          </w:p>
        </w:tc>
        <w:tc>
          <w:tcPr>
            <w:tcW w:w="1110"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Increase/</w:t>
            </w:r>
          </w:p>
        </w:tc>
      </w:tr>
      <w:tr>
        <w:trPr/>
        <w:tc>
          <w:tcPr>
            <w:tcW w:w="26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326" w:type="dxa"/>
            <w:tcBorders/>
            <w:vAlign w:val="center"/>
          </w:tcPr>
          <w:p>
            <w:pPr>
              <w:pStyle w:val="TableContents"/>
              <w:bidi w:val="0"/>
              <w:spacing w:before="0" w:after="1"/>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c>
          <w:tcPr>
            <w:tcW w:w="326" w:type="dxa"/>
            <w:tcBorders/>
            <w:vAlign w:val="center"/>
          </w:tcPr>
          <w:p>
            <w:pPr>
              <w:pStyle w:val="TableContents"/>
              <w:bidi w:val="0"/>
              <w:spacing w:before="0" w:after="1"/>
              <w:ind w:left="0" w:right="0" w:hanging="0"/>
              <w:jc w:val="center"/>
              <w:rPr/>
            </w:pPr>
            <w:r>
              <w:rPr/>
              <w:t>    </w:t>
            </w:r>
          </w:p>
        </w:tc>
        <w:tc>
          <w:tcPr>
            <w:tcW w:w="11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(Decrease)</w:t>
            </w:r>
          </w:p>
        </w:tc>
      </w:tr>
      <w:tr>
        <w:trPr/>
        <w:tc>
          <w:tcPr>
            <w:tcW w:w="262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Well Intervention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6,918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6,873</w:t>
            </w:r>
          </w:p>
        </w:tc>
        <w:tc>
          <w:tcPr>
            <w:tcW w:w="326"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45</w:t>
            </w:r>
          </w:p>
        </w:tc>
      </w:tr>
      <w:tr>
        <w:trPr/>
        <w:tc>
          <w:tcPr>
            <w:tcW w:w="262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Robotics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10,348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7,989</w:t>
            </w:r>
          </w:p>
        </w:tc>
        <w:tc>
          <w:tcPr>
            <w:tcW w:w="326"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2,359</w:t>
            </w:r>
          </w:p>
        </w:tc>
      </w:tr>
      <w:tr>
        <w:trPr/>
        <w:tc>
          <w:tcPr>
            <w:tcW w:w="262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Shallow Water Abandonment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w:t>
            </w:r>
          </w:p>
        </w:tc>
        <w:tc>
          <w:tcPr>
            <w:tcW w:w="326" w:type="dxa"/>
            <w:tcBorders/>
            <w:shd w:fill="CCEEFF" w:val="clear"/>
            <w:vAlign w:val="center"/>
          </w:tcPr>
          <w:p>
            <w:pPr>
              <w:pStyle w:val="TableContents"/>
              <w:bidi w:val="0"/>
              <w:spacing w:before="0" w:after="1"/>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80</w:t>
            </w:r>
          </w:p>
        </w:tc>
      </w:tr>
      <w:tr>
        <w:trPr/>
        <w:tc>
          <w:tcPr>
            <w:tcW w:w="26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17,372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14,888</w:t>
            </w:r>
          </w:p>
        </w:tc>
        <w:tc>
          <w:tcPr>
            <w:tcW w:w="326" w:type="dxa"/>
            <w:tcBorders/>
            <w:vAlign w:val="center"/>
          </w:tcPr>
          <w:p>
            <w:pPr>
              <w:pStyle w:val="TableContents"/>
              <w:bidi w:val="0"/>
              <w:spacing w:before="0" w:after="1"/>
              <w:ind w:left="0" w:right="0" w:hanging="0"/>
              <w:jc w:val="left"/>
              <w:rPr/>
            </w:pPr>
            <w:r>
              <w:rPr/>
              <w:t>​</w:t>
            </w:r>
          </w:p>
        </w:tc>
        <w:tc>
          <w:tcPr>
            <w:tcW w:w="254"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bottom w:val="double" w:sz="6" w:space="0" w:color="000000"/>
            </w:tcBorders>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2,484</w:t>
            </w:r>
          </w:p>
        </w:tc>
      </w:tr>
    </w:tbl>
    <w:p>
      <w:pPr>
        <w:pStyle w:val="TextBody"/>
        <w:bidi w:val="0"/>
        <w:spacing w:before="0" w:after="240"/>
        <w:ind w:left="0" w:right="0" w:hanging="0"/>
        <w:jc w:val="left"/>
        <w:rPr/>
      </w:pPr>
      <w:r>
        <w:rPr/>
        <w: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b/>
          <w:i/>
          <w:sz w:val="20"/>
        </w:rPr>
        <w:t xml:space="preserve">Net Revenues. </w:t>
      </w:r>
      <w:r>
        <w:rPr>
          <w:rFonts w:ascii="Arial;Helvetica;sans-serif" w:hAnsi="Arial;Helvetica;sans-serif"/>
          <w:sz w:val="20"/>
        </w:rPr>
        <w:t>Our consolidated net revenues for the three-month period ended June 30, 2024 increased by 18% as compared to the same period in 2023, reflecting higher revenues in our Well Intervention, Robotics and Production Facilities business segments, offset in part by lower revenues in our Shallow Water Abandonment segment.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Our Well Intervention revenues increased by 46% for the three-month period ended June 30, 2024 as compared to the same period in 2023, primarily reflecting higher utilization and rates in the Gulf of Mexico, higher rates on the </w:t>
      </w:r>
      <w:r>
        <w:rPr>
          <w:rFonts w:ascii="Arial;Helvetica;sans-serif" w:hAnsi="Arial;Helvetica;sans-serif"/>
          <w:i/>
          <w:sz w:val="20"/>
        </w:rPr>
        <w:t>Seawell</w:t>
      </w:r>
      <w:r>
        <w:rPr>
          <w:rFonts w:ascii="Arial;Helvetica;sans-serif" w:hAnsi="Arial;Helvetica;sans-serif"/>
          <w:sz w:val="20"/>
        </w:rPr>
        <w:t xml:space="preserve"> and higher revenues on the </w:t>
      </w:r>
      <w:r>
        <w:rPr>
          <w:rFonts w:ascii="Arial;Helvetica;sans-serif" w:hAnsi="Arial;Helvetica;sans-serif"/>
          <w:i/>
          <w:sz w:val="20"/>
        </w:rPr>
        <w:t>Q7000</w:t>
      </w:r>
      <w:r>
        <w:rPr>
          <w:rFonts w:ascii="Arial;Helvetica;sans-serif" w:hAnsi="Arial;Helvetica;sans-serif"/>
          <w:sz w:val="20"/>
        </w:rPr>
        <w:t xml:space="preserve">. Both the </w:t>
      </w:r>
      <w:r>
        <w:rPr>
          <w:rFonts w:ascii="Arial;Helvetica;sans-serif" w:hAnsi="Arial;Helvetica;sans-serif"/>
          <w:i/>
          <w:sz w:val="20"/>
        </w:rPr>
        <w:t>Q4000</w:t>
      </w:r>
      <w:r>
        <w:rPr>
          <w:rFonts w:ascii="Arial;Helvetica;sans-serif" w:hAnsi="Arial;Helvetica;sans-serif"/>
          <w:sz w:val="20"/>
        </w:rPr>
        <w:t xml:space="preserve"> and the </w:t>
      </w:r>
      <w:r>
        <w:rPr>
          <w:rFonts w:ascii="Arial;Helvetica;sans-serif" w:hAnsi="Arial;Helvetica;sans-serif"/>
          <w:i/>
          <w:sz w:val="20"/>
        </w:rPr>
        <w:t>Q5000</w:t>
      </w:r>
      <w:r>
        <w:rPr>
          <w:rFonts w:ascii="Arial;Helvetica;sans-serif" w:hAnsi="Arial;Helvetica;sans-serif"/>
          <w:sz w:val="20"/>
        </w:rPr>
        <w:t xml:space="preserve"> generated higher day rates in the Gulf of Mexico during the second quarter 2024. The </w:t>
      </w:r>
      <w:r>
        <w:rPr>
          <w:rFonts w:ascii="Arial;Helvetica;sans-serif" w:hAnsi="Arial;Helvetica;sans-serif"/>
          <w:i/>
          <w:sz w:val="20"/>
        </w:rPr>
        <w:t>Q4000</w:t>
      </w:r>
      <w:r>
        <w:rPr>
          <w:rFonts w:ascii="Arial;Helvetica;sans-serif" w:hAnsi="Arial;Helvetica;sans-serif"/>
          <w:sz w:val="20"/>
        </w:rPr>
        <w:t xml:space="preserve"> had higher utilization during the second quarter 2024 as the vessel spent most of the second quarter 2023 on its regulatory dry dock. The </w:t>
      </w:r>
      <w:r>
        <w:rPr>
          <w:rFonts w:ascii="Arial;Helvetica;sans-serif" w:hAnsi="Arial;Helvetica;sans-serif"/>
          <w:i/>
          <w:sz w:val="20"/>
        </w:rPr>
        <w:t>Seawell</w:t>
      </w:r>
      <w:r>
        <w:rPr>
          <w:rFonts w:ascii="Arial;Helvetica;sans-serif" w:hAnsi="Arial;Helvetica;sans-serif"/>
          <w:sz w:val="20"/>
        </w:rPr>
        <w:t xml:space="preserve"> benefitted from being contracted in the western Mediterranean at higher rates during most of the second quarter 2024.The </w:t>
      </w:r>
      <w:r>
        <w:rPr>
          <w:rFonts w:ascii="Arial;Helvetica;sans-serif" w:hAnsi="Arial;Helvetica;sans-serif"/>
          <w:i/>
          <w:sz w:val="20"/>
        </w:rPr>
        <w:t>Q7000</w:t>
      </w:r>
      <w:r>
        <w:rPr>
          <w:rFonts w:ascii="Arial;Helvetica;sans-serif" w:hAnsi="Arial;Helvetica;sans-serif"/>
          <w:sz w:val="20"/>
        </w:rPr>
        <w:t xml:space="preserve"> had a full quarter of utilization during the second quarter 2024 whereas the vessel recognized revenues over approximately 27 days during the second quarter 2023 following its paid transit and mobilization to the Asia Pacific region, a period during which revenues were deferred and not recognized. </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Robotics revenues increased by 16% for the three-month period ended June 30, 2024 as compared to the same period in 2023, primarily reflecting higher chartered vessel days and trenching and ROV activities during the second quarter 2024. Chartered vessel days increased to 528 days during the second quarter 2024 as compared to 435 days during the second quarter 2023. ROV and trencher utilization increased to 76% in the second quarter 2024 from 58% during the second quarter 2023 and included 232 days of integrated vessel trenching in the second quarter 2024 as compared to 194 days in the second quarter 2023.</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Shallow Water Abandonment revenues decreased by 33% for the three-month period ended June 30, 2024 as compared to the same period in 2023. The decrease in revenues was due to lower activity levels and an overall softer Gulf of Mexico shelf market in 2024, resulting in lower vessel and system utilization during the second quarter 2024 as compared to the second quarter 2023. Overall vessel utilization was 58% during the second quarter 2024 as compared to 78% during the second quarter 2023. P&amp;A systems and CT systems achieved 632 days of utilization, or 27% on 26 systems, during the second quarter 2024 as compared to 1,554 days of utilization, or 81% on 21 systems, during the second quarter 2023.</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Production Facilities revenues increased by 10% for the three-month period ended June 30, 2024 as compared to the same period in 2023, primarily reflecting higher oil and gas production during the second quarter 2024 whereas both the Droshky and Thunder Hawk wells were shut in for planned maintenance during portions of the second quarter 2023.</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31</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b/>
          <w:i/>
          <w:sz w:val="20"/>
        </w:rPr>
        <w:t xml:space="preserve">Gross Profit (Loss). </w:t>
      </w:r>
      <w:r>
        <w:rPr>
          <w:rFonts w:ascii="Arial;Helvetica;sans-serif" w:hAnsi="Arial;Helvetica;sans-serif"/>
          <w:sz w:val="20"/>
        </w:rPr>
        <w:t>Our consolidated gross profit increased by $20.1 million for the three-month period ended June 30, 2024 as compared to the same period in 2023, primarily reflecting increased profits from our Well Intervention, Robotics and Production Facilities business segments, offset in part by a reduction in profit from our Shallow Water Abandonment segment.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Well Intervention segment gross profit increased by $26.6 million for the three-month period ended June 30, 2024 as compared to the same period in 2023, primarily reflecting higher segment revenues and increased activity levels.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Robotics gross profit increased by $11.4 million for the three-month period ended June 30, 2024 as compared to the same period in 2023, primarily reflecting higher revenues and higher profit margin projects during the second quarter 2024.</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Shallow Water Abandonment gross profit decreased by $19.3 million for the three-month period ended June 30, 2024 as compared to the same period in 2023, primarily reflecting lower segment revenues.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Production Facilities gross profit increased by $1.2 million for the three-month period ended June 30, 2024 as compared to the same period in 2023, primarily reflecting higher segment revenues.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b/>
          <w:i/>
          <w:sz w:val="20"/>
        </w:rPr>
        <w:t xml:space="preserve">Change in Fair Value of Contingent Consideration. </w:t>
      </w:r>
      <w:r>
        <w:rPr>
          <w:rFonts w:ascii="Arial;Helvetica;sans-serif" w:hAnsi="Arial;Helvetica;sans-serif"/>
          <w:sz w:val="20"/>
        </w:rPr>
        <w:t>The change in fair value of contingent consideration in the second quarter 2023 reflected an improvement in Helix Alliance’s results during the quarter. We entered into an agreement and set the final earn-out during the fourth quarter 2023, which was paid on April 3, 2024.</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b/>
          <w:i/>
          <w:sz w:val="20"/>
        </w:rPr>
        <w:t xml:space="preserve">Selling, General and Administrative Expenses. </w:t>
      </w:r>
      <w:r>
        <w:rPr>
          <w:rFonts w:ascii="Arial;Helvetica;sans-serif" w:hAnsi="Arial;Helvetica;sans-serif"/>
          <w:sz w:val="20"/>
        </w:rPr>
        <w:t>Our selling, general and administrative expenses were $22.3 million for the three-month period ended June 30, 2024 as compared to $24.0 million for the same period in 2023, primarily reflecting lower employee compensation costs.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b/>
          <w:i/>
          <w:sz w:val="20"/>
        </w:rPr>
        <w:t xml:space="preserve">Net Interest Expense. </w:t>
      </w:r>
      <w:r>
        <w:rPr>
          <w:rFonts w:ascii="Arial;Helvetica;sans-serif" w:hAnsi="Arial;Helvetica;sans-serif"/>
          <w:sz w:val="20"/>
        </w:rPr>
        <w:t>Our net interest expense totaled $5.9 million for the three-month period ended June 30, 2024 as compared to $4.2 million for the same period in 2023, primarily reflecting interest expense on our 2029 Notes, offset in part by higher interest income on our invested cash reserves (Note 5).</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b/>
          <w:i/>
          <w:sz w:val="20"/>
        </w:rPr>
        <w:t xml:space="preserve">Other Expense, Net. </w:t>
      </w:r>
      <w:r>
        <w:rPr>
          <w:rFonts w:ascii="Arial;Helvetica;sans-serif" w:hAnsi="Arial;Helvetica;sans-serif"/>
          <w:sz w:val="20"/>
        </w:rPr>
        <w:t>Net other expense was $0.4 million for the three-month period ended June 30, 2024 as compared to net other expense of $5.7 million for the same period in 2023. Net other expense during the second quarter 2023 primarily reflected an $11.7 million foreign currency loss related to the devaluation of the Nigerian naira on our naira cash holdings, offset in part by foreign currency gains due to the strengthening of the British pound primarily on U.S. dollar denominated intercompany debt in our U.K. entities.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b/>
          <w:i/>
          <w:sz w:val="20"/>
        </w:rPr>
        <w:t xml:space="preserve">Income Tax Provision. </w:t>
      </w:r>
      <w:r>
        <w:rPr>
          <w:rFonts w:ascii="Arial;Helvetica;sans-serif" w:hAnsi="Arial;Helvetica;sans-serif"/>
          <w:sz w:val="20"/>
        </w:rPr>
        <w:t>Income tax provision was $14.7 million for the three-month period ended June 30, 2024 as compared to $3.3 million for the same period in 2023. The effective tax rates for the three-month periods ended June 30, 2024 and 2023 were 31.3% and 31.8%, respectively. The increase in income tax expense was primarily attributable to higher net income.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32</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Comparison of Six Months Ended June 30, 2024 and 2023</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We have four reportable business segments: Well Intervention, Robotics, Shallow Water Abandonment and Production Facilities. All material intercompany transactions between the segments have been eliminated in our condensed consolidated financial statements, including our condensed consolidated results of operations. The following table details various financial and operational highlights for the periods presented (dollars in thousands):</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4557"/>
        <w:gridCol w:w="326"/>
        <w:gridCol w:w="211"/>
        <w:gridCol w:w="802"/>
        <w:gridCol w:w="406"/>
        <w:gridCol w:w="211"/>
        <w:gridCol w:w="802"/>
        <w:gridCol w:w="406"/>
        <w:gridCol w:w="211"/>
        <w:gridCol w:w="802"/>
        <w:gridCol w:w="326"/>
        <w:gridCol w:w="811"/>
        <w:gridCol w:w="334"/>
      </w:tblGrid>
      <w:tr>
        <w:trPr/>
        <w:tc>
          <w:tcPr>
            <w:tcW w:w="455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07010" cy="175260"/>
                      <wp:effectExtent l="0" t="0" r="0" b="0"/>
                      <wp:wrapNone/>
                      <wp:docPr id="351" name="Frame3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133985" cy="175260"/>
                      <wp:effectExtent l="0" t="0" r="0" b="0"/>
                      <wp:wrapNone/>
                      <wp:docPr id="352" name="Frame3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509270" cy="175260"/>
                      <wp:effectExtent l="0" t="0" r="0" b="0"/>
                      <wp:wrapNone/>
                      <wp:docPr id="353" name="Frame352"/>
                      <a:graphic xmlns:a="http://schemas.openxmlformats.org/drawingml/2006/main">
                        <a:graphicData uri="http://schemas.microsoft.com/office/word/2010/wordprocessingShape">
                          <wps:wsp>
                            <wps:cNvSpPr txBox="1"/>
                            <wps:spPr>
                              <a:xfrm>
                                <a:off x="0" y="0"/>
                                <a:ext cx="509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57810" cy="175260"/>
                      <wp:effectExtent l="0" t="0" r="0" b="0"/>
                      <wp:wrapNone/>
                      <wp:docPr id="354" name="Frame353"/>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133985" cy="175260"/>
                      <wp:effectExtent l="0" t="0" r="0" b="0"/>
                      <wp:wrapNone/>
                      <wp:docPr id="355" name="Frame3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509270" cy="175260"/>
                      <wp:effectExtent l="0" t="0" r="0" b="0"/>
                      <wp:wrapNone/>
                      <wp:docPr id="356" name="Frame355"/>
                      <a:graphic xmlns:a="http://schemas.openxmlformats.org/drawingml/2006/main">
                        <a:graphicData uri="http://schemas.microsoft.com/office/word/2010/wordprocessingShape">
                          <wps:wsp>
                            <wps:cNvSpPr txBox="1"/>
                            <wps:spPr>
                              <a:xfrm>
                                <a:off x="0" y="0"/>
                                <a:ext cx="509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57810" cy="175260"/>
                      <wp:effectExtent l="0" t="0" r="0" b="0"/>
                      <wp:wrapNone/>
                      <wp:docPr id="357" name="Frame356"/>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133985" cy="175260"/>
                      <wp:effectExtent l="0" t="0" r="0" b="0"/>
                      <wp:wrapNone/>
                      <wp:docPr id="358" name="Frame3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509270" cy="175260"/>
                      <wp:effectExtent l="0" t="0" r="0" b="0"/>
                      <wp:wrapNone/>
                      <wp:docPr id="359" name="Frame358"/>
                      <a:graphic xmlns:a="http://schemas.openxmlformats.org/drawingml/2006/main">
                        <a:graphicData uri="http://schemas.microsoft.com/office/word/2010/wordprocessingShape">
                          <wps:wsp>
                            <wps:cNvSpPr txBox="1"/>
                            <wps:spPr>
                              <a:xfrm>
                                <a:off x="0" y="0"/>
                                <a:ext cx="509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07010" cy="175260"/>
                      <wp:effectExtent l="0" t="0" r="0" b="0"/>
                      <wp:wrapNone/>
                      <wp:docPr id="360" name="Frame3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514985" cy="175260"/>
                      <wp:effectExtent l="0" t="0" r="0" b="0"/>
                      <wp:wrapNone/>
                      <wp:docPr id="361" name="Frame360"/>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212090" cy="175260"/>
                      <wp:effectExtent l="0" t="0" r="0" b="0"/>
                      <wp:wrapNone/>
                      <wp:docPr id="362" name="Frame361"/>
                      <a:graphic xmlns:a="http://schemas.openxmlformats.org/drawingml/2006/main">
                        <a:graphicData uri="http://schemas.microsoft.com/office/word/2010/wordprocessingShape">
                          <wps:wsp>
                            <wps:cNvSpPr txBox="1"/>
                            <wps:spPr>
                              <a:xfrm>
                                <a:off x="0" y="0"/>
                                <a:ext cx="2120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5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32"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Six Months Ended </w:t>
            </w:r>
          </w:p>
        </w:tc>
        <w:tc>
          <w:tcPr>
            <w:tcW w:w="406" w:type="dxa"/>
            <w:tcBorders/>
            <w:vAlign w:val="center"/>
          </w:tcPr>
          <w:p>
            <w:pPr>
              <w:pStyle w:val="TableContents"/>
              <w:bidi w:val="0"/>
              <w:spacing w:before="0" w:after="1"/>
              <w:ind w:left="0" w:right="0" w:hanging="0"/>
              <w:jc w:val="left"/>
              <w:rPr/>
            </w:pPr>
            <w:r>
              <w:rPr/>
              <w:t>​</w:t>
            </w:r>
          </w:p>
        </w:tc>
        <w:tc>
          <w:tcPr>
            <w:tcW w:w="2150" w:type="dxa"/>
            <w:gridSpan w:val="4"/>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Increase/</w:t>
            </w:r>
          </w:p>
        </w:tc>
        <w:tc>
          <w:tcPr>
            <w:tcW w:w="334" w:type="dxa"/>
            <w:tcBorders/>
            <w:vAlign w:val="center"/>
          </w:tcPr>
          <w:p>
            <w:pPr>
              <w:pStyle w:val="TableContents"/>
              <w:bidi w:val="0"/>
              <w:spacing w:before="0" w:after="1"/>
              <w:ind w:left="0" w:right="0" w:hanging="0"/>
              <w:jc w:val="center"/>
              <w:rPr/>
            </w:pPr>
            <w:r>
              <w:rPr/>
              <w:t> </w:t>
            </w:r>
          </w:p>
        </w:tc>
      </w:tr>
      <w:tr>
        <w:trPr/>
        <w:tc>
          <w:tcPr>
            <w:tcW w:w="455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3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w:t>
            </w:r>
          </w:p>
        </w:tc>
        <w:tc>
          <w:tcPr>
            <w:tcW w:w="406" w:type="dxa"/>
            <w:tcBorders/>
            <w:vAlign w:val="center"/>
          </w:tcPr>
          <w:p>
            <w:pPr>
              <w:pStyle w:val="TableContents"/>
              <w:bidi w:val="0"/>
              <w:spacing w:before="0" w:after="1"/>
              <w:ind w:left="0" w:right="0" w:hanging="0"/>
              <w:jc w:val="left"/>
              <w:rPr/>
            </w:pPr>
            <w:r>
              <w:rPr/>
              <w:t>​</w:t>
            </w:r>
          </w:p>
        </w:tc>
        <w:tc>
          <w:tcPr>
            <w:tcW w:w="2150"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(Decrease)</w:t>
            </w:r>
          </w:p>
        </w:tc>
        <w:tc>
          <w:tcPr>
            <w:tcW w:w="334" w:type="dxa"/>
            <w:tcBorders/>
            <w:vAlign w:val="center"/>
          </w:tcPr>
          <w:p>
            <w:pPr>
              <w:pStyle w:val="TableContents"/>
              <w:bidi w:val="0"/>
              <w:spacing w:before="0" w:after="1"/>
              <w:ind w:left="0" w:right="0" w:hanging="0"/>
              <w:jc w:val="center"/>
              <w:rPr/>
            </w:pPr>
            <w:r>
              <w:rPr/>
              <w:t> </w:t>
            </w:r>
          </w:p>
        </w:tc>
      </w:tr>
      <w:tr>
        <w:trPr/>
        <w:tc>
          <w:tcPr>
            <w:tcW w:w="455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1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406" w:type="dxa"/>
            <w:tcBorders/>
            <w:vAlign w:val="center"/>
          </w:tcPr>
          <w:p>
            <w:pPr>
              <w:pStyle w:val="TableContents"/>
              <w:bidi w:val="0"/>
              <w:spacing w:before="0" w:after="1"/>
              <w:ind w:left="0" w:right="0" w:hanging="0"/>
              <w:jc w:val="left"/>
              <w:rPr/>
            </w:pPr>
            <w:r>
              <w:rPr/>
              <w:t>    </w:t>
            </w:r>
          </w:p>
        </w:tc>
        <w:tc>
          <w:tcPr>
            <w:tcW w:w="101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c>
          <w:tcPr>
            <w:tcW w:w="406" w:type="dxa"/>
            <w:tcBorders/>
            <w:vAlign w:val="center"/>
          </w:tcPr>
          <w:p>
            <w:pPr>
              <w:pStyle w:val="TableContents"/>
              <w:bidi w:val="0"/>
              <w:spacing w:before="0" w:after="1"/>
              <w:ind w:left="0" w:right="0" w:hanging="0"/>
              <w:jc w:val="left"/>
              <w:rPr/>
            </w:pPr>
            <w:r>
              <w:rPr/>
              <w:t>    </w:t>
            </w:r>
          </w:p>
        </w:tc>
        <w:tc>
          <w:tcPr>
            <w:tcW w:w="101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Amount</w:t>
            </w:r>
          </w:p>
        </w:tc>
        <w:tc>
          <w:tcPr>
            <w:tcW w:w="326" w:type="dxa"/>
            <w:tcBorders/>
            <w:vAlign w:val="center"/>
          </w:tcPr>
          <w:p>
            <w:pPr>
              <w:pStyle w:val="TableContents"/>
              <w:bidi w:val="0"/>
              <w:spacing w:before="0" w:after="1"/>
              <w:ind w:left="0" w:right="0" w:hanging="0"/>
              <w:jc w:val="center"/>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Percent</w:t>
            </w:r>
          </w:p>
        </w:tc>
        <w:tc>
          <w:tcPr>
            <w:tcW w:w="334" w:type="dxa"/>
            <w:tcBorders/>
            <w:vAlign w:val="center"/>
          </w:tcPr>
          <w:p>
            <w:pPr>
              <w:pStyle w:val="TableContents"/>
              <w:bidi w:val="0"/>
              <w:spacing w:before="0" w:after="1"/>
              <w:ind w:left="0" w:right="0" w:hanging="0"/>
              <w:jc w:val="center"/>
              <w:rPr/>
            </w:pPr>
            <w:r>
              <w:rPr/>
              <w:t> </w:t>
            </w:r>
          </w:p>
        </w:tc>
      </w:tr>
      <w:tr>
        <w:trPr/>
        <w:tc>
          <w:tcPr>
            <w:tcW w:w="455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revenues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02"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02"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02"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34" w:type="dxa"/>
            <w:tcBorders/>
            <w:shd w:fill="CCEEFF" w:val="clear"/>
            <w:vAlign w:val="center"/>
          </w:tcPr>
          <w:p>
            <w:pPr>
              <w:pStyle w:val="TableContents"/>
              <w:bidi w:val="0"/>
              <w:spacing w:before="0" w:after="1"/>
              <w:ind w:left="0" w:right="0" w:hanging="0"/>
              <w:jc w:val="left"/>
              <w:rPr/>
            </w:pPr>
            <w:r>
              <w:rPr/>
              <w:t>​</w:t>
            </w:r>
          </w:p>
        </w:tc>
      </w:tr>
      <w:tr>
        <w:trPr/>
        <w:tc>
          <w:tcPr>
            <w:tcW w:w="455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Well Intervention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441,138</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296,659</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144,479</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49</w:t>
            </w:r>
          </w:p>
        </w:tc>
        <w:tc>
          <w:tcPr>
            <w:tcW w:w="33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455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Robotics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131,558</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119,272</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12,286</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w:t>
            </w:r>
          </w:p>
        </w:tc>
        <w:tc>
          <w:tcPr>
            <w:tcW w:w="33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455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Shallow Water Abandonment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77,694</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125,687</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(47,993)</w:t>
            </w:r>
          </w:p>
        </w:tc>
        <w:tc>
          <w:tcPr>
            <w:tcW w:w="32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w:t>
            </w:r>
          </w:p>
        </w:tc>
        <w:tc>
          <w:tcPr>
            <w:tcW w:w="33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455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Production Facilities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49,552</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44,033</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5,519</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w:t>
            </w:r>
          </w:p>
        </w:tc>
        <w:tc>
          <w:tcPr>
            <w:tcW w:w="33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455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Intercompany eliminations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(38,934)</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(26,750)</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(12,184)</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34" w:type="dxa"/>
            <w:tcBorders/>
            <w:vAlign w:val="center"/>
          </w:tcPr>
          <w:p>
            <w:pPr>
              <w:pStyle w:val="TableContents"/>
              <w:bidi w:val="0"/>
              <w:spacing w:before="0" w:after="1"/>
              <w:ind w:left="0" w:right="0" w:hanging="0"/>
              <w:jc w:val="left"/>
              <w:rPr/>
            </w:pPr>
            <w:r>
              <w:rPr/>
              <w:t>​</w:t>
            </w:r>
          </w:p>
        </w:tc>
      </w:tr>
      <w:tr>
        <w:trPr/>
        <w:tc>
          <w:tcPr>
            <w:tcW w:w="4557"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661,008</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558,901</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102,107</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w:t>
            </w:r>
          </w:p>
        </w:tc>
        <w:tc>
          <w:tcPr>
            <w:tcW w:w="33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455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34" w:type="dxa"/>
            <w:tcBorders/>
            <w:vAlign w:val="center"/>
          </w:tcPr>
          <w:p>
            <w:pPr>
              <w:pStyle w:val="TableContents"/>
              <w:bidi w:val="0"/>
              <w:spacing w:before="0" w:after="1"/>
              <w:ind w:left="0" w:right="0" w:hanging="0"/>
              <w:jc w:val="left"/>
              <w:rPr/>
            </w:pPr>
            <w:r>
              <w:rPr/>
              <w:t>​</w:t>
            </w:r>
          </w:p>
        </w:tc>
      </w:tr>
      <w:tr>
        <w:trPr/>
        <w:tc>
          <w:tcPr>
            <w:tcW w:w="455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Gross profit (loss)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34" w:type="dxa"/>
            <w:tcBorders/>
            <w:shd w:fill="CCEEFF" w:val="clear"/>
            <w:vAlign w:val="center"/>
          </w:tcPr>
          <w:p>
            <w:pPr>
              <w:pStyle w:val="TableContents"/>
              <w:bidi w:val="0"/>
              <w:spacing w:before="0" w:after="1"/>
              <w:ind w:left="0" w:right="0" w:hanging="0"/>
              <w:jc w:val="left"/>
              <w:rPr/>
            </w:pPr>
            <w:r>
              <w:rPr/>
              <w:t>​</w:t>
            </w:r>
          </w:p>
        </w:tc>
      </w:tr>
      <w:tr>
        <w:trPr/>
        <w:tc>
          <w:tcPr>
            <w:tcW w:w="455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Well Intervention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56,759</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2,612</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54,147</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2,073</w:t>
            </w:r>
          </w:p>
        </w:tc>
        <w:tc>
          <w:tcPr>
            <w:tcW w:w="33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455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Robotics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39,071</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26,531</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12,540</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w:t>
            </w:r>
          </w:p>
        </w:tc>
        <w:tc>
          <w:tcPr>
            <w:tcW w:w="33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455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Shallow Water Abandonment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(8,109)</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28,490</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(36,599)</w:t>
            </w:r>
          </w:p>
        </w:tc>
        <w:tc>
          <w:tcPr>
            <w:tcW w:w="32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(128)</w:t>
            </w:r>
          </w:p>
        </w:tc>
        <w:tc>
          <w:tcPr>
            <w:tcW w:w="33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455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Production Facilities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8,585</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14,437</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(5,852)</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w:t>
            </w:r>
          </w:p>
        </w:tc>
        <w:tc>
          <w:tcPr>
            <w:tcW w:w="33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455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Corporate, eliminations and other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(1,266)</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(1,537)</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271</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34" w:type="dxa"/>
            <w:tcBorders/>
            <w:vAlign w:val="center"/>
          </w:tcPr>
          <w:p>
            <w:pPr>
              <w:pStyle w:val="TableContents"/>
              <w:bidi w:val="0"/>
              <w:spacing w:before="0" w:after="1"/>
              <w:ind w:left="0" w:right="0" w:hanging="0"/>
              <w:jc w:val="left"/>
              <w:rPr/>
            </w:pPr>
            <w:r>
              <w:rPr/>
              <w:t>​</w:t>
            </w:r>
          </w:p>
        </w:tc>
      </w:tr>
      <w:tr>
        <w:trPr/>
        <w:tc>
          <w:tcPr>
            <w:tcW w:w="4557"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95,040</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70,533</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24,507</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w:t>
            </w:r>
          </w:p>
        </w:tc>
        <w:tc>
          <w:tcPr>
            <w:tcW w:w="33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455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34" w:type="dxa"/>
            <w:tcBorders/>
            <w:vAlign w:val="center"/>
          </w:tcPr>
          <w:p>
            <w:pPr>
              <w:pStyle w:val="TableContents"/>
              <w:bidi w:val="0"/>
              <w:spacing w:before="0" w:after="1"/>
              <w:ind w:left="0" w:right="0" w:hanging="0"/>
              <w:jc w:val="left"/>
              <w:rPr/>
            </w:pPr>
            <w:r>
              <w:rPr/>
              <w:t>​</w:t>
            </w:r>
          </w:p>
        </w:tc>
      </w:tr>
      <w:tr>
        <w:trPr/>
        <w:tc>
          <w:tcPr>
            <w:tcW w:w="455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Gross margin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34" w:type="dxa"/>
            <w:tcBorders/>
            <w:shd w:fill="CCEEFF" w:val="clear"/>
            <w:vAlign w:val="center"/>
          </w:tcPr>
          <w:p>
            <w:pPr>
              <w:pStyle w:val="TableContents"/>
              <w:bidi w:val="0"/>
              <w:spacing w:before="0" w:after="1"/>
              <w:ind w:left="0" w:right="0" w:hanging="0"/>
              <w:jc w:val="left"/>
              <w:rPr/>
            </w:pPr>
            <w:r>
              <w:rPr/>
              <w:t>​</w:t>
            </w:r>
          </w:p>
        </w:tc>
      </w:tr>
      <w:tr>
        <w:trPr/>
        <w:tc>
          <w:tcPr>
            <w:tcW w:w="455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Well Intervention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34" w:type="dxa"/>
            <w:tcBorders/>
            <w:vAlign w:val="center"/>
          </w:tcPr>
          <w:p>
            <w:pPr>
              <w:pStyle w:val="TableContents"/>
              <w:bidi w:val="0"/>
              <w:spacing w:before="0" w:after="1"/>
              <w:ind w:left="0" w:right="0" w:hanging="0"/>
              <w:jc w:val="left"/>
              <w:rPr/>
            </w:pPr>
            <w:r>
              <w:rPr/>
              <w:t>​</w:t>
            </w:r>
          </w:p>
        </w:tc>
      </w:tr>
      <w:tr>
        <w:trPr/>
        <w:tc>
          <w:tcPr>
            <w:tcW w:w="455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Robotics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34" w:type="dxa"/>
            <w:tcBorders/>
            <w:shd w:fill="CCEEFF" w:val="clear"/>
            <w:vAlign w:val="center"/>
          </w:tcPr>
          <w:p>
            <w:pPr>
              <w:pStyle w:val="TableContents"/>
              <w:bidi w:val="0"/>
              <w:spacing w:before="0" w:after="1"/>
              <w:ind w:left="0" w:right="0" w:hanging="0"/>
              <w:jc w:val="left"/>
              <w:rPr/>
            </w:pPr>
            <w:r>
              <w:rPr/>
              <w:t>​</w:t>
            </w:r>
          </w:p>
        </w:tc>
      </w:tr>
      <w:tr>
        <w:trPr/>
        <w:tc>
          <w:tcPr>
            <w:tcW w:w="455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Shallow Water Abandonment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34" w:type="dxa"/>
            <w:tcBorders/>
            <w:vAlign w:val="center"/>
          </w:tcPr>
          <w:p>
            <w:pPr>
              <w:pStyle w:val="TableContents"/>
              <w:bidi w:val="0"/>
              <w:spacing w:before="0" w:after="1"/>
              <w:ind w:left="0" w:right="0" w:hanging="0"/>
              <w:jc w:val="left"/>
              <w:rPr/>
            </w:pPr>
            <w:r>
              <w:rPr/>
              <w:t>​</w:t>
            </w:r>
          </w:p>
        </w:tc>
      </w:tr>
      <w:tr>
        <w:trPr/>
        <w:tc>
          <w:tcPr>
            <w:tcW w:w="455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Production Facilities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34" w:type="dxa"/>
            <w:tcBorders/>
            <w:shd w:fill="CCEEFF" w:val="clear"/>
            <w:vAlign w:val="center"/>
          </w:tcPr>
          <w:p>
            <w:pPr>
              <w:pStyle w:val="TableContents"/>
              <w:bidi w:val="0"/>
              <w:spacing w:before="0" w:after="1"/>
              <w:ind w:left="0" w:right="0" w:hanging="0"/>
              <w:jc w:val="left"/>
              <w:rPr/>
            </w:pPr>
            <w:r>
              <w:rPr/>
              <w:t>​</w:t>
            </w:r>
          </w:p>
        </w:tc>
      </w:tr>
      <w:tr>
        <w:trPr/>
        <w:tc>
          <w:tcPr>
            <w:tcW w:w="455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company</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34" w:type="dxa"/>
            <w:tcBorders/>
            <w:vAlign w:val="center"/>
          </w:tcPr>
          <w:p>
            <w:pPr>
              <w:pStyle w:val="TableContents"/>
              <w:bidi w:val="0"/>
              <w:spacing w:before="0" w:after="1"/>
              <w:ind w:left="0" w:right="0" w:hanging="0"/>
              <w:jc w:val="left"/>
              <w:rPr/>
            </w:pPr>
            <w:r>
              <w:rPr/>
              <w:t>​</w:t>
            </w:r>
          </w:p>
        </w:tc>
      </w:tr>
      <w:tr>
        <w:trPr/>
        <w:tc>
          <w:tcPr>
            <w:tcW w:w="4557"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2" w:type="dxa"/>
            <w:tcBorders/>
            <w:shd w:fill="CCEEFF" w:val="clear"/>
            <w:vAlign w:val="center"/>
          </w:tcPr>
          <w:p>
            <w:pPr>
              <w:pStyle w:val="TableContents"/>
              <w:bidi w:val="0"/>
              <w:spacing w:before="0" w:after="1"/>
              <w:ind w:left="0" w:right="0" w:hanging="0"/>
              <w:jc w:val="left"/>
              <w:rPr/>
            </w:pPr>
            <w:r>
              <w:rPr/>
              <w:t>​</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2" w:type="dxa"/>
            <w:tcBorders/>
            <w:shd w:fill="CCEEFF" w:val="clear"/>
            <w:vAlign w:val="center"/>
          </w:tcPr>
          <w:p>
            <w:pPr>
              <w:pStyle w:val="TableContents"/>
              <w:bidi w:val="0"/>
              <w:spacing w:before="0" w:after="1"/>
              <w:ind w:left="0" w:right="0" w:hanging="0"/>
              <w:jc w:val="left"/>
              <w:rPr/>
            </w:pPr>
            <w:r>
              <w:rPr/>
              <w:t>​</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left"/>
              <w:rPr/>
            </w:pPr>
            <w:r>
              <w:rPr/>
              <w:t>​</w:t>
            </w:r>
          </w:p>
        </w:tc>
        <w:tc>
          <w:tcPr>
            <w:tcW w:w="334" w:type="dxa"/>
            <w:tcBorders/>
            <w:shd w:fill="CCEEFF" w:val="clear"/>
            <w:vAlign w:val="center"/>
          </w:tcPr>
          <w:p>
            <w:pPr>
              <w:pStyle w:val="TableContents"/>
              <w:bidi w:val="0"/>
              <w:spacing w:before="0" w:after="1"/>
              <w:ind w:left="0" w:right="0" w:hanging="0"/>
              <w:jc w:val="left"/>
              <w:rPr/>
            </w:pPr>
            <w:r>
              <w:rPr/>
              <w:t>​</w:t>
            </w:r>
          </w:p>
        </w:tc>
      </w:tr>
      <w:tr>
        <w:trPr/>
        <w:tc>
          <w:tcPr>
            <w:tcW w:w="4557"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Number of vessels, Robotics assets or Shallow Water Abandonment systems </w:t>
            </w:r>
            <w:r>
              <w:rPr>
                <w:rFonts w:ascii="Arial;Helvetica;sans-serif" w:hAnsi="Arial;Helvetica;sans-serif"/>
                <w:sz w:val="15"/>
              </w:rPr>
              <w:t>(1)</w:t>
            </w:r>
            <w:r>
              <w:rPr>
                <w:rFonts w:ascii="Arial;Helvetica;sans-serif" w:hAnsi="Arial;Helvetica;sans-serif"/>
                <w:sz w:val="20"/>
              </w:rPr>
              <w:t xml:space="preserve"> / Utilization </w:t>
            </w:r>
            <w:r>
              <w:rPr>
                <w:rFonts w:ascii="Arial;Helvetica;sans-serif" w:hAnsi="Arial;Helvetica;sans-serif"/>
                <w:sz w:val="15"/>
              </w:rPr>
              <w:t>(2)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pPr>
            <w:r>
              <w:rPr/>
              <w:t>  </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pPr>
            <w:r>
              <w:rPr/>
              <w:t>  </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34" w:type="dxa"/>
            <w:tcBorders/>
            <w:vAlign w:val="center"/>
          </w:tcPr>
          <w:p>
            <w:pPr>
              <w:pStyle w:val="TableContents"/>
              <w:bidi w:val="0"/>
              <w:spacing w:before="0" w:after="1"/>
              <w:ind w:left="0" w:right="0" w:hanging="0"/>
              <w:jc w:val="left"/>
              <w:rPr/>
            </w:pPr>
            <w:r>
              <w:rPr/>
              <w:t>​</w:t>
            </w:r>
          </w:p>
        </w:tc>
      </w:tr>
      <w:tr>
        <w:trPr/>
        <w:tc>
          <w:tcPr>
            <w:tcW w:w="455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Well Intervention vessels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 / 92</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 / 82</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34" w:type="dxa"/>
            <w:tcBorders/>
            <w:shd w:fill="CCEEFF" w:val="clear"/>
            <w:vAlign w:val="center"/>
          </w:tcPr>
          <w:p>
            <w:pPr>
              <w:pStyle w:val="TableContents"/>
              <w:bidi w:val="0"/>
              <w:spacing w:before="0" w:after="1"/>
              <w:ind w:left="0" w:right="0" w:hanging="0"/>
              <w:jc w:val="left"/>
              <w:rPr/>
            </w:pPr>
            <w:r>
              <w:rPr/>
              <w:t>​</w:t>
            </w:r>
          </w:p>
        </w:tc>
      </w:tr>
      <w:tr>
        <w:trPr/>
        <w:tc>
          <w:tcPr>
            <w:tcW w:w="4557"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Robotics assets </w:t>
            </w:r>
            <w:r>
              <w:rPr>
                <w:rFonts w:ascii="Arial;Helvetica;sans-serif" w:hAnsi="Arial;Helvetica;sans-serif"/>
                <w:sz w:val="15"/>
              </w:rPr>
              <w:t>(3)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 / 67</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46 / 57</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34" w:type="dxa"/>
            <w:tcBorders/>
            <w:vAlign w:val="center"/>
          </w:tcPr>
          <w:p>
            <w:pPr>
              <w:pStyle w:val="TableContents"/>
              <w:bidi w:val="0"/>
              <w:spacing w:before="0" w:after="1"/>
              <w:ind w:left="0" w:right="0" w:hanging="0"/>
              <w:jc w:val="left"/>
              <w:rPr/>
            </w:pPr>
            <w:r>
              <w:rPr/>
              <w:t>​</w:t>
            </w:r>
          </w:p>
        </w:tc>
      </w:tr>
      <w:tr>
        <w:trPr/>
        <w:tc>
          <w:tcPr>
            <w:tcW w:w="455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Chartered Robotics vessels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 / 86</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 / 94</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34" w:type="dxa"/>
            <w:tcBorders/>
            <w:shd w:fill="CCEEFF" w:val="clear"/>
            <w:vAlign w:val="center"/>
          </w:tcPr>
          <w:p>
            <w:pPr>
              <w:pStyle w:val="TableContents"/>
              <w:bidi w:val="0"/>
              <w:spacing w:before="0" w:after="1"/>
              <w:ind w:left="0" w:right="0" w:hanging="0"/>
              <w:jc w:val="left"/>
              <w:rPr/>
            </w:pPr>
            <w:r>
              <w:rPr/>
              <w:t>​</w:t>
            </w:r>
          </w:p>
        </w:tc>
      </w:tr>
      <w:tr>
        <w:trPr/>
        <w:tc>
          <w:tcPr>
            <w:tcW w:w="4557"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Shallow Water Abandonment vessels </w:t>
            </w:r>
            <w:r>
              <w:rPr>
                <w:rFonts w:ascii="Arial;Helvetica;sans-serif" w:hAnsi="Arial;Helvetica;sans-serif"/>
                <w:sz w:val="15"/>
              </w:rPr>
              <w:t>(4)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 / 49</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 / 68</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34" w:type="dxa"/>
            <w:tcBorders/>
            <w:vAlign w:val="center"/>
          </w:tcPr>
          <w:p>
            <w:pPr>
              <w:pStyle w:val="TableContents"/>
              <w:bidi w:val="0"/>
              <w:spacing w:before="0" w:after="1"/>
              <w:ind w:left="0" w:right="0" w:hanging="0"/>
              <w:jc w:val="left"/>
              <w:rPr/>
            </w:pPr>
            <w:r>
              <w:rPr/>
              <w:t>​</w:t>
            </w:r>
          </w:p>
        </w:tc>
      </w:tr>
      <w:tr>
        <w:trPr/>
        <w:tc>
          <w:tcPr>
            <w:tcW w:w="4557" w:type="dxa"/>
            <w:tcBorders/>
            <w:shd w:fill="CCEEFF" w:val="clear"/>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Shallow Water Abandonment systems </w:t>
            </w:r>
            <w:r>
              <w:rPr>
                <w:rFonts w:ascii="Arial;Helvetica;sans-serif" w:hAnsi="Arial;Helvetica;sans-serif"/>
                <w:sz w:val="15"/>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 / 27</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 / 74</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0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34" w:type="dxa"/>
            <w:tcBorders/>
            <w:shd w:fill="CCEEFF" w:val="clear"/>
            <w:vAlign w:val="center"/>
          </w:tcPr>
          <w:p>
            <w:pPr>
              <w:pStyle w:val="TableContents"/>
              <w:bidi w:val="0"/>
              <w:spacing w:before="0" w:after="1"/>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90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Represents the number of vessels, Robotics assets or Shallow Water Abandonment systems as of the end of the period, including spot vessels and those under term charters, and excluding acquired vessels prior to their in-service dates, vessels managed on behalf of third parties and vessels or assets disposed of and/or taken out of service.</w:t>
            </w:r>
          </w:p>
        </w:tc>
      </w:tr>
    </w:tbl>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90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Represents the average utilization rate, which is calculated by dividing the total number of days the vessels, Robotics assets or Shallow Water Abandonment systems generated revenues by the total number of calendar days in the applicable period. Utilization rates of chartered Robotics vessels during the six-month periods ended June 30, 2024 and 2023 included 182 and 126 spot vessel days, respectively, at near full utilization.</w:t>
            </w:r>
          </w:p>
        </w:tc>
      </w:tr>
    </w:tbl>
    <w:tbl>
      <w:tblPr>
        <w:tblW w:w="5207" w:type="dxa"/>
        <w:jc w:val="left"/>
        <w:tblInd w:w="0" w:type="dxa"/>
        <w:tblLayout w:type="fixed"/>
        <w:tblCellMar>
          <w:top w:w="0" w:type="dxa"/>
          <w:left w:w="0" w:type="dxa"/>
          <w:bottom w:w="0" w:type="dxa"/>
          <w:right w:w="0" w:type="dxa"/>
        </w:tblCellMar>
      </w:tblPr>
      <w:tblGrid>
        <w:gridCol w:w="346"/>
        <w:gridCol w:w="4861"/>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486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Consists of ROVs, trenchers and IROV boulder grabs.</w:t>
            </w:r>
          </w:p>
        </w:tc>
      </w:tr>
    </w:tbl>
    <w:tbl>
      <w:tblPr>
        <w:tblW w:w="7277" w:type="dxa"/>
        <w:jc w:val="left"/>
        <w:tblInd w:w="0" w:type="dxa"/>
        <w:tblLayout w:type="fixed"/>
        <w:tblCellMar>
          <w:top w:w="0" w:type="dxa"/>
          <w:left w:w="0" w:type="dxa"/>
          <w:bottom w:w="0" w:type="dxa"/>
          <w:right w:w="0" w:type="dxa"/>
        </w:tblCellMar>
      </w:tblPr>
      <w:tblGrid>
        <w:gridCol w:w="346"/>
        <w:gridCol w:w="6931"/>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w:t>
            </w:r>
          </w:p>
        </w:tc>
        <w:tc>
          <w:tcPr>
            <w:tcW w:w="693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Consists of liftboats, OSVs, DSVs, a heavy lift derrick barge and a crew boat.</w:t>
            </w:r>
          </w:p>
        </w:tc>
      </w:tr>
    </w:tbl>
    <w:tbl>
      <w:tblPr>
        <w:tblW w:w="3512" w:type="dxa"/>
        <w:jc w:val="left"/>
        <w:tblInd w:w="0" w:type="dxa"/>
        <w:tblLayout w:type="fixed"/>
        <w:tblCellMar>
          <w:top w:w="0" w:type="dxa"/>
          <w:left w:w="0" w:type="dxa"/>
          <w:bottom w:w="0" w:type="dxa"/>
          <w:right w:w="0" w:type="dxa"/>
        </w:tblCellMar>
      </w:tblPr>
      <w:tblGrid>
        <w:gridCol w:w="346"/>
        <w:gridCol w:w="3166"/>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w:t>
            </w:r>
          </w:p>
        </w:tc>
        <w:tc>
          <w:tcPr>
            <w:tcW w:w="316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Consists of P&amp;A and CT systems.</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33</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Intercompany segment amounts are derived primarily from equipment and services provided to other business segments. Intercompany segment revenues are as follows (in thousands):</w:t>
      </w:r>
    </w:p>
    <w:p>
      <w:pPr>
        <w:pStyle w:val="TextBody"/>
        <w:bidi w:val="0"/>
        <w:spacing w:before="0" w:after="240"/>
        <w:ind w:left="0" w:right="0" w:firstLine="720"/>
        <w:jc w:val="left"/>
        <w:rPr/>
      </w:pPr>
      <w:r>
        <w:rPr/>
        <w:t>​</w:t>
      </w:r>
    </w:p>
    <w:tbl>
      <w:tblPr>
        <w:tblW w:w="6518" w:type="dxa"/>
        <w:jc w:val="left"/>
        <w:tblInd w:w="0" w:type="dxa"/>
        <w:tblLayout w:type="fixed"/>
        <w:tblCellMar>
          <w:top w:w="0" w:type="dxa"/>
          <w:left w:w="0" w:type="dxa"/>
          <w:bottom w:w="0" w:type="dxa"/>
          <w:right w:w="0" w:type="dxa"/>
        </w:tblCellMar>
      </w:tblPr>
      <w:tblGrid>
        <w:gridCol w:w="2626"/>
        <w:gridCol w:w="326"/>
        <w:gridCol w:w="211"/>
        <w:gridCol w:w="691"/>
        <w:gridCol w:w="326"/>
        <w:gridCol w:w="211"/>
        <w:gridCol w:w="691"/>
        <w:gridCol w:w="326"/>
        <w:gridCol w:w="229"/>
        <w:gridCol w:w="881"/>
      </w:tblGrid>
      <w:tr>
        <w:trPr/>
        <w:tc>
          <w:tcPr>
            <w:tcW w:w="26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07010" cy="175260"/>
                      <wp:effectExtent l="0" t="0" r="0" b="0"/>
                      <wp:wrapNone/>
                      <wp:docPr id="363" name="Frame3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133985" cy="175260"/>
                      <wp:effectExtent l="0" t="0" r="0" b="0"/>
                      <wp:wrapNone/>
                      <wp:docPr id="364" name="Frame3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438785" cy="175260"/>
                      <wp:effectExtent l="0" t="0" r="0" b="0"/>
                      <wp:wrapNone/>
                      <wp:docPr id="365" name="Frame36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07010" cy="175260"/>
                      <wp:effectExtent l="0" t="0" r="0" b="0"/>
                      <wp:wrapNone/>
                      <wp:docPr id="366" name="Frame3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133985" cy="175260"/>
                      <wp:effectExtent l="0" t="0" r="0" b="0"/>
                      <wp:wrapNone/>
                      <wp:docPr id="367" name="Frame3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438785" cy="175260"/>
                      <wp:effectExtent l="0" t="0" r="0" b="0"/>
                      <wp:wrapNone/>
                      <wp:docPr id="368" name="Frame36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07010" cy="175260"/>
                      <wp:effectExtent l="0" t="0" r="0" b="0"/>
                      <wp:wrapNone/>
                      <wp:docPr id="369" name="Frame3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145415" cy="175260"/>
                      <wp:effectExtent l="0" t="0" r="0" b="0"/>
                      <wp:wrapNone/>
                      <wp:docPr id="370" name="Frame369"/>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559435" cy="175260"/>
                      <wp:effectExtent l="0" t="0" r="0" b="0"/>
                      <wp:wrapNone/>
                      <wp:docPr id="371" name="Frame370"/>
                      <a:graphic xmlns:a="http://schemas.openxmlformats.org/drawingml/2006/main">
                        <a:graphicData uri="http://schemas.microsoft.com/office/word/2010/wordprocessingShape">
                          <wps:wsp>
                            <wps:cNvSpPr txBox="1"/>
                            <wps:spPr>
                              <a:xfrm>
                                <a:off x="0" y="0"/>
                                <a:ext cx="559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30"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Six Months Ended </w:t>
            </w:r>
          </w:p>
        </w:tc>
        <w:tc>
          <w:tcPr>
            <w:tcW w:w="326" w:type="dxa"/>
            <w:tcBorders/>
            <w:vAlign w:val="center"/>
          </w:tcPr>
          <w:p>
            <w:pPr>
              <w:pStyle w:val="TableContents"/>
              <w:bidi w:val="0"/>
              <w:spacing w:before="0" w:after="1"/>
              <w:ind w:left="0" w:right="0" w:hanging="0"/>
              <w:jc w:val="center"/>
              <w:rPr/>
            </w:pPr>
            <w:r>
              <w:rPr/>
              <w:t>​</w:t>
            </w:r>
          </w:p>
        </w:tc>
        <w:tc>
          <w:tcPr>
            <w:tcW w:w="229" w:type="dxa"/>
            <w:tcBorders/>
            <w:vAlign w:val="center"/>
          </w:tcPr>
          <w:p>
            <w:pPr>
              <w:pStyle w:val="TableContents"/>
              <w:bidi w:val="0"/>
              <w:spacing w:before="0" w:after="1"/>
              <w:ind w:left="0" w:right="0" w:hanging="0"/>
              <w:jc w:val="center"/>
              <w:rPr/>
            </w:pPr>
            <w:r>
              <w:rPr/>
              <w:t>​</w:t>
            </w:r>
          </w:p>
        </w:tc>
        <w:tc>
          <w:tcPr>
            <w:tcW w:w="881" w:type="dxa"/>
            <w:tcBorders/>
            <w:vAlign w:val="center"/>
          </w:tcPr>
          <w:p>
            <w:pPr>
              <w:pStyle w:val="TableContents"/>
              <w:bidi w:val="0"/>
              <w:spacing w:before="0" w:after="1"/>
              <w:ind w:left="0" w:right="0" w:hanging="0"/>
              <w:jc w:val="center"/>
              <w:rPr/>
            </w:pPr>
            <w:r>
              <w:rPr/>
              <w:t>​</w:t>
            </w:r>
          </w:p>
        </w:tc>
      </w:tr>
      <w:tr>
        <w:trPr/>
        <w:tc>
          <w:tcPr>
            <w:tcW w:w="26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w:t>
            </w:r>
          </w:p>
        </w:tc>
        <w:tc>
          <w:tcPr>
            <w:tcW w:w="326" w:type="dxa"/>
            <w:tcBorders/>
            <w:vAlign w:val="center"/>
          </w:tcPr>
          <w:p>
            <w:pPr>
              <w:pStyle w:val="TableContents"/>
              <w:bidi w:val="0"/>
              <w:spacing w:before="0" w:after="1"/>
              <w:ind w:left="0" w:right="0" w:hanging="0"/>
              <w:jc w:val="center"/>
              <w:rPr/>
            </w:pPr>
            <w:r>
              <w:rPr/>
              <w:t>​</w:t>
            </w:r>
          </w:p>
        </w:tc>
        <w:tc>
          <w:tcPr>
            <w:tcW w:w="1110"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Increase/</w:t>
            </w:r>
          </w:p>
        </w:tc>
      </w:tr>
      <w:tr>
        <w:trPr/>
        <w:tc>
          <w:tcPr>
            <w:tcW w:w="26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326" w:type="dxa"/>
            <w:tcBorders/>
            <w:vAlign w:val="center"/>
          </w:tcPr>
          <w:p>
            <w:pPr>
              <w:pStyle w:val="TableContents"/>
              <w:bidi w:val="0"/>
              <w:spacing w:before="0" w:after="1"/>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c>
          <w:tcPr>
            <w:tcW w:w="326" w:type="dxa"/>
            <w:tcBorders/>
            <w:vAlign w:val="center"/>
          </w:tcPr>
          <w:p>
            <w:pPr>
              <w:pStyle w:val="TableContents"/>
              <w:bidi w:val="0"/>
              <w:spacing w:before="0" w:after="1"/>
              <w:ind w:left="0" w:right="0" w:hanging="0"/>
              <w:jc w:val="center"/>
              <w:rPr/>
            </w:pPr>
            <w:r>
              <w:rPr/>
              <w:t>    </w:t>
            </w:r>
          </w:p>
        </w:tc>
        <w:tc>
          <w:tcPr>
            <w:tcW w:w="11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(Decrease)</w:t>
            </w:r>
          </w:p>
        </w:tc>
      </w:tr>
      <w:tr>
        <w:trPr/>
        <w:tc>
          <w:tcPr>
            <w:tcW w:w="262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Well Intervention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18,170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11,342</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8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6,828</w:t>
            </w:r>
          </w:p>
        </w:tc>
      </w:tr>
      <w:tr>
        <w:trPr/>
        <w:tc>
          <w:tcPr>
            <w:tcW w:w="262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Robotics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20,576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15,382</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 </w:t>
            </w:r>
          </w:p>
        </w:tc>
        <w:tc>
          <w:tcPr>
            <w:tcW w:w="88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5,194</w:t>
            </w:r>
          </w:p>
        </w:tc>
      </w:tr>
      <w:tr>
        <w:trPr/>
        <w:tc>
          <w:tcPr>
            <w:tcW w:w="262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Shallow Water Abandonment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162</w:t>
            </w:r>
          </w:p>
        </w:tc>
      </w:tr>
      <w:tr>
        <w:trPr/>
        <w:tc>
          <w:tcPr>
            <w:tcW w:w="26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38,934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26,750</w:t>
            </w:r>
          </w:p>
        </w:tc>
        <w:tc>
          <w:tcPr>
            <w:tcW w:w="326" w:type="dxa"/>
            <w:tcBorders/>
            <w:vAlign w:val="center"/>
          </w:tcPr>
          <w:p>
            <w:pPr>
              <w:pStyle w:val="TableContents"/>
              <w:bidi w:val="0"/>
              <w:spacing w:before="0" w:after="1"/>
              <w:ind w:left="0" w:right="0" w:hanging="0"/>
              <w:jc w:val="left"/>
              <w:rPr/>
            </w:pPr>
            <w:r>
              <w:rPr/>
              <w:t>​</w:t>
            </w:r>
          </w:p>
        </w:tc>
        <w:tc>
          <w:tcPr>
            <w:tcW w:w="229"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81" w:type="dxa"/>
            <w:tcBorders>
              <w:bottom w:val="double" w:sz="6" w:space="0" w:color="000000"/>
            </w:tcBorders>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12,184</w:t>
            </w:r>
          </w:p>
        </w:tc>
      </w:tr>
    </w:tbl>
    <w:p>
      <w:pPr>
        <w:pStyle w:val="TextBody"/>
        <w:bidi w:val="0"/>
        <w:spacing w:before="0" w:after="240"/>
        <w:ind w:left="0" w:right="0" w:hanging="0"/>
        <w:jc w:val="left"/>
        <w:rPr/>
      </w:pPr>
      <w:r>
        <w:rPr/>
        <w: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b/>
          <w:i/>
          <w:sz w:val="20"/>
        </w:rPr>
        <w:t xml:space="preserve">Net Revenues. </w:t>
      </w:r>
      <w:r>
        <w:rPr>
          <w:rFonts w:ascii="Arial;Helvetica;sans-serif" w:hAnsi="Arial;Helvetica;sans-serif"/>
          <w:sz w:val="20"/>
        </w:rPr>
        <w:t>Our consolidated net revenues for the six-month period ended June 30, 2024 increased by 18% as compared to the same period in 2023, reflecting higher revenues in our Well Intervention, Robotics and Production Facilities business segments, offset in part by lower revenues in our Shallow Water Abandonment segment.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Our Well Intervention revenues increased by 49% for the six-month period ended June 30, 2024 as compared to the same period in 2023, primarily reflecting higher revenues on the </w:t>
      </w:r>
      <w:r>
        <w:rPr>
          <w:rFonts w:ascii="Arial;Helvetica;sans-serif" w:hAnsi="Arial;Helvetica;sans-serif"/>
          <w:i/>
          <w:sz w:val="20"/>
        </w:rPr>
        <w:t>Q7000</w:t>
      </w:r>
      <w:r>
        <w:rPr>
          <w:rFonts w:ascii="Arial;Helvetica;sans-serif" w:hAnsi="Arial;Helvetica;sans-serif"/>
          <w:sz w:val="20"/>
        </w:rPr>
        <w:t xml:space="preserve"> and higher rates and utilization on the </w:t>
      </w:r>
      <w:r>
        <w:rPr>
          <w:rFonts w:ascii="Arial;Helvetica;sans-serif" w:hAnsi="Arial;Helvetica;sans-serif"/>
          <w:i/>
          <w:sz w:val="20"/>
        </w:rPr>
        <w:t>Seawell</w:t>
      </w:r>
      <w:r>
        <w:rPr>
          <w:rFonts w:ascii="Arial;Helvetica;sans-serif" w:hAnsi="Arial;Helvetica;sans-serif"/>
          <w:sz w:val="20"/>
        </w:rPr>
        <w:t xml:space="preserve">, the </w:t>
      </w:r>
      <w:r>
        <w:rPr>
          <w:rFonts w:ascii="Arial;Helvetica;sans-serif" w:hAnsi="Arial;Helvetica;sans-serif"/>
          <w:i/>
          <w:sz w:val="20"/>
        </w:rPr>
        <w:t>Q4000</w:t>
      </w:r>
      <w:r>
        <w:rPr>
          <w:rFonts w:ascii="Arial;Helvetica;sans-serif" w:hAnsi="Arial;Helvetica;sans-serif"/>
          <w:sz w:val="20"/>
        </w:rPr>
        <w:t xml:space="preserve"> and the </w:t>
      </w:r>
      <w:r>
        <w:rPr>
          <w:rFonts w:ascii="Arial;Helvetica;sans-serif" w:hAnsi="Arial;Helvetica;sans-serif"/>
          <w:i/>
          <w:sz w:val="20"/>
        </w:rPr>
        <w:t>Q5000</w:t>
      </w:r>
      <w:r>
        <w:rPr>
          <w:rFonts w:ascii="Arial;Helvetica;sans-serif" w:hAnsi="Arial;Helvetica;sans-serif"/>
          <w:sz w:val="20"/>
        </w:rPr>
        <w:t xml:space="preserve">, offset in part by lower utilization on the </w:t>
      </w:r>
      <w:r>
        <w:rPr>
          <w:rFonts w:ascii="Arial;Helvetica;sans-serif" w:hAnsi="Arial;Helvetica;sans-serif"/>
          <w:i/>
          <w:sz w:val="20"/>
        </w:rPr>
        <w:t>Well Enhancer</w:t>
      </w:r>
      <w:r>
        <w:rPr>
          <w:rFonts w:ascii="Arial;Helvetica;sans-serif" w:hAnsi="Arial;Helvetica;sans-serif"/>
          <w:sz w:val="20"/>
        </w:rPr>
        <w:t xml:space="preserve">. The </w:t>
      </w:r>
      <w:r>
        <w:rPr>
          <w:rFonts w:ascii="Arial;Helvetica;sans-serif" w:hAnsi="Arial;Helvetica;sans-serif"/>
          <w:i/>
          <w:sz w:val="20"/>
        </w:rPr>
        <w:t>Q7000</w:t>
      </w:r>
      <w:r>
        <w:rPr>
          <w:rFonts w:ascii="Arial;Helvetica;sans-serif" w:hAnsi="Arial;Helvetica;sans-serif"/>
          <w:sz w:val="20"/>
        </w:rPr>
        <w:t xml:space="preserve"> had full utilization during the six-month period ended June 30, 2024 whereas the vessel spent most of the six-month period ended June 30, 2023 on regulatory and project-related dockings and paid transit and mobilization to Asia Pacific. The </w:t>
      </w:r>
      <w:r>
        <w:rPr>
          <w:rFonts w:ascii="Arial;Helvetica;sans-serif" w:hAnsi="Arial;Helvetica;sans-serif"/>
          <w:i/>
          <w:sz w:val="20"/>
        </w:rPr>
        <w:t>Seawell</w:t>
      </w:r>
      <w:r>
        <w:rPr>
          <w:rFonts w:ascii="Arial;Helvetica;sans-serif" w:hAnsi="Arial;Helvetica;sans-serif"/>
          <w:sz w:val="20"/>
        </w:rPr>
        <w:t xml:space="preserve"> benefitted from being contracted in the western Mediterranean at higher rates during most of the six-month period ended June 30, 2024 as compared to having had lower utilization and rates during the same period in 2023. Utilization increased on the </w:t>
      </w:r>
      <w:r>
        <w:rPr>
          <w:rFonts w:ascii="Arial;Helvetica;sans-serif" w:hAnsi="Arial;Helvetica;sans-serif"/>
          <w:i/>
          <w:sz w:val="20"/>
        </w:rPr>
        <w:t>Q4000</w:t>
      </w:r>
      <w:r>
        <w:rPr>
          <w:rFonts w:ascii="Arial;Helvetica;sans-serif" w:hAnsi="Arial;Helvetica;sans-serif"/>
          <w:sz w:val="20"/>
        </w:rPr>
        <w:t xml:space="preserve"> and the </w:t>
      </w:r>
      <w:r>
        <w:rPr>
          <w:rFonts w:ascii="Arial;Helvetica;sans-serif" w:hAnsi="Arial;Helvetica;sans-serif"/>
          <w:i/>
          <w:sz w:val="20"/>
        </w:rPr>
        <w:t>Q5000</w:t>
      </w:r>
      <w:r>
        <w:rPr>
          <w:rFonts w:ascii="Arial;Helvetica;sans-serif" w:hAnsi="Arial;Helvetica;sans-serif"/>
          <w:sz w:val="20"/>
        </w:rPr>
        <w:t xml:space="preserve"> during the six-month period ended June 30, 2024 as both vessels underwent their regulatory dry docks during the six-month period ended June 30, 2023. Gulf of Mexico day rates also improved during the year over year periods. The </w:t>
      </w:r>
      <w:r>
        <w:rPr>
          <w:rFonts w:ascii="Arial;Helvetica;sans-serif" w:hAnsi="Arial;Helvetica;sans-serif"/>
          <w:i/>
          <w:sz w:val="20"/>
        </w:rPr>
        <w:t>Well Enhancer</w:t>
      </w:r>
      <w:r>
        <w:rPr>
          <w:rFonts w:ascii="Arial;Helvetica;sans-serif" w:hAnsi="Arial;Helvetica;sans-serif"/>
          <w:sz w:val="20"/>
        </w:rPr>
        <w:t xml:space="preserve"> in the North Sea had lower utilization as compared to the prior year period as the vessel underwent a scheduled dry dock during the first quarter 2024.</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Robotics revenues increased by 10% for the six-month period ended June 30, 2024 as compared to the same period in 2023, primarily reflecting higher chartered vessel days and trenching and ROV activities. Chartered vessel days increased to 861 days during the six-month period ended June 30, 2024 as compared to 730 days during the six-month period ended June 30, 2023, although chartered vessel days in the first quarter 2024 included approximately 64 days of standby utilization at reduced rates. ROV and trencher utilization increased to 67% in the six-month period ended June 30, 2024 from 57% during the six-month period ended June 30, 2023 and included 317 days of integrated vessel trenching in 2024 as compared to 260 days in 2023.</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Shallow Water Abandonment revenues decreased by 38% for the six-month period ended June 30, 2024 as compared to the same period in 2023. The decrease in revenues is due to lower activity levels and an overall softer Gulf of Mexico shelf market in 2024, resulting in lower vessel and system utilization during the six-month period ended June 30, 2024 as compared to the six-month period ended June 30, 2023. Overall vessel utilization was 49% during the six-month period ended June 30, 2024 as compared to 68% during the same period in 2023. P&amp;A systems and CT systems achieved 1,258 days of utilization, or 27% on 26 systems, during the six-month period ended June 30, 2024 as compared to 2,831 days of utilization, or 74% on 21 systems, during the six-month period ended June 30, 2023.</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Production Facilities revenues increased by 13% for the six-month period ended June 30, 2024 as compared to the same period in 2023, primarily reflecting higher oil and gas production as both the Droshky and Thunder Hawk wells were shut in for planned maintenance during portions of the six-month period ended June 30, 2023.</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b/>
          <w:i/>
          <w:sz w:val="20"/>
        </w:rPr>
        <w:t xml:space="preserve">Gross Profit (Loss). </w:t>
      </w:r>
      <w:r>
        <w:rPr>
          <w:rFonts w:ascii="Arial;Helvetica;sans-serif" w:hAnsi="Arial;Helvetica;sans-serif"/>
          <w:sz w:val="20"/>
        </w:rPr>
        <w:t>Our consolidated gross profit increased by $24.5 million for the six-month period ended June 30, 2024 as compared to the same period in 2023, primarily reflecting increased profits from our Well Intervention and Robotics business segments, offset in part by losses from our Shallow Water Abandonment and Production Facilities segments.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Well Intervention segment gross profit increased by $54.1 million for the six-month period ended June 30, 2024 as compared to the same period in 2023, primarily reflecting higher segment revenues and increased activity levels.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34</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Robotics gross profit increased by $12.5 million for the six-month period ended June 30, 2024 as compared to the same period in 2023, primarily reflecting higher revenues and higher profit margin projects during the six-month period ended June 30, 2024.</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Shallow Water Abandonment segment had a gross loss of $8.1 million for the six-month period ended June 30, 2024 as compared to a gross profit of $28.5 million for the same period in 2023, primarily reflecting lower segment revenues.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Production Facilities gross profit decreased by $5.9 million for the six-month period ended June 30, 2024 as compared to the same period in 2023, primarily reflecting well workover costs of approximately $8.6 million related to the Thunder Hawk wells during the first quarter 2024, offset in part by higher segment revenues.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b/>
          <w:i/>
          <w:sz w:val="20"/>
        </w:rPr>
        <w:t xml:space="preserve">Change in Fair Value of Contingent Consideration. </w:t>
      </w:r>
      <w:r>
        <w:rPr>
          <w:rFonts w:ascii="Arial;Helvetica;sans-serif" w:hAnsi="Arial;Helvetica;sans-serif"/>
          <w:sz w:val="20"/>
        </w:rPr>
        <w:t>The change in fair value of contingent consideration in the six-month period ended June 30, 2023 reflected an improvement in Helix Alliance’s results during the first half 2023. We entered into an agreement and set the final earn-out during the fourth quarter 2023, which was paid on April 3, 2024.</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b/>
          <w:i/>
          <w:sz w:val="20"/>
        </w:rPr>
        <w:t xml:space="preserve">Net Interest Expense. </w:t>
      </w:r>
      <w:r>
        <w:rPr>
          <w:rFonts w:ascii="Arial;Helvetica;sans-serif" w:hAnsi="Arial;Helvetica;sans-serif"/>
          <w:sz w:val="20"/>
        </w:rPr>
        <w:t>Our net interest expense totaled $11.4 million for the six-month period ended June 30, 2024 as compared to $8.4 million for the same period in 2023, primarily reflecting interest expense on our 2029 Notes, offset in part by higher interest income on our invested cash reserves (Note 5).</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b/>
          <w:i/>
          <w:sz w:val="20"/>
        </w:rPr>
        <w:t xml:space="preserve">Losses Related to Convertible Senior Notes. </w:t>
      </w:r>
      <w:r>
        <w:rPr>
          <w:rFonts w:ascii="Arial;Helvetica;sans-serif" w:hAnsi="Arial;Helvetica;sans-serif"/>
          <w:sz w:val="20"/>
        </w:rPr>
        <w:t>The $20.9 million loss for the six-month period ended June 30, 2024 was associated with the retirement of our 2026 Notes (Note 5).</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b/>
          <w:i/>
          <w:sz w:val="20"/>
        </w:rPr>
        <w:t xml:space="preserve">Income Tax Provision. </w:t>
      </w:r>
      <w:r>
        <w:rPr>
          <w:rFonts w:ascii="Arial;Helvetica;sans-serif" w:hAnsi="Arial;Helvetica;sans-serif"/>
          <w:sz w:val="20"/>
        </w:rPr>
        <w:t>Income tax provision was $13.0 million for the six-month period ended June 30, 2024 as compared to $1.3 million for the same period in 2023. The effective tax rates for the six-month periods ended June 30, 2024 and 2023 were 68.5% and 40.1%, respectively. The increase in effective tax rates was primarily attributable to the non-deductibility of certain losses associated with the 2026 Notes Redemptions, which was characterized as a discrete event and reported in the first quarter 2024 (Note 6).</w:t>
      </w:r>
    </w:p>
    <w:p>
      <w:pPr>
        <w:pStyle w:val="TextBody"/>
        <w:bidi w:val="0"/>
        <w:spacing w:before="0" w:after="240"/>
        <w:ind w:left="0" w:right="0" w:hanging="0"/>
        <w:jc w:val="left"/>
        <w:rPr/>
      </w:pPr>
      <w:r>
        <w:rPr/>
        <w:t>​</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LIQUIDITY AND CAPITAL RESOURCES</w:t>
      </w:r>
    </w:p>
    <w:p>
      <w:pPr>
        <w:pStyle w:val="TextBody"/>
        <w:bidi w:val="0"/>
        <w:spacing w:before="0" w:after="24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Financial Condition and Liquidity</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presents certain information useful in the analysis of our financial condition and liquidity (in thousands):</w:t>
      </w:r>
    </w:p>
    <w:p>
      <w:pPr>
        <w:pStyle w:val="TextBody"/>
        <w:bidi w:val="0"/>
        <w:spacing w:before="0" w:after="240"/>
        <w:ind w:left="0" w:right="0" w:firstLine="720"/>
        <w:jc w:val="left"/>
        <w:rPr/>
      </w:pPr>
      <w:r>
        <w:rPr/>
        <w:t>​</w:t>
      </w:r>
    </w:p>
    <w:tbl>
      <w:tblPr>
        <w:tblW w:w="7135" w:type="dxa"/>
        <w:jc w:val="left"/>
        <w:tblInd w:w="0" w:type="dxa"/>
        <w:tblLayout w:type="fixed"/>
        <w:tblCellMar>
          <w:top w:w="0" w:type="dxa"/>
          <w:left w:w="0" w:type="dxa"/>
          <w:bottom w:w="0" w:type="dxa"/>
          <w:right w:w="0" w:type="dxa"/>
        </w:tblCellMar>
      </w:tblPr>
      <w:tblGrid>
        <w:gridCol w:w="4006"/>
        <w:gridCol w:w="326"/>
        <w:gridCol w:w="211"/>
        <w:gridCol w:w="796"/>
        <w:gridCol w:w="326"/>
        <w:gridCol w:w="275"/>
        <w:gridCol w:w="1195"/>
      </w:tblGrid>
      <w:tr>
        <w:trPr/>
        <w:tc>
          <w:tcPr>
            <w:tcW w:w="40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07010" cy="175260"/>
                      <wp:effectExtent l="0" t="0" r="0" b="0"/>
                      <wp:wrapNone/>
                      <wp:docPr id="372" name="Frame3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133985" cy="175260"/>
                      <wp:effectExtent l="0" t="0" r="0" b="0"/>
                      <wp:wrapNone/>
                      <wp:docPr id="373" name="Frame3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505460" cy="175260"/>
                      <wp:effectExtent l="0" t="0" r="0" b="0"/>
                      <wp:wrapNone/>
                      <wp:docPr id="374" name="Frame37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07010" cy="175260"/>
                      <wp:effectExtent l="0" t="0" r="0" b="0"/>
                      <wp:wrapNone/>
                      <wp:docPr id="375" name="Frame3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74625" cy="175260"/>
                      <wp:effectExtent l="0" t="0" r="0" b="0"/>
                      <wp:wrapNone/>
                      <wp:docPr id="376" name="Frame375"/>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758825" cy="175260"/>
                      <wp:effectExtent l="0" t="0" r="0" b="0"/>
                      <wp:wrapNone/>
                      <wp:docPr id="377" name="Frame376"/>
                      <a:graphic xmlns:a="http://schemas.openxmlformats.org/drawingml/2006/main">
                        <a:graphicData uri="http://schemas.microsoft.com/office/word/2010/wordprocessingShape">
                          <wps:wsp>
                            <wps:cNvSpPr txBox="1"/>
                            <wps:spPr>
                              <a:xfrm>
                                <a:off x="0" y="0"/>
                                <a:ext cx="758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07"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w:t>
            </w:r>
          </w:p>
        </w:tc>
        <w:tc>
          <w:tcPr>
            <w:tcW w:w="326" w:type="dxa"/>
            <w:tcBorders/>
            <w:vAlign w:val="center"/>
          </w:tcPr>
          <w:p>
            <w:pPr>
              <w:pStyle w:val="TableContents"/>
              <w:bidi w:val="0"/>
              <w:spacing w:before="0" w:after="1"/>
              <w:ind w:left="0" w:right="0" w:hanging="0"/>
              <w:jc w:val="left"/>
              <w:rPr/>
            </w:pPr>
            <w:r>
              <w:rPr/>
              <w:t>​</w:t>
            </w:r>
          </w:p>
        </w:tc>
        <w:tc>
          <w:tcPr>
            <w:tcW w:w="1470"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December 31, </w:t>
            </w:r>
          </w:p>
        </w:tc>
      </w:tr>
      <w:tr>
        <w:trPr/>
        <w:tc>
          <w:tcPr>
            <w:tcW w:w="40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326" w:type="dxa"/>
            <w:tcBorders/>
            <w:vAlign w:val="center"/>
          </w:tcPr>
          <w:p>
            <w:pPr>
              <w:pStyle w:val="TableContents"/>
              <w:bidi w:val="0"/>
              <w:spacing w:before="0" w:after="1"/>
              <w:ind w:left="0" w:right="0" w:hanging="0"/>
              <w:jc w:val="center"/>
              <w:rPr/>
            </w:pPr>
            <w:r>
              <w:rPr/>
              <w:t>    </w:t>
            </w:r>
          </w:p>
        </w:tc>
        <w:tc>
          <w:tcPr>
            <w:tcW w:w="14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40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working capital</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323,741</w:t>
            </w:r>
          </w:p>
        </w:tc>
        <w:tc>
          <w:tcPr>
            <w:tcW w:w="32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9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249,223</w:t>
            </w:r>
          </w:p>
        </w:tc>
      </w:tr>
      <w:tr>
        <w:trPr/>
        <w:tc>
          <w:tcPr>
            <w:tcW w:w="40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Long-term debt (excluding current maturities)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309,664</w:t>
            </w:r>
          </w:p>
        </w:tc>
        <w:tc>
          <w:tcPr>
            <w:tcW w:w="326"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 </w:t>
            </w:r>
          </w:p>
        </w:tc>
        <w:tc>
          <w:tcPr>
            <w:tcW w:w="119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313,430</w:t>
            </w:r>
          </w:p>
        </w:tc>
      </w:tr>
      <w:tr>
        <w:trPr/>
        <w:tc>
          <w:tcPr>
            <w:tcW w:w="40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Liquidity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370,133</w:t>
            </w:r>
          </w:p>
        </w:tc>
        <w:tc>
          <w:tcPr>
            <w:tcW w:w="32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pPr>
            <w:r>
              <w:rPr/>
              <w:t> </w:t>
            </w:r>
          </w:p>
        </w:tc>
        <w:tc>
          <w:tcPr>
            <w:tcW w:w="1195" w:type="dxa"/>
            <w:tcBorders/>
            <w:shd w:fill="CCEEFF" w:val="cle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431,471</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Net Working Capital</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Net working capital is equal to current assets minus current liabilities and includes cash and cash equivalents, current maturities of long-term debt and current operating lease liabilities. Net working capital measures short-term liquidity and is important for predicting cash flow and debt requirements. Net working capital at December 31, 2023 included $85.0 million of Alliance earn-out consideration that was paid in cash on April 3, 2024.</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Long-Term Debt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Long-term debt in the table above includes our MARAD Debt, the 2026 Notes and the 2029 Notes and excludes current maturities of $9.0 million at June 30, 2024 and $48.3 million at December 31, 2023, and is net of unamortized debt discount and debt issuance costs. See Note 5 for information relating to our long-term debt.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35</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Liquidity</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define liquidity as cash and cash equivalents plus available capacity under our credit facility. Our liquidity at June 30, 2024 included $275.1 million of cash and cash equivalents and $95.1 million of available borrowing capacity under the Amended ABL Facility (Note 5). Our liquidity at December 31, 2023 included $332.2 million of cash and cash equivalents and $99.3 million of available borrowing capacity under the Amended ABL Facility. In March 2024, we settled the remaining $40.2 million aggregate principal amount of the 2026 Notes for $60.5 million in cash (excluding costs), offset in part by $4.4 million from the settlement of the remaining 2026 Capped Calls. On April 3, 2024, we paid $85.0 million of earn-out consideration in cash to the seller in the Alliance transaction.</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In the current market environment, following the settlement of the Alliance earn-out we expect strong ongoing operating performance and cash flows and continued availability on the Amended ABL Facility. We believe that our cash on hand, internally generated cash flows and availability under the Amended ABL Facility will be sufficient to fund our operations and expected capital spending, service our debt and other obligations, and execute our share repurchase program over at least the next 12 months. We currently do not anticipate borrowing under the Amended ABL Facility other than for the issuance of letters of credit.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 period of weak industry activity may make it difficult to comply with the covenants and other restrictions in our debt agreements. Our failure to comply with the covenants and other restrictions could lead to an event of default. Decreases in our borrowing base may limit our ability to fully access the Amended ABL Facility.</w:t>
      </w:r>
    </w:p>
    <w:p>
      <w:pPr>
        <w:pStyle w:val="TextBody"/>
        <w:bidi w:val="0"/>
        <w:spacing w:before="0" w:after="24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Cash Flows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provides summary data from our condensed consolidated statements of cash flows (in thousands):</w:t>
      </w:r>
    </w:p>
    <w:p>
      <w:pPr>
        <w:pStyle w:val="TextBody"/>
        <w:bidi w:val="0"/>
        <w:spacing w:before="0" w:after="240"/>
        <w:ind w:left="0" w:right="0" w:firstLine="720"/>
        <w:jc w:val="left"/>
        <w:rPr/>
      </w:pPr>
      <w:r>
        <w:rPr/>
        <w:t>​</w:t>
      </w:r>
    </w:p>
    <w:tbl>
      <w:tblPr>
        <w:tblW w:w="5352" w:type="dxa"/>
        <w:jc w:val="left"/>
        <w:tblInd w:w="0" w:type="dxa"/>
        <w:tblLayout w:type="fixed"/>
        <w:tblCellMar>
          <w:top w:w="0" w:type="dxa"/>
          <w:left w:w="0" w:type="dxa"/>
          <w:bottom w:w="0" w:type="dxa"/>
          <w:right w:w="0" w:type="dxa"/>
        </w:tblCellMar>
      </w:tblPr>
      <w:tblGrid>
        <w:gridCol w:w="2506"/>
        <w:gridCol w:w="326"/>
        <w:gridCol w:w="211"/>
        <w:gridCol w:w="916"/>
        <w:gridCol w:w="326"/>
        <w:gridCol w:w="211"/>
        <w:gridCol w:w="856"/>
      </w:tblGrid>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07010" cy="175260"/>
                      <wp:effectExtent l="0" t="0" r="0" b="0"/>
                      <wp:wrapNone/>
                      <wp:docPr id="378" name="Frame3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133985" cy="175260"/>
                      <wp:effectExtent l="0" t="0" r="0" b="0"/>
                      <wp:wrapNone/>
                      <wp:docPr id="379" name="Frame3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581660" cy="175260"/>
                      <wp:effectExtent l="0" t="0" r="0" b="0"/>
                      <wp:wrapNone/>
                      <wp:docPr id="380" name="Frame379"/>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07010" cy="175260"/>
                      <wp:effectExtent l="0" t="0" r="0" b="0"/>
                      <wp:wrapNone/>
                      <wp:docPr id="381" name="Frame3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133985" cy="175260"/>
                      <wp:effectExtent l="0" t="0" r="0" b="0"/>
                      <wp:wrapNone/>
                      <wp:docPr id="382" name="Frame3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543560" cy="175260"/>
                      <wp:effectExtent l="0" t="0" r="0" b="0"/>
                      <wp:wrapNone/>
                      <wp:docPr id="383" name="Frame382"/>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520"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Six Months Ended </w:t>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5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June 30, </w:t>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326" w:type="dxa"/>
            <w:tcBorders/>
            <w:vAlign w:val="center"/>
          </w:tcPr>
          <w:p>
            <w:pPr>
              <w:pStyle w:val="TableContents"/>
              <w:bidi w:val="0"/>
              <w:spacing w:before="0" w:after="1"/>
              <w:ind w:left="0" w:right="0" w:hanging="0"/>
              <w:jc w:val="center"/>
              <w:rPr/>
            </w:pPr>
            <w:r>
              <w:rPr/>
              <w:t>    </w:t>
            </w:r>
          </w:p>
        </w:tc>
        <w:tc>
          <w:tcPr>
            <w:tcW w:w="10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25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Cash provided by (used in):</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activities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52,320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26,109</w:t>
            </w:r>
          </w:p>
        </w:tc>
      </w:tr>
      <w:tr>
        <w:trPr/>
        <w:tc>
          <w:tcPr>
            <w:tcW w:w="25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Investing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(7,231)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(7,555)</w:t>
            </w:r>
          </w:p>
        </w:tc>
      </w:tr>
      <w:tr>
        <w:trPr/>
        <w:tc>
          <w:tcPr>
            <w:tcW w:w="25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Financing activities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(101,526)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(15,070)</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Operating Activities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increase in our operating cash flows for the six-month period ended June 30, 2024 as compared to the same period in 2023 primarily reflects higher operating income, and lower regulatory recertification costs for our vessels and systems, offset in part by higher working capital outflows. Operating cash outflows during the six-month period ended June 30, 2024 included $58.3 million of the $85.0 million earn-out payment on April 3, 2024, representing the amount in the excess of the $26.7 million fair value of earn-out consideration at the Alliance acquisition date. Regulatory recertification spend on our vessels and systems amounted to $20.3 million and $41.3 million, respectively, during the comparable year over year periods.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Investing Activities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Cash flows used in investing activities for the six-month periods ended June 30, 2024 and 2023 reflect comparable capital expenditure levels during the year over year periods.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36</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Financing Activities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Net cash outflows from financing activities for the six-month period ended June 30, 2024 primarily reflect cash outflows of $60.7 million related to the 2026 Notes, $26.7 million of the $85.0 million earn-out payment, $10.2 million in repurchases of our common stock under the 2023 Repurchase Program and the principal repayment of $4.3 million related to the MARAD Debt, offset in part by $4.4 million from the proportionate settlement of the 2026 Capped Calls. Net cash outflows from financing activities for the six-month period ended June 30, 2023 primarily reflect $10.1 million in repurchases of our common stock under the 2023 Repurchase Program and the repayment of $4.1 million related to the MARAD Debt.</w:t>
      </w:r>
    </w:p>
    <w:p>
      <w:pPr>
        <w:pStyle w:val="TextBody"/>
        <w:bidi w:val="0"/>
        <w:spacing w:before="0" w:after="24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Material Cash Requirements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material cash requirements include our obligations to repay our long-term debt, satisfy other contractual cash commitments and fund other obligations.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Long-term debt and other contractual commitments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summarizes (in thousands) the principal amount of our long-term debt and related debt service costs as well as other contractual commitments, which include commitments for property and equipment and operating lease obligations, as of June 30, 2024 and the portions of those amounts that are short-term (due in less than one year) and long-term (due in one year or greater) based on their stated maturities. Our property and equipment commitments include contractually committed amounts to purchase and service certain property and equipment (inclusive of commitments related to regulatory recertification and dry dock as discussed below) but do not include expected capital spending that is not contractually committed as of June 30, 2024.</w:t>
      </w:r>
    </w:p>
    <w:p>
      <w:pPr>
        <w:pStyle w:val="TextBody"/>
        <w:bidi w:val="0"/>
        <w:spacing w:before="0" w:after="240"/>
        <w:ind w:left="0" w:right="0" w:firstLine="720"/>
        <w:jc w:val="left"/>
        <w:rPr/>
      </w:pPr>
      <w:r>
        <w:rPr/>
        <w:t>​</w:t>
      </w:r>
    </w:p>
    <w:tbl>
      <w:tblPr>
        <w:tblW w:w="6786" w:type="dxa"/>
        <w:jc w:val="left"/>
        <w:tblInd w:w="0" w:type="dxa"/>
        <w:tblLayout w:type="fixed"/>
        <w:tblCellMar>
          <w:top w:w="0" w:type="dxa"/>
          <w:left w:w="0" w:type="dxa"/>
          <w:bottom w:w="0" w:type="dxa"/>
          <w:right w:w="0" w:type="dxa"/>
        </w:tblCellMar>
      </w:tblPr>
      <w:tblGrid>
        <w:gridCol w:w="2191"/>
        <w:gridCol w:w="326"/>
        <w:gridCol w:w="211"/>
        <w:gridCol w:w="961"/>
        <w:gridCol w:w="326"/>
        <w:gridCol w:w="242"/>
        <w:gridCol w:w="914"/>
        <w:gridCol w:w="326"/>
        <w:gridCol w:w="211"/>
        <w:gridCol w:w="1078"/>
      </w:tblGrid>
      <w:tr>
        <w:trPr/>
        <w:tc>
          <w:tcPr>
            <w:tcW w:w="21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07010" cy="175260"/>
                      <wp:effectExtent l="0" t="0" r="0" b="0"/>
                      <wp:wrapNone/>
                      <wp:docPr id="384" name="Frame3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133985" cy="175260"/>
                      <wp:effectExtent l="0" t="0" r="0" b="0"/>
                      <wp:wrapNone/>
                      <wp:docPr id="385" name="Frame3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610235" cy="175260"/>
                      <wp:effectExtent l="0" t="0" r="0" b="0"/>
                      <wp:wrapNone/>
                      <wp:docPr id="386" name="Frame385"/>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07010" cy="175260"/>
                      <wp:effectExtent l="0" t="0" r="0" b="0"/>
                      <wp:wrapNone/>
                      <wp:docPr id="387" name="Frame3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53670" cy="175260"/>
                      <wp:effectExtent l="0" t="0" r="0" b="0"/>
                      <wp:wrapNone/>
                      <wp:docPr id="388" name="Frame387"/>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580390" cy="175260"/>
                      <wp:effectExtent l="0" t="0" r="0" b="0"/>
                      <wp:wrapNone/>
                      <wp:docPr id="389" name="Frame388"/>
                      <a:graphic xmlns:a="http://schemas.openxmlformats.org/drawingml/2006/main">
                        <a:graphicData uri="http://schemas.microsoft.com/office/word/2010/wordprocessingShape">
                          <wps:wsp>
                            <wps:cNvSpPr txBox="1"/>
                            <wps:spPr>
                              <a:xfrm>
                                <a:off x="0" y="0"/>
                                <a:ext cx="580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07010" cy="175260"/>
                      <wp:effectExtent l="0" t="0" r="0" b="0"/>
                      <wp:wrapNone/>
                      <wp:docPr id="390" name="Frame3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133985" cy="175260"/>
                      <wp:effectExtent l="0" t="0" r="0" b="0"/>
                      <wp:wrapNone/>
                      <wp:docPr id="391" name="Frame3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684530" cy="175260"/>
                      <wp:effectExtent l="0" t="0" r="0" b="0"/>
                      <wp:wrapNone/>
                      <wp:docPr id="392" name="Frame391"/>
                      <a:graphic xmlns:a="http://schemas.openxmlformats.org/drawingml/2006/main">
                        <a:graphicData uri="http://schemas.microsoft.com/office/word/2010/wordprocessingShape">
                          <wps:wsp>
                            <wps:cNvSpPr txBox="1"/>
                            <wps:spPr>
                              <a:xfrm>
                                <a:off x="0" y="0"/>
                                <a:ext cx="684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Total</w:t>
            </w:r>
          </w:p>
        </w:tc>
        <w:tc>
          <w:tcPr>
            <w:tcW w:w="326" w:type="dxa"/>
            <w:tcBorders/>
            <w:vAlign w:val="center"/>
          </w:tcPr>
          <w:p>
            <w:pPr>
              <w:pStyle w:val="TableContents"/>
              <w:bidi w:val="0"/>
              <w:spacing w:before="0" w:after="1"/>
              <w:ind w:left="0" w:right="0" w:hanging="0"/>
              <w:jc w:val="center"/>
              <w:rPr/>
            </w:pPr>
            <w:r>
              <w:rPr/>
              <w:t>    </w:t>
            </w:r>
          </w:p>
        </w:tc>
        <w:tc>
          <w:tcPr>
            <w:tcW w:w="11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Short-Term</w:t>
            </w:r>
          </w:p>
        </w:tc>
        <w:tc>
          <w:tcPr>
            <w:tcW w:w="326" w:type="dxa"/>
            <w:tcBorders/>
            <w:vAlign w:val="center"/>
          </w:tcPr>
          <w:p>
            <w:pPr>
              <w:pStyle w:val="TableContents"/>
              <w:bidi w:val="0"/>
              <w:spacing w:before="0" w:after="1"/>
              <w:ind w:left="0" w:right="0" w:hanging="0"/>
              <w:jc w:val="center"/>
              <w:rPr/>
            </w:pPr>
            <w:r>
              <w:rPr/>
              <w:t>    </w:t>
            </w:r>
          </w:p>
        </w:tc>
        <w:tc>
          <w:tcPr>
            <w:tcW w:w="128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Long-Term</w:t>
            </w:r>
          </w:p>
        </w:tc>
      </w:tr>
      <w:tr>
        <w:trPr/>
        <w:tc>
          <w:tcPr>
            <w:tcW w:w="21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MARAD debt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28,258</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8,965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19,293</w:t>
            </w:r>
          </w:p>
        </w:tc>
      </w:tr>
      <w:tr>
        <w:trPr/>
        <w:tc>
          <w:tcPr>
            <w:tcW w:w="21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2029 Notes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300,000</w:t>
            </w:r>
          </w:p>
        </w:tc>
        <w:tc>
          <w:tcPr>
            <w:tcW w:w="3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 </w:t>
            </w:r>
          </w:p>
        </w:tc>
        <w:tc>
          <w:tcPr>
            <w:tcW w:w="91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7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300,000</w:t>
            </w:r>
          </w:p>
        </w:tc>
      </w:tr>
      <w:tr>
        <w:trPr/>
        <w:tc>
          <w:tcPr>
            <w:tcW w:w="21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Interest related to debt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139,900</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 </w:t>
            </w:r>
          </w:p>
        </w:tc>
        <w:tc>
          <w:tcPr>
            <w:tcW w:w="91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30,988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7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108,912</w:t>
            </w:r>
          </w:p>
        </w:tc>
      </w:tr>
      <w:tr>
        <w:trPr/>
        <w:tc>
          <w:tcPr>
            <w:tcW w:w="21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Property and equipment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17,511</w:t>
            </w:r>
          </w:p>
        </w:tc>
        <w:tc>
          <w:tcPr>
            <w:tcW w:w="3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 </w:t>
            </w:r>
          </w:p>
        </w:tc>
        <w:tc>
          <w:tcPr>
            <w:tcW w:w="91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17,511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78" w:type="dxa"/>
            <w:tcBorders/>
            <w:vAlign w:val="center"/>
          </w:tcPr>
          <w:p>
            <w:pPr>
              <w:pStyle w:val="TableContents"/>
              <w:bidi w:val="0"/>
              <w:spacing w:before="0" w:after="1"/>
              <w:ind w:left="0" w:right="0" w:hanging="0"/>
              <w:jc w:val="right"/>
              <w:rPr/>
            </w:pPr>
            <w:r>
              <w:rPr/>
              <w:t>—</w:t>
            </w:r>
          </w:p>
        </w:tc>
      </w:tr>
      <w:tr>
        <w:trPr/>
        <w:tc>
          <w:tcPr>
            <w:tcW w:w="2191" w:type="dxa"/>
            <w:tcBorders/>
            <w:shd w:fill="CCEEFF" w:val="clear"/>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Operating leases </w:t>
            </w:r>
            <w:r>
              <w:rPr>
                <w:rFonts w:ascii="Arial;Helvetica;sans-serif" w:hAnsi="Arial;Helvetica;san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895,106</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141,076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754,030</w:t>
            </w:r>
          </w:p>
        </w:tc>
      </w:tr>
      <w:tr>
        <w:trPr/>
        <w:tc>
          <w:tcPr>
            <w:tcW w:w="21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cash obligations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1,380,775</w:t>
            </w:r>
          </w:p>
        </w:tc>
        <w:tc>
          <w:tcPr>
            <w:tcW w:w="326" w:type="dxa"/>
            <w:tcBorders/>
            <w:vAlign w:val="center"/>
          </w:tcPr>
          <w:p>
            <w:pPr>
              <w:pStyle w:val="TableContents"/>
              <w:bidi w:val="0"/>
              <w:spacing w:before="0" w:after="1"/>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4"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198,540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8" w:type="dxa"/>
            <w:tcBorders>
              <w:bottom w:val="double" w:sz="6" w:space="0" w:color="000000"/>
            </w:tcBorders>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1,182,235</w:t>
            </w:r>
          </w:p>
        </w:tc>
      </w:tr>
    </w:tbl>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903"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Operating leases include vessel charters and facility and equipment leases. At June 30, 2024, our commitment related to long-term vessel charters totaled approximately $876.4 million, of which $437.2 million was related to the non-lease (services) components that are not included in operating lease liabilities in the condensed consolidated balance sheet as of June 30, 2024.</w:t>
            </w:r>
          </w:p>
        </w:tc>
      </w:tr>
    </w:tbl>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Other material cash requirements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Other material cash requirements include the following:</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i/>
          <w:sz w:val="20"/>
        </w:rPr>
        <w:t>Decommissioning.</w:t>
      </w:r>
      <w:r>
        <w:rPr>
          <w:rFonts w:ascii="Arial;Helvetica;sans-serif" w:hAnsi="Arial;Helvetica;sans-serif"/>
          <w:sz w:val="20"/>
        </w:rPr>
        <w:t xml:space="preserve"> We have decommissioning obligations associated with our oil and gas properties (Note 12). Those obligations, which are presented on a discounted basis on the condensed consolidated balance sheets, approximate $80.9 million (undiscounted) for Thunder Hawk Field oil and gas properties and $37.1 million (undiscounted) for Droshky oil and gas properties as of June 30, 2024, none of which is expected to be paid during the next 12 months. We are entitled to receive $30.0 million (undiscounted) from Marathon Oil as certain decommissioning obligations associated with Droshky oil and gas properties are fulfilled.</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i/>
          <w:sz w:val="20"/>
        </w:rPr>
        <w:t>Regulatory recertification and dry dock.</w:t>
      </w:r>
      <w:r>
        <w:rPr>
          <w:rFonts w:ascii="Arial;Helvetica;sans-serif" w:hAnsi="Arial;Helvetica;sans-serif"/>
          <w:sz w:val="20"/>
        </w:rPr>
        <w:t xml:space="preserve"> Our vessels and systems are subject to certain regulatory recertification requirements that must be satisfied in order for the vessels and systems to operate. Recertification may require dry dock and other compliance costs on a periodic basis, usually every 30 months. Although the amount and timing of these costs may vary and are dependent on the timing of the certification renewal period, they generally range between $0.2 million to $15.0 million per vessel and $0.5 million to $5.0 million per system.</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37</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expect the sources of funds to satisfy our material cash requirements to primarily come from our ongoing operations and existing cash on hand, but may also come from availability under the Amended ABL Facility and access to capital markets.</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CRITICAL ACCOUNTING ESTIMATES AND POLICIES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Our discussion and analysis of our financial condition and results of operations, as reflected in the condensed consolidated financial statements and related footnotes, are prepared in conformity with GAAP. As such, we are required to make certain estimates, judgments and assumptions that have had or are reasonably likely to have a material impact on our financial condition or results of operations. We base our estimates on historical experience, available information and various other assumptions we believe to be reasonable under the circumstances. These estimates involve a significant level of estimation uncertainty and may change over time as new events occur, as more experience is acquired, as additional information is obtained and as our operating environment changes. For information regarding our critical accounting estimates, see our “Critical Accounting Estimates” as disclosed in our 2023 Form 10-K.</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1348" w:name="Item3QuantitativeandQualitativeDisclosur"/>
      <w:bookmarkStart w:id="1349" w:name="_ca997a64_3ffc_4b54_84e0_985139b66b4b"/>
      <w:bookmarkEnd w:id="1348"/>
      <w:bookmarkEnd w:id="1349"/>
      <w:r>
        <w:rPr>
          <w:rFonts w:ascii="Arial;Helvetica;sans-serif" w:hAnsi="Arial;Helvetica;sans-serif"/>
          <w:b/>
          <w:sz w:val="20"/>
        </w:rPr>
        <w:t>Item 3. Quantitative and Qualitative Disclosures About Market Risk</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As a multi-national organization, we are subject to market risks associated with foreign currency exchange rates, interest rates and commodity prices.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i/>
          <w:sz w:val="20"/>
        </w:rPr>
        <w:t xml:space="preserve">Foreign Currency Exchange Rate Risk. </w:t>
      </w:r>
      <w:r>
        <w:rPr>
          <w:rFonts w:ascii="Arial;Helvetica;sans-serif" w:hAnsi="Arial;Helvetica;sans-serif"/>
          <w:sz w:val="20"/>
        </w:rPr>
        <w:t>Because we operate in various regions around the world, we conduct a portion of our business in currencies other than the U.S. dollar. As such, our earnings are impacted by movements in foreign currency exchange rates when (i) transactions are denominated in currencies other than the functional currency of the relevant Helix entity or (ii) the functional currency of our subsidiaries is not the U.S. dollar. In order to mitigate the effects of exchange rate risk in areas outside the U.S., we endeavor to pay a portion of our expenses in local currencies to partially offset revenues that are denominated in the same local currencies. In addition, a substantial portion of our contracts are denominated, and provide for collections from our customers, in U.S. dollars.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Assets and liabilities of our subsidiaries that do not have the U.S. dollar as their functional currency are translated using the exchange rates in effect at the balance sheet date, and changes in the exchange rates can result in translation adjustments that are reflected in “Accumulated other comprehensive loss” in the shareholders’ equity section of our condensed consolidated balance sheets. For the six-month period ended June 30, 2024, we recorded foreign currency translation losses of $6.4 million to accumulated other comprehensive loss. Deferred taxes have not been provided on foreign currency translation adjustments as any outside stock basis differences would be realized in a tax-free manner.</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When currencies other than the functional currency are to be paid or received, the resulting transaction gain or loss associated with changes in the applicable foreign currency exchange rate is recognized in the condensed consolidated statements of operations as a component of “Other income (expense), net.” Foreign currency gains or losses from the remeasurement of monetary assets and liabilities as well as unsettled foreign currency transactions, including intercompany transactions that are not of a long-term investment nature, are also recognized as a component of “Other income (expense), net.” For the three- and six-month periods ended June 30, 2024, we recorded net foreign currency losses of $0.4 million and $2.6 million, respectively, primarily reflecting foreign currency losses related to U.S. dollar denominated intercompany debt in our U.K. entities.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i/>
          <w:sz w:val="20"/>
        </w:rPr>
        <w:t xml:space="preserve">Interest Rate Risk. </w:t>
      </w:r>
      <w:r>
        <w:rPr>
          <w:rFonts w:ascii="Arial;Helvetica;sans-serif" w:hAnsi="Arial;Helvetica;sans-serif"/>
          <w:sz w:val="20"/>
        </w:rPr>
        <w:t>In order to minimize the risk of changes to our cash flow due to changing interest rates, we generally borrow at fixed rates, but may borrow at variable rates from time to time. For fixed rate debt, changes in interest rates may not affect our interest expense, but could result in changes in the fair value of the debt instrument prior to maturity and we may be at risk upon refinancing maturing debt. For variable rate debt, changes in interest rates could affect our future interest expense and cash flows. We currently have no amounts outstanding under our ABL Facility or other debt subject to floating rates.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i/>
          <w:sz w:val="20"/>
        </w:rPr>
        <w:t xml:space="preserve">Commodity Price Risk. </w:t>
      </w:r>
      <w:r>
        <w:rPr>
          <w:rFonts w:ascii="Arial;Helvetica;sans-serif" w:hAnsi="Arial;Helvetica;sans-serif"/>
          <w:sz w:val="20"/>
        </w:rPr>
        <w:t>We are exposed to market price risks related to oil and natural gas with respect to offshore oil and gas production in our Production Facilities business. Prices are volatile and unpredictable and are dependent on many factors beyond our control. See Item 1A. Risk Factors in our 2023 Form 10-K for a list of factors affecting oil and gas prices.</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38</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bookmarkStart w:id="1350" w:name="Item4ControlsandProcedures_957871"/>
      <w:bookmarkStart w:id="1351" w:name="_7150c3bb_1c23_46a4_8c60_093815997381"/>
      <w:bookmarkEnd w:id="1350"/>
      <w:bookmarkEnd w:id="1351"/>
      <w:r>
        <w:rPr>
          <w:rFonts w:ascii="Arial;Helvetica;sans-serif" w:hAnsi="Arial;Helvetica;sans-serif"/>
          <w:b/>
          <w:sz w:val="20"/>
        </w:rPr>
        <w:t>Item 4. Controls and Procedures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  Evaluation of disclosure controls and procedures. Our management, with the participation of our principal executive officer and principal financial officer, has evaluated the effectiveness of our disclosure controls and procedures, as defined in Rules 13a-15(e) and 15d-15(e) under the Exchange Act, as of June 30, 2024. Based on this evaluation, our principal executive officer and principal financial officer have concluded that our disclosure controls and procedures were effective as of June 30, 2024 to ensure that information that is required to be disclosed by us in the reports we file or submit under the Exchange Act is (i) recorded, processed, summarized and reported within the time periods specified in the SEC’s rules and forms; and (ii) accumulated and communicated to our management, as appropriate, to allow timely decisions regarding required disclosure.</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(b)  Changes in internal control over financial reporting. There have been no changes in our internal control over financial reporting that occurred during the three-month period ended June 30, 2024 that have materially affected, or are reasonably likely to materially affect, our internal control over financial reporting.</w:t>
      </w:r>
    </w:p>
    <w:p>
      <w:pPr>
        <w:pStyle w:val="TextBody"/>
        <w:bidi w:val="0"/>
        <w:spacing w:before="0" w:after="240"/>
        <w:ind w:left="0" w:right="0" w:hanging="0"/>
        <w:jc w:val="left"/>
        <w:rPr/>
      </w:pPr>
      <w:r>
        <w:rPr/>
        <w:t>​</w:t>
      </w:r>
    </w:p>
    <w:p>
      <w:pPr>
        <w:pStyle w:val="TextBody"/>
        <w:bidi w:val="0"/>
        <w:spacing w:before="0" w:after="240"/>
        <w:ind w:left="0" w:right="0" w:hanging="0"/>
        <w:jc w:val="center"/>
        <w:rPr>
          <w:rFonts w:ascii="Arial;Helvetica;sans-serif" w:hAnsi="Arial;Helvetica;sans-serif"/>
          <w:b/>
          <w:sz w:val="20"/>
        </w:rPr>
      </w:pPr>
      <w:bookmarkStart w:id="1352" w:name="PartIIOTHERINFORMATION_832834"/>
      <w:bookmarkStart w:id="1353" w:name="_688b1768_53a1_47d1_b0f4_e92d252f1c66"/>
      <w:bookmarkEnd w:id="1352"/>
      <w:bookmarkEnd w:id="1353"/>
      <w:r>
        <w:rPr>
          <w:rFonts w:ascii="Arial;Helvetica;sans-serif" w:hAnsi="Arial;Helvetica;sans-serif"/>
          <w:b/>
          <w:sz w:val="20"/>
        </w:rPr>
        <w:t>Part II. OTHER INFORMATION</w:t>
      </w:r>
    </w:p>
    <w:p>
      <w:pPr>
        <w:pStyle w:val="TextBody"/>
        <w:bidi w:val="0"/>
        <w:spacing w:before="0" w:after="240"/>
        <w:ind w:left="0" w:right="0" w:hanging="0"/>
        <w:jc w:val="left"/>
        <w:rPr>
          <w:rFonts w:ascii="Arial;Helvetica;sans-serif" w:hAnsi="Arial;Helvetica;sans-serif"/>
          <w:b/>
          <w:sz w:val="20"/>
        </w:rPr>
      </w:pPr>
      <w:bookmarkStart w:id="1354" w:name="Item1LegalProceedings_634382"/>
      <w:bookmarkEnd w:id="1354"/>
      <w:r>
        <w:rPr>
          <w:rFonts w:ascii="Arial;Helvetica;sans-serif" w:hAnsi="Arial;Helvetica;sans-serif"/>
          <w:b/>
          <w:sz w:val="20"/>
        </w:rPr>
        <w:t>Item 1. Legal Proceedings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See Part I, Item 1, Note 13 — Commitments and Contingencies and Other Matters to the Condensed Consolidated Financial Statements, which is incorporated herein by reference.</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1355" w:name="Item1ARiskFactors"/>
      <w:bookmarkStart w:id="1356" w:name="_0c0febb3_6557_4c8b_87a9_ccba91c137df"/>
      <w:bookmarkStart w:id="1357" w:name="_Item_1A._Risk"/>
      <w:bookmarkEnd w:id="1355"/>
      <w:bookmarkEnd w:id="1356"/>
      <w:bookmarkEnd w:id="1357"/>
      <w:r>
        <w:rPr>
          <w:rFonts w:ascii="Arial;Helvetica;sans-serif" w:hAnsi="Arial;Helvetica;sans-serif"/>
          <w:b/>
          <w:sz w:val="20"/>
        </w:rPr>
        <w:t>Item 1A. Risk Factors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There have been no material changes during the period ended June 30, 2024 in our “Risk Factors” as discussed in Item 1A of our Annual Report on Form 10-K for the year ended December 31, 2023.</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1358" w:name="Item2UnregisteredSalesofEquitySecurities"/>
      <w:bookmarkStart w:id="1359" w:name="_5f1c01ea_a750_4e86_9d6a_839881005213"/>
      <w:bookmarkEnd w:id="1358"/>
      <w:bookmarkEnd w:id="1359"/>
      <w:r>
        <w:rPr>
          <w:rFonts w:ascii="Arial;Helvetica;sans-serif" w:hAnsi="Arial;Helvetica;sans-serif"/>
          <w:b/>
          <w:sz w:val="20"/>
        </w:rPr>
        <w:t>Item 2. Unregistered Sales of Equity Securities and Use of Proceeds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Issuer Purchases of Equity Securities</w:t>
      </w:r>
    </w:p>
    <w:p>
      <w:pPr>
        <w:pStyle w:val="TextBody"/>
        <w:bidi w:val="0"/>
        <w:spacing w:before="0" w:after="240"/>
        <w:ind w:left="0" w:right="0" w:hanging="0"/>
        <w:jc w:val="center"/>
        <w:rPr/>
      </w:pPr>
      <w:r>
        <w:rPr/>
        <w:t>​</w:t>
      </w:r>
    </w:p>
    <w:tbl>
      <w:tblPr>
        <w:tblW w:w="9737" w:type="dxa"/>
        <w:jc w:val="left"/>
        <w:tblInd w:w="0" w:type="dxa"/>
        <w:tblLayout w:type="fixed"/>
        <w:tblCellMar>
          <w:top w:w="0" w:type="dxa"/>
          <w:left w:w="0" w:type="dxa"/>
          <w:bottom w:w="0" w:type="dxa"/>
          <w:right w:w="0" w:type="dxa"/>
        </w:tblCellMar>
      </w:tblPr>
      <w:tblGrid>
        <w:gridCol w:w="2221"/>
        <w:gridCol w:w="326"/>
        <w:gridCol w:w="1351"/>
        <w:gridCol w:w="326"/>
        <w:gridCol w:w="273"/>
        <w:gridCol w:w="762"/>
        <w:gridCol w:w="326"/>
        <w:gridCol w:w="1711"/>
        <w:gridCol w:w="326"/>
        <w:gridCol w:w="422"/>
        <w:gridCol w:w="1693"/>
      </w:tblGrid>
      <w:tr>
        <w:trPr/>
        <w:tc>
          <w:tcPr>
            <w:tcW w:w="22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07010" cy="175260"/>
                      <wp:effectExtent l="0" t="0" r="0" b="0"/>
                      <wp:wrapNone/>
                      <wp:docPr id="393" name="Frame3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857885" cy="175260"/>
                      <wp:effectExtent l="0" t="0" r="0" b="0"/>
                      <wp:wrapNone/>
                      <wp:docPr id="394" name="Frame393"/>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07010" cy="175260"/>
                      <wp:effectExtent l="0" t="0" r="0" b="0"/>
                      <wp:wrapNone/>
                      <wp:docPr id="395" name="Frame3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173355" cy="175260"/>
                      <wp:effectExtent l="0" t="0" r="0" b="0"/>
                      <wp:wrapNone/>
                      <wp:docPr id="396" name="Frame395"/>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483870" cy="175260"/>
                      <wp:effectExtent l="0" t="0" r="0" b="0"/>
                      <wp:wrapNone/>
                      <wp:docPr id="397" name="Frame396"/>
                      <a:graphic xmlns:a="http://schemas.openxmlformats.org/drawingml/2006/main">
                        <a:graphicData uri="http://schemas.microsoft.com/office/word/2010/wordprocessingShape">
                          <wps:wsp>
                            <wps:cNvSpPr txBox="1"/>
                            <wps:spPr>
                              <a:xfrm>
                                <a:off x="0" y="0"/>
                                <a:ext cx="483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07010" cy="175260"/>
                      <wp:effectExtent l="0" t="0" r="0" b="0"/>
                      <wp:wrapNone/>
                      <wp:docPr id="398" name="Frame3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1086485" cy="175260"/>
                      <wp:effectExtent l="0" t="0" r="0" b="0"/>
                      <wp:wrapNone/>
                      <wp:docPr id="399" name="Frame398"/>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07010" cy="175260"/>
                      <wp:effectExtent l="0" t="0" r="0" b="0"/>
                      <wp:wrapNone/>
                      <wp:docPr id="400" name="Frame3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67970" cy="175260"/>
                      <wp:effectExtent l="0" t="0" r="0" b="0"/>
                      <wp:wrapNone/>
                      <wp:docPr id="401" name="Frame400"/>
                      <a:graphic xmlns:a="http://schemas.openxmlformats.org/drawingml/2006/main">
                        <a:graphicData uri="http://schemas.microsoft.com/office/word/2010/wordprocessingShape">
                          <wps:wsp>
                            <wps:cNvSpPr txBox="1"/>
                            <wps:spPr>
                              <a:xfrm>
                                <a:off x="0" y="0"/>
                                <a:ext cx="267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1075055" cy="175260"/>
                      <wp:effectExtent l="0" t="0" r="0" b="0"/>
                      <wp:wrapNone/>
                      <wp:docPr id="402" name="Frame401"/>
                      <a:graphic xmlns:a="http://schemas.openxmlformats.org/drawingml/2006/main">
                        <a:graphicData uri="http://schemas.microsoft.com/office/word/2010/wordprocessingShape">
                          <wps:wsp>
                            <wps:cNvSpPr txBox="1"/>
                            <wps:spPr>
                              <a:xfrm>
                                <a:off x="0" y="0"/>
                                <a:ext cx="10750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2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3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73" w:type="dxa"/>
            <w:tcBorders/>
            <w:vAlign w:val="center"/>
          </w:tcPr>
          <w:p>
            <w:pPr>
              <w:pStyle w:val="TableContents"/>
              <w:bidi w:val="0"/>
              <w:spacing w:before="0" w:after="1"/>
              <w:ind w:left="0" w:right="0" w:hanging="0"/>
              <w:jc w:val="left"/>
              <w:rPr/>
            </w:pPr>
            <w:r>
              <w:rPr/>
              <w:t>​</w:t>
            </w:r>
          </w:p>
        </w:tc>
        <w:tc>
          <w:tcPr>
            <w:tcW w:w="76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711" w:type="dxa"/>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(c)</w:t>
            </w:r>
          </w:p>
        </w:tc>
        <w:tc>
          <w:tcPr>
            <w:tcW w:w="326" w:type="dxa"/>
            <w:tcBorders/>
            <w:vAlign w:val="center"/>
          </w:tcPr>
          <w:p>
            <w:pPr>
              <w:pStyle w:val="TableContents"/>
              <w:bidi w:val="0"/>
              <w:spacing w:before="0" w:after="1"/>
              <w:ind w:left="0" w:right="0" w:hanging="0"/>
              <w:jc w:val="center"/>
              <w:rPr/>
            </w:pPr>
            <w:r>
              <w:rPr/>
              <w:t>​</w:t>
            </w:r>
          </w:p>
        </w:tc>
        <w:tc>
          <w:tcPr>
            <w:tcW w:w="2115"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w:t>
            </w:r>
          </w:p>
        </w:tc>
      </w:tr>
      <w:tr>
        <w:trPr/>
        <w:tc>
          <w:tcPr>
            <w:tcW w:w="22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3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73" w:type="dxa"/>
            <w:tcBorders/>
            <w:vAlign w:val="center"/>
          </w:tcPr>
          <w:p>
            <w:pPr>
              <w:pStyle w:val="TableContents"/>
              <w:bidi w:val="0"/>
              <w:spacing w:before="0" w:after="1"/>
              <w:ind w:left="0" w:right="0" w:hanging="0"/>
              <w:jc w:val="left"/>
              <w:rPr/>
            </w:pPr>
            <w:r>
              <w:rPr/>
              <w:t>​</w:t>
            </w:r>
          </w:p>
        </w:tc>
        <w:tc>
          <w:tcPr>
            <w:tcW w:w="76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711" w:type="dxa"/>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Total number</w:t>
            </w:r>
          </w:p>
        </w:tc>
        <w:tc>
          <w:tcPr>
            <w:tcW w:w="326" w:type="dxa"/>
            <w:tcBorders/>
            <w:vAlign w:val="center"/>
          </w:tcPr>
          <w:p>
            <w:pPr>
              <w:pStyle w:val="TableContents"/>
              <w:bidi w:val="0"/>
              <w:spacing w:before="0" w:after="1"/>
              <w:ind w:left="0" w:right="0" w:hanging="0"/>
              <w:jc w:val="center"/>
              <w:rPr/>
            </w:pPr>
            <w:r>
              <w:rPr/>
              <w:t>​</w:t>
            </w:r>
          </w:p>
        </w:tc>
        <w:tc>
          <w:tcPr>
            <w:tcW w:w="2115"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Approximate dollar</w:t>
            </w:r>
          </w:p>
        </w:tc>
      </w:tr>
      <w:tr>
        <w:trPr/>
        <w:tc>
          <w:tcPr>
            <w:tcW w:w="22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3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73" w:type="dxa"/>
            <w:tcBorders/>
            <w:vAlign w:val="center"/>
          </w:tcPr>
          <w:p>
            <w:pPr>
              <w:pStyle w:val="TableContents"/>
              <w:bidi w:val="0"/>
              <w:spacing w:before="0" w:after="1"/>
              <w:ind w:left="0" w:right="0" w:hanging="0"/>
              <w:jc w:val="left"/>
              <w:rPr/>
            </w:pPr>
            <w:r>
              <w:rPr/>
              <w:t>​</w:t>
            </w:r>
          </w:p>
        </w:tc>
        <w:tc>
          <w:tcPr>
            <w:tcW w:w="76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711" w:type="dxa"/>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of shares</w:t>
            </w:r>
          </w:p>
        </w:tc>
        <w:tc>
          <w:tcPr>
            <w:tcW w:w="326" w:type="dxa"/>
            <w:tcBorders/>
            <w:vAlign w:val="center"/>
          </w:tcPr>
          <w:p>
            <w:pPr>
              <w:pStyle w:val="TableContents"/>
              <w:bidi w:val="0"/>
              <w:spacing w:before="0" w:after="1"/>
              <w:ind w:left="0" w:right="0" w:hanging="0"/>
              <w:jc w:val="center"/>
              <w:rPr/>
            </w:pPr>
            <w:r>
              <w:rPr/>
              <w:t>​</w:t>
            </w:r>
          </w:p>
        </w:tc>
        <w:tc>
          <w:tcPr>
            <w:tcW w:w="2115"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value of shares</w:t>
            </w:r>
          </w:p>
        </w:tc>
      </w:tr>
      <w:tr>
        <w:trPr/>
        <w:tc>
          <w:tcPr>
            <w:tcW w:w="22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351" w:type="dxa"/>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(a)</w:t>
            </w:r>
          </w:p>
        </w:tc>
        <w:tc>
          <w:tcPr>
            <w:tcW w:w="326" w:type="dxa"/>
            <w:tcBorders/>
            <w:vAlign w:val="center"/>
          </w:tcPr>
          <w:p>
            <w:pPr>
              <w:pStyle w:val="TableContents"/>
              <w:bidi w:val="0"/>
              <w:spacing w:before="0" w:after="1"/>
              <w:ind w:left="0" w:right="0" w:hanging="0"/>
              <w:jc w:val="center"/>
              <w:rPr/>
            </w:pPr>
            <w:r>
              <w:rPr/>
              <w:t>​</w:t>
            </w:r>
          </w:p>
        </w:tc>
        <w:tc>
          <w:tcPr>
            <w:tcW w:w="1035"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(b)</w:t>
            </w:r>
          </w:p>
        </w:tc>
        <w:tc>
          <w:tcPr>
            <w:tcW w:w="326" w:type="dxa"/>
            <w:tcBorders/>
            <w:vAlign w:val="center"/>
          </w:tcPr>
          <w:p>
            <w:pPr>
              <w:pStyle w:val="TableContents"/>
              <w:bidi w:val="0"/>
              <w:spacing w:before="0" w:after="1"/>
              <w:ind w:left="0" w:right="0" w:hanging="0"/>
              <w:jc w:val="center"/>
              <w:rPr/>
            </w:pPr>
            <w:r>
              <w:rPr/>
              <w:t>​</w:t>
            </w:r>
          </w:p>
        </w:tc>
        <w:tc>
          <w:tcPr>
            <w:tcW w:w="1711" w:type="dxa"/>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purchased as</w:t>
            </w:r>
          </w:p>
        </w:tc>
        <w:tc>
          <w:tcPr>
            <w:tcW w:w="326" w:type="dxa"/>
            <w:tcBorders/>
            <w:vAlign w:val="center"/>
          </w:tcPr>
          <w:p>
            <w:pPr>
              <w:pStyle w:val="TableContents"/>
              <w:bidi w:val="0"/>
              <w:spacing w:before="0" w:after="1"/>
              <w:ind w:left="0" w:right="0" w:hanging="0"/>
              <w:jc w:val="center"/>
              <w:rPr/>
            </w:pPr>
            <w:r>
              <w:rPr/>
              <w:t>​</w:t>
            </w:r>
          </w:p>
        </w:tc>
        <w:tc>
          <w:tcPr>
            <w:tcW w:w="2115"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that may yet be</w:t>
            </w:r>
          </w:p>
        </w:tc>
      </w:tr>
      <w:tr>
        <w:trPr/>
        <w:tc>
          <w:tcPr>
            <w:tcW w:w="22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351" w:type="dxa"/>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Total number</w:t>
            </w:r>
          </w:p>
        </w:tc>
        <w:tc>
          <w:tcPr>
            <w:tcW w:w="326" w:type="dxa"/>
            <w:tcBorders/>
            <w:vAlign w:val="center"/>
          </w:tcPr>
          <w:p>
            <w:pPr>
              <w:pStyle w:val="TableContents"/>
              <w:bidi w:val="0"/>
              <w:spacing w:before="0" w:after="1"/>
              <w:ind w:left="0" w:right="0" w:hanging="0"/>
              <w:jc w:val="center"/>
              <w:rPr/>
            </w:pPr>
            <w:r>
              <w:rPr/>
              <w:t>​</w:t>
            </w:r>
          </w:p>
        </w:tc>
        <w:tc>
          <w:tcPr>
            <w:tcW w:w="1035"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Average</w:t>
            </w:r>
          </w:p>
        </w:tc>
        <w:tc>
          <w:tcPr>
            <w:tcW w:w="326" w:type="dxa"/>
            <w:tcBorders/>
            <w:vAlign w:val="center"/>
          </w:tcPr>
          <w:p>
            <w:pPr>
              <w:pStyle w:val="TableContents"/>
              <w:bidi w:val="0"/>
              <w:spacing w:before="0" w:after="1"/>
              <w:ind w:left="0" w:right="0" w:hanging="0"/>
              <w:jc w:val="center"/>
              <w:rPr/>
            </w:pPr>
            <w:r>
              <w:rPr/>
              <w:t>​</w:t>
            </w:r>
          </w:p>
        </w:tc>
        <w:tc>
          <w:tcPr>
            <w:tcW w:w="1711" w:type="dxa"/>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part of publicly</w:t>
            </w:r>
          </w:p>
        </w:tc>
        <w:tc>
          <w:tcPr>
            <w:tcW w:w="326" w:type="dxa"/>
            <w:tcBorders/>
            <w:vAlign w:val="center"/>
          </w:tcPr>
          <w:p>
            <w:pPr>
              <w:pStyle w:val="TableContents"/>
              <w:bidi w:val="0"/>
              <w:spacing w:before="0" w:after="1"/>
              <w:ind w:left="0" w:right="0" w:hanging="0"/>
              <w:jc w:val="center"/>
              <w:rPr/>
            </w:pPr>
            <w:r>
              <w:rPr/>
              <w:t>​</w:t>
            </w:r>
          </w:p>
        </w:tc>
        <w:tc>
          <w:tcPr>
            <w:tcW w:w="2115"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purchased under the</w:t>
            </w:r>
          </w:p>
        </w:tc>
      </w:tr>
      <w:tr>
        <w:trPr/>
        <w:tc>
          <w:tcPr>
            <w:tcW w:w="22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351" w:type="dxa"/>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of shares</w:t>
            </w:r>
          </w:p>
        </w:tc>
        <w:tc>
          <w:tcPr>
            <w:tcW w:w="326" w:type="dxa"/>
            <w:tcBorders/>
            <w:vAlign w:val="center"/>
          </w:tcPr>
          <w:p>
            <w:pPr>
              <w:pStyle w:val="TableContents"/>
              <w:bidi w:val="0"/>
              <w:spacing w:before="0" w:after="1"/>
              <w:ind w:left="0" w:right="0" w:hanging="0"/>
              <w:jc w:val="center"/>
              <w:rPr/>
            </w:pPr>
            <w:r>
              <w:rPr/>
              <w:t>​</w:t>
            </w:r>
          </w:p>
        </w:tc>
        <w:tc>
          <w:tcPr>
            <w:tcW w:w="1035"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price paid</w:t>
            </w:r>
          </w:p>
        </w:tc>
        <w:tc>
          <w:tcPr>
            <w:tcW w:w="326" w:type="dxa"/>
            <w:tcBorders/>
            <w:vAlign w:val="center"/>
          </w:tcPr>
          <w:p>
            <w:pPr>
              <w:pStyle w:val="TableContents"/>
              <w:bidi w:val="0"/>
              <w:spacing w:before="0" w:after="1"/>
              <w:ind w:left="0" w:right="0" w:hanging="0"/>
              <w:jc w:val="center"/>
              <w:rPr/>
            </w:pPr>
            <w:r>
              <w:rPr/>
              <w:t>​</w:t>
            </w:r>
          </w:p>
        </w:tc>
        <w:tc>
          <w:tcPr>
            <w:tcW w:w="1711" w:type="dxa"/>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announced plans</w:t>
            </w:r>
          </w:p>
        </w:tc>
        <w:tc>
          <w:tcPr>
            <w:tcW w:w="326" w:type="dxa"/>
            <w:tcBorders/>
            <w:vAlign w:val="center"/>
          </w:tcPr>
          <w:p>
            <w:pPr>
              <w:pStyle w:val="TableContents"/>
              <w:bidi w:val="0"/>
              <w:spacing w:before="0" w:after="1"/>
              <w:ind w:left="0" w:right="0" w:hanging="0"/>
              <w:jc w:val="center"/>
              <w:rPr/>
            </w:pPr>
            <w:r>
              <w:rPr/>
              <w:t>​</w:t>
            </w:r>
          </w:p>
        </w:tc>
        <w:tc>
          <w:tcPr>
            <w:tcW w:w="2115" w:type="dxa"/>
            <w:gridSpan w:val="2"/>
            <w:tcBorders/>
            <w:vAlign w:val="center"/>
          </w:tcPr>
          <w:p>
            <w:pPr>
              <w:pStyle w:val="TableContents"/>
              <w:bidi w:val="0"/>
              <w:spacing w:lineRule="auto" w:line="240" w:before="0" w:after="1"/>
              <w:ind w:left="0" w:right="0" w:hanging="0"/>
              <w:jc w:val="center"/>
              <w:rPr>
                <w:rFonts w:ascii="Arial;Helvetica;sans-serif" w:hAnsi="Arial;Helvetica;sans-serif"/>
                <w:sz w:val="20"/>
              </w:rPr>
            </w:pPr>
            <w:r>
              <w:rPr>
                <w:rFonts w:ascii="Arial;Helvetica;sans-serif" w:hAnsi="Arial;Helvetica;sans-serif"/>
                <w:b/>
                <w:sz w:val="20"/>
              </w:rPr>
              <w:t xml:space="preserve">plans or programs </w:t>
            </w:r>
            <w:r>
              <w:rPr>
                <w:rFonts w:ascii="Arial;Helvetica;sans-serif" w:hAnsi="Arial;Helvetica;sans-serif"/>
                <w:b/>
                <w:sz w:val="15"/>
              </w:rPr>
              <w:t>(3)</w:t>
            </w:r>
          </w:p>
        </w:tc>
      </w:tr>
      <w:tr>
        <w:trPr/>
        <w:tc>
          <w:tcPr>
            <w:tcW w:w="222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Period</w:t>
            </w:r>
          </w:p>
        </w:tc>
        <w:tc>
          <w:tcPr>
            <w:tcW w:w="326" w:type="dxa"/>
            <w:tcBorders/>
            <w:vAlign w:val="center"/>
          </w:tcPr>
          <w:p>
            <w:pPr>
              <w:pStyle w:val="TableContents"/>
              <w:bidi w:val="0"/>
              <w:spacing w:before="0" w:after="1"/>
              <w:ind w:left="0" w:right="0" w:hanging="0"/>
              <w:jc w:val="center"/>
              <w:rPr/>
            </w:pPr>
            <w:r>
              <w:rPr/>
              <w:t>    </w:t>
            </w:r>
          </w:p>
        </w:tc>
        <w:tc>
          <w:tcPr>
            <w:tcW w:w="135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20"/>
              </w:rPr>
            </w:pPr>
            <w:r>
              <w:rPr>
                <w:rFonts w:ascii="Arial;Helvetica;sans-serif" w:hAnsi="Arial;Helvetica;sans-serif"/>
                <w:b/>
                <w:sz w:val="20"/>
              </w:rPr>
              <w:t xml:space="preserve">purchased </w:t>
            </w:r>
            <w:r>
              <w:rPr>
                <w:rFonts w:ascii="Arial;Helvetica;sans-serif" w:hAnsi="Arial;Helvetica;sans-serif"/>
                <w:b/>
                <w:sz w:val="15"/>
              </w:rPr>
              <w:t>(1)</w:t>
            </w:r>
          </w:p>
        </w:tc>
        <w:tc>
          <w:tcPr>
            <w:tcW w:w="326" w:type="dxa"/>
            <w:tcBorders/>
            <w:vAlign w:val="center"/>
          </w:tcPr>
          <w:p>
            <w:pPr>
              <w:pStyle w:val="TableContents"/>
              <w:bidi w:val="0"/>
              <w:spacing w:before="0" w:after="1"/>
              <w:ind w:left="0" w:right="0" w:hanging="0"/>
              <w:jc w:val="center"/>
              <w:rPr/>
            </w:pPr>
            <w:r>
              <w:rPr/>
              <w:t>    </w:t>
            </w:r>
          </w:p>
        </w:tc>
        <w:tc>
          <w:tcPr>
            <w:tcW w:w="10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per share</w:t>
            </w:r>
          </w:p>
        </w:tc>
        <w:tc>
          <w:tcPr>
            <w:tcW w:w="326" w:type="dxa"/>
            <w:tcBorders/>
            <w:vAlign w:val="center"/>
          </w:tcPr>
          <w:p>
            <w:pPr>
              <w:pStyle w:val="TableContents"/>
              <w:bidi w:val="0"/>
              <w:spacing w:before="0" w:after="1"/>
              <w:ind w:left="0" w:right="0" w:hanging="0"/>
              <w:jc w:val="center"/>
              <w:rPr/>
            </w:pPr>
            <w:r>
              <w:rPr/>
              <w:t>    </w:t>
            </w:r>
          </w:p>
        </w:tc>
        <w:tc>
          <w:tcPr>
            <w:tcW w:w="171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20"/>
              </w:rPr>
            </w:pPr>
            <w:r>
              <w:rPr>
                <w:rFonts w:ascii="Arial;Helvetica;sans-serif" w:hAnsi="Arial;Helvetica;sans-serif"/>
                <w:b/>
                <w:sz w:val="20"/>
              </w:rPr>
              <w:t xml:space="preserve">or programs </w:t>
            </w:r>
            <w:r>
              <w:rPr>
                <w:rFonts w:ascii="Arial;Helvetica;sans-serif" w:hAnsi="Arial;Helvetica;sans-serif"/>
                <w:b/>
                <w:sz w:val="15"/>
              </w:rPr>
              <w:t>(2)</w:t>
            </w:r>
          </w:p>
        </w:tc>
        <w:tc>
          <w:tcPr>
            <w:tcW w:w="326" w:type="dxa"/>
            <w:tcBorders/>
            <w:vAlign w:val="center"/>
          </w:tcPr>
          <w:p>
            <w:pPr>
              <w:pStyle w:val="TableContents"/>
              <w:bidi w:val="0"/>
              <w:spacing w:before="0" w:after="1"/>
              <w:ind w:left="0" w:right="0" w:hanging="0"/>
              <w:jc w:val="center"/>
              <w:rPr/>
            </w:pPr>
            <w:r>
              <w:rPr/>
              <w:t>    </w:t>
            </w:r>
          </w:p>
        </w:tc>
        <w:tc>
          <w:tcPr>
            <w:tcW w:w="21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(in thousands)</w:t>
            </w:r>
          </w:p>
        </w:tc>
      </w:tr>
      <w:tr>
        <w:trPr/>
        <w:tc>
          <w:tcPr>
            <w:tcW w:w="222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April 1 to April 30, 2024</w:t>
            </w:r>
          </w:p>
        </w:tc>
        <w:tc>
          <w:tcPr>
            <w:tcW w:w="326" w:type="dxa"/>
            <w:tcBorders/>
            <w:shd w:fill="CCEEFF" w:val="clear"/>
            <w:vAlign w:val="center"/>
          </w:tcPr>
          <w:p>
            <w:pPr>
              <w:pStyle w:val="TableContents"/>
              <w:bidi w:val="0"/>
              <w:spacing w:before="0" w:after="1"/>
              <w:ind w:left="0" w:right="0" w:hanging="0"/>
              <w:jc w:val="left"/>
              <w:rPr/>
            </w:pPr>
            <w:r>
              <w:rPr/>
              <w:t> </w:t>
            </w:r>
          </w:p>
        </w:tc>
        <w:tc>
          <w:tcPr>
            <w:tcW w:w="13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6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7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42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69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182,980</w:t>
            </w:r>
          </w:p>
        </w:tc>
      </w:tr>
      <w:tr>
        <w:trPr/>
        <w:tc>
          <w:tcPr>
            <w:tcW w:w="222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May 1 to May 31, 2024</w:t>
            </w:r>
          </w:p>
        </w:tc>
        <w:tc>
          <w:tcPr>
            <w:tcW w:w="326" w:type="dxa"/>
            <w:tcBorders/>
            <w:vAlign w:val="center"/>
          </w:tcPr>
          <w:p>
            <w:pPr>
              <w:pStyle w:val="TableContents"/>
              <w:bidi w:val="0"/>
              <w:spacing w:before="0" w:after="1"/>
              <w:ind w:left="0" w:right="0" w:hanging="0"/>
              <w:jc w:val="left"/>
              <w:rPr/>
            </w:pPr>
            <w:r>
              <w:rPr/>
              <w:t> </w:t>
            </w:r>
          </w:p>
        </w:tc>
        <w:tc>
          <w:tcPr>
            <w:tcW w:w="13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 </w:t>
            </w:r>
          </w:p>
        </w:tc>
        <w:tc>
          <w:tcPr>
            <w:tcW w:w="76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7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422" w:type="dxa"/>
            <w:tcBorders/>
            <w:vAlign w:val="center"/>
          </w:tcPr>
          <w:p>
            <w:pPr>
              <w:pStyle w:val="TableContents"/>
              <w:bidi w:val="0"/>
              <w:spacing w:before="0" w:after="1"/>
              <w:ind w:left="0" w:right="0" w:hanging="0"/>
              <w:jc w:val="left"/>
              <w:rPr/>
            </w:pPr>
            <w:r>
              <w:rPr/>
              <w:t>​</w:t>
            </w:r>
          </w:p>
        </w:tc>
        <w:tc>
          <w:tcPr>
            <w:tcW w:w="169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182,980</w:t>
            </w:r>
          </w:p>
        </w:tc>
      </w:tr>
      <w:tr>
        <w:trPr/>
        <w:tc>
          <w:tcPr>
            <w:tcW w:w="222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June 1 to June 30, 2024</w:t>
            </w:r>
          </w:p>
        </w:tc>
        <w:tc>
          <w:tcPr>
            <w:tcW w:w="326" w:type="dxa"/>
            <w:tcBorders/>
            <w:shd w:fill="CCEEFF" w:val="clear"/>
            <w:vAlign w:val="center"/>
          </w:tcPr>
          <w:p>
            <w:pPr>
              <w:pStyle w:val="TableContents"/>
              <w:bidi w:val="0"/>
              <w:spacing w:before="0" w:after="1"/>
              <w:ind w:left="0" w:right="0" w:hanging="0"/>
              <w:jc w:val="left"/>
              <w:rPr/>
            </w:pPr>
            <w:r>
              <w:rPr/>
              <w:t> </w:t>
            </w:r>
          </w:p>
        </w:tc>
        <w:tc>
          <w:tcPr>
            <w:tcW w:w="13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475,000</w:t>
            </w:r>
          </w:p>
        </w:tc>
        <w:tc>
          <w:tcPr>
            <w:tcW w:w="326" w:type="dxa"/>
            <w:tcBorders/>
            <w:shd w:fill="CCEEFF" w:val="clear"/>
            <w:vAlign w:val="center"/>
          </w:tcPr>
          <w:p>
            <w:pPr>
              <w:pStyle w:val="TableContents"/>
              <w:bidi w:val="0"/>
              <w:spacing w:before="0" w:after="1"/>
              <w:ind w:left="0" w:right="0" w:hanging="0"/>
              <w:jc w:val="left"/>
              <w:rPr/>
            </w:pPr>
            <w:r>
              <w:rPr/>
              <w:t>​</w:t>
            </w:r>
          </w:p>
        </w:tc>
        <w:tc>
          <w:tcPr>
            <w:tcW w:w="27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10.86</w:t>
            </w:r>
          </w:p>
        </w:tc>
        <w:tc>
          <w:tcPr>
            <w:tcW w:w="326" w:type="dxa"/>
            <w:tcBorders/>
            <w:shd w:fill="CCEEFF" w:val="clear"/>
            <w:vAlign w:val="center"/>
          </w:tcPr>
          <w:p>
            <w:pPr>
              <w:pStyle w:val="TableContents"/>
              <w:bidi w:val="0"/>
              <w:spacing w:before="0" w:after="1"/>
              <w:ind w:left="0" w:right="0" w:hanging="0"/>
              <w:jc w:val="left"/>
              <w:rPr/>
            </w:pPr>
            <w:r>
              <w:rPr/>
              <w:t> </w:t>
            </w:r>
          </w:p>
        </w:tc>
        <w:tc>
          <w:tcPr>
            <w:tcW w:w="17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475,000</w:t>
            </w:r>
          </w:p>
        </w:tc>
        <w:tc>
          <w:tcPr>
            <w:tcW w:w="326" w:type="dxa"/>
            <w:tcBorders/>
            <w:shd w:fill="CCEEFF" w:val="clear"/>
            <w:vAlign w:val="center"/>
          </w:tcPr>
          <w:p>
            <w:pPr>
              <w:pStyle w:val="TableContents"/>
              <w:bidi w:val="0"/>
              <w:spacing w:before="0" w:after="1"/>
              <w:ind w:left="0" w:right="0" w:hanging="0"/>
              <w:jc w:val="left"/>
              <w:rPr/>
            </w:pPr>
            <w:r>
              <w:rPr/>
              <w:t> </w:t>
            </w:r>
          </w:p>
        </w:tc>
        <w:tc>
          <w:tcPr>
            <w:tcW w:w="422" w:type="dxa"/>
            <w:tcBorders/>
            <w:shd w:fill="CCEEFF" w:val="clear"/>
            <w:vAlign w:val="center"/>
          </w:tcPr>
          <w:p>
            <w:pPr>
              <w:pStyle w:val="TableContents"/>
              <w:bidi w:val="0"/>
              <w:spacing w:before="0" w:after="1"/>
              <w:ind w:left="0" w:right="0" w:hanging="0"/>
              <w:jc w:val="left"/>
              <w:rPr/>
            </w:pPr>
            <w:r>
              <w:rPr/>
              <w:t>​</w:t>
            </w:r>
          </w:p>
        </w:tc>
        <w:tc>
          <w:tcPr>
            <w:tcW w:w="169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177,823</w:t>
            </w:r>
          </w:p>
        </w:tc>
      </w:tr>
      <w:tr>
        <w:trPr/>
        <w:tc>
          <w:tcPr>
            <w:tcW w:w="22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35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475,000</w:t>
            </w:r>
          </w:p>
        </w:tc>
        <w:tc>
          <w:tcPr>
            <w:tcW w:w="326" w:type="dxa"/>
            <w:tcBorders/>
            <w:vAlign w:val="center"/>
          </w:tcPr>
          <w:p>
            <w:pPr>
              <w:pStyle w:val="TableContents"/>
              <w:bidi w:val="0"/>
              <w:spacing w:before="0" w:after="1"/>
              <w:ind w:left="0" w:right="0" w:hanging="0"/>
              <w:jc w:val="left"/>
              <w:rPr/>
            </w:pPr>
            <w:r>
              <w:rPr/>
              <w:t>​</w:t>
            </w:r>
          </w:p>
        </w:tc>
        <w:tc>
          <w:tcPr>
            <w:tcW w:w="273"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62"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10.86</w:t>
            </w:r>
          </w:p>
        </w:tc>
        <w:tc>
          <w:tcPr>
            <w:tcW w:w="326" w:type="dxa"/>
            <w:tcBorders/>
            <w:vAlign w:val="center"/>
          </w:tcPr>
          <w:p>
            <w:pPr>
              <w:pStyle w:val="TableContents"/>
              <w:bidi w:val="0"/>
              <w:spacing w:before="0" w:after="1"/>
              <w:ind w:left="0" w:right="0" w:hanging="0"/>
              <w:jc w:val="left"/>
              <w:rPr/>
            </w:pPr>
            <w:r>
              <w:rPr/>
              <w:t> </w:t>
            </w:r>
          </w:p>
        </w:tc>
        <w:tc>
          <w:tcPr>
            <w:tcW w:w="171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475,000</w:t>
            </w:r>
          </w:p>
        </w:tc>
        <w:tc>
          <w:tcPr>
            <w:tcW w:w="326" w:type="dxa"/>
            <w:tcBorders/>
            <w:vAlign w:val="center"/>
          </w:tcPr>
          <w:p>
            <w:pPr>
              <w:pStyle w:val="TableContents"/>
              <w:bidi w:val="0"/>
              <w:spacing w:before="0" w:after="1"/>
              <w:ind w:left="0" w:right="0" w:hanging="0"/>
              <w:jc w:val="left"/>
              <w:rPr/>
            </w:pPr>
            <w:r>
              <w:rPr/>
              <w:t>​</w:t>
            </w:r>
          </w:p>
        </w:tc>
        <w:tc>
          <w:tcPr>
            <w:tcW w:w="422" w:type="dxa"/>
            <w:tcBorders/>
            <w:vAlign w:val="center"/>
          </w:tcPr>
          <w:p>
            <w:pPr>
              <w:pStyle w:val="TableContents"/>
              <w:bidi w:val="0"/>
              <w:spacing w:before="0" w:after="1"/>
              <w:ind w:left="0" w:right="0" w:hanging="0"/>
              <w:jc w:val="left"/>
              <w:rPr/>
            </w:pPr>
            <w:r>
              <w:rPr/>
              <w:t>​</w:t>
            </w:r>
          </w:p>
        </w:tc>
        <w:tc>
          <w:tcPr>
            <w:tcW w:w="1693" w:type="dxa"/>
            <w:tcBorders/>
            <w:vAlign w:val="center"/>
          </w:tcPr>
          <w:p>
            <w:pPr>
              <w:pStyle w:val="TableContents"/>
              <w:bidi w:val="0"/>
              <w:spacing w:before="0" w:after="1"/>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93"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Includes shares repurchased in open-market transactions pursuant to the 2023 Repurchase Program and shares forfeited in satisfaction of tax obligations upon vesting of share-based awards under our existing long-term incentive plans.</w:t>
            </w:r>
          </w:p>
        </w:tc>
      </w:tr>
    </w:tbl>
    <w:tbl>
      <w:tblPr>
        <w:tblW w:w="6557" w:type="dxa"/>
        <w:jc w:val="left"/>
        <w:tblInd w:w="0" w:type="dxa"/>
        <w:tblLayout w:type="fixed"/>
        <w:tblCellMar>
          <w:top w:w="0" w:type="dxa"/>
          <w:left w:w="0" w:type="dxa"/>
          <w:bottom w:w="0" w:type="dxa"/>
          <w:right w:w="0" w:type="dxa"/>
        </w:tblCellMar>
      </w:tblPr>
      <w:tblGrid>
        <w:gridCol w:w="346"/>
        <w:gridCol w:w="6211"/>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621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Represents shares repurchased under the 2023 Repurchase Program.</w:t>
            </w:r>
          </w:p>
        </w:tc>
      </w:tr>
    </w:tbl>
    <w:tbl>
      <w:tblPr>
        <w:tblW w:w="10205" w:type="dxa"/>
        <w:jc w:val="left"/>
        <w:tblInd w:w="0" w:type="dxa"/>
        <w:tblLayout w:type="fixed"/>
        <w:tblCellMar>
          <w:top w:w="0" w:type="dxa"/>
          <w:left w:w="0" w:type="dxa"/>
          <w:bottom w:w="0" w:type="dxa"/>
          <w:right w:w="0" w:type="dxa"/>
        </w:tblCellMar>
      </w:tblPr>
      <w:tblGrid>
        <w:gridCol w:w="323"/>
        <w:gridCol w:w="9882"/>
      </w:tblGrid>
      <w:tr>
        <w:trPr/>
        <w:tc>
          <w:tcPr>
            <w:tcW w:w="32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988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See Note 7 to this Quarterly Report on Form 10-Q and Note 10 to our 2023 Annual Report on Form 10-K for additional information regarding our share repurchase programs.</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1360" w:name="Item3DefaultsUponSeniorSecurities"/>
      <w:bookmarkStart w:id="1361" w:name="_5396268c_18aa_4d77_88b0_e2e5317ce64e"/>
      <w:bookmarkStart w:id="1362" w:name="_Item_3._Defaults"/>
      <w:bookmarkEnd w:id="1360"/>
      <w:bookmarkEnd w:id="1361"/>
      <w:bookmarkEnd w:id="1362"/>
      <w:r>
        <w:rPr>
          <w:rFonts w:ascii="Arial;Helvetica;sans-serif" w:hAnsi="Arial;Helvetica;sans-serif"/>
          <w:b/>
          <w:sz w:val="20"/>
        </w:rPr>
        <w:t>Item 3. Defaults Upon Senior Securities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None.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39</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bookmarkStart w:id="1363" w:name="Item4MineSafetyDisclosures"/>
      <w:bookmarkStart w:id="1364" w:name="_80f86741_5280_4a7f_b571_da3ed75d58ef"/>
      <w:bookmarkStart w:id="1365" w:name="_Item_4._Mine"/>
      <w:bookmarkEnd w:id="1363"/>
      <w:bookmarkEnd w:id="1364"/>
      <w:bookmarkEnd w:id="1365"/>
      <w:r>
        <w:rPr>
          <w:rFonts w:ascii="Arial;Helvetica;sans-serif" w:hAnsi="Arial;Helvetica;sans-serif"/>
          <w:b/>
          <w:sz w:val="20"/>
        </w:rPr>
        <w:t>Item 4. Mine Safety Disclosures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Not applicable.</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1366" w:name="Item5OtherInformation"/>
      <w:bookmarkStart w:id="1367" w:name="_0d30a439_69d0_4483_9b80_c8fcf797ef0e"/>
      <w:bookmarkStart w:id="1368" w:name="_Item_5._Other"/>
      <w:bookmarkEnd w:id="1366"/>
      <w:bookmarkEnd w:id="1367"/>
      <w:bookmarkEnd w:id="1368"/>
      <w:r>
        <w:rPr>
          <w:rFonts w:ascii="Arial;Helvetica;sans-serif" w:hAnsi="Arial;Helvetica;sans-serif"/>
          <w:b/>
          <w:sz w:val="20"/>
        </w:rPr>
        <w:t>Item 5. Other Information</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(c) On June 18, 2024, Mr. Owen Kratz, the President and Chief Executive Officer of Helix, adopted an individual stock trading plan for the sale of Helix’s common stock (the “Rule 10b5-1 Sales Plan”) pursuant to the requirements of Exchange Act Rule 10b5-1. Mr. Kratz’s Rule 10b5-1 Sales Plan, which has a term of one year beginning September 17, 2024, provides for the sale of up to 684,754 shares of common stock pursuant to the terms of the Rule 10b5-1 Sales Plan. During the three-month period ended June 30, 2024, no other director or “officer” of Helix adopted or terminated a “Rule 10b5-1 trading arrangement” or “non-Rule 10b5-1 trading arrangement,” as each term is defined in Item 408(a) of Regulation S-K.</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bookmarkStart w:id="1369" w:name="Item6Exhibits_967042"/>
      <w:bookmarkStart w:id="1370" w:name="_02b2e011_f39f_4960_90f6_b5f4d070d5c6"/>
      <w:bookmarkEnd w:id="1369"/>
      <w:bookmarkEnd w:id="1370"/>
      <w:r>
        <w:rPr>
          <w:rFonts w:ascii="Arial;Helvetica;sans-serif" w:hAnsi="Arial;Helvetica;sans-serif"/>
          <w:b/>
          <w:sz w:val="20"/>
        </w:rPr>
        <w:t>Item 6. Exhibits</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1045"/>
        <w:gridCol w:w="326"/>
        <w:gridCol w:w="4229"/>
        <w:gridCol w:w="326"/>
        <w:gridCol w:w="4279"/>
      </w:tblGrid>
      <w:tr>
        <w:trPr/>
        <w:tc>
          <w:tcPr>
            <w:tcW w:w="10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663575" cy="175260"/>
                      <wp:effectExtent l="0" t="0" r="0" b="0"/>
                      <wp:wrapNone/>
                      <wp:docPr id="403" name="Frame402"/>
                      <a:graphic xmlns:a="http://schemas.openxmlformats.org/drawingml/2006/main">
                        <a:graphicData uri="http://schemas.microsoft.com/office/word/2010/wordprocessingShape">
                          <wps:wsp>
                            <wps:cNvSpPr txBox="1"/>
                            <wps:spPr>
                              <a:xfrm>
                                <a:off x="0" y="0"/>
                                <a:ext cx="663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207010" cy="175260"/>
                      <wp:effectExtent l="0" t="0" r="0" b="0"/>
                      <wp:wrapNone/>
                      <wp:docPr id="404" name="Frame4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685415" cy="175260"/>
                      <wp:effectExtent l="0" t="0" r="0" b="0"/>
                      <wp:wrapNone/>
                      <wp:docPr id="405" name="Frame404"/>
                      <a:graphic xmlns:a="http://schemas.openxmlformats.org/drawingml/2006/main">
                        <a:graphicData uri="http://schemas.microsoft.com/office/word/2010/wordprocessingShape">
                          <wps:wsp>
                            <wps:cNvSpPr txBox="1"/>
                            <wps:spPr>
                              <a:xfrm>
                                <a:off x="0" y="0"/>
                                <a:ext cx="268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07010" cy="175260"/>
                      <wp:effectExtent l="0" t="0" r="0" b="0"/>
                      <wp:wrapNone/>
                      <wp:docPr id="406" name="Frame4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717165" cy="175260"/>
                      <wp:effectExtent l="0" t="0" r="0" b="0"/>
                      <wp:wrapNone/>
                      <wp:docPr id="407" name="Frame406"/>
                      <a:graphic xmlns:a="http://schemas.openxmlformats.org/drawingml/2006/main">
                        <a:graphicData uri="http://schemas.microsoft.com/office/word/2010/wordprocessingShape">
                          <wps:wsp>
                            <wps:cNvSpPr txBox="1"/>
                            <wps:spPr>
                              <a:xfrm>
                                <a:off x="0" y="0"/>
                                <a:ext cx="271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45" w:type="dxa"/>
            <w:tcBorders>
              <w:bottom w:val="single" w:sz="1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Exhibit Number</w:t>
            </w:r>
          </w:p>
        </w:tc>
        <w:tc>
          <w:tcPr>
            <w:tcW w:w="326" w:type="dxa"/>
            <w:tcBorders/>
            <w:vAlign w:val="center"/>
          </w:tcPr>
          <w:p>
            <w:pPr>
              <w:pStyle w:val="TableContents"/>
              <w:bidi w:val="0"/>
              <w:spacing w:before="0" w:after="0"/>
              <w:ind w:left="0" w:right="0" w:hanging="0"/>
              <w:jc w:val="left"/>
              <w:rPr/>
            </w:pPr>
            <w:r>
              <w:rPr/>
              <w:t>    </w:t>
            </w:r>
          </w:p>
        </w:tc>
        <w:tc>
          <w:tcPr>
            <w:tcW w:w="4229" w:type="dxa"/>
            <w:tcBorders>
              <w:bottom w:val="single" w:sz="16"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Description</w:t>
            </w:r>
          </w:p>
        </w:tc>
        <w:tc>
          <w:tcPr>
            <w:tcW w:w="326" w:type="dxa"/>
            <w:tcBorders/>
            <w:vAlign w:val="center"/>
          </w:tcPr>
          <w:p>
            <w:pPr>
              <w:pStyle w:val="TableContents"/>
              <w:bidi w:val="0"/>
              <w:spacing w:before="0" w:after="0"/>
              <w:ind w:left="0" w:right="0" w:hanging="0"/>
              <w:jc w:val="left"/>
              <w:rPr/>
            </w:pPr>
            <w:r>
              <w:rPr/>
              <w:t>    </w:t>
            </w:r>
          </w:p>
        </w:tc>
        <w:tc>
          <w:tcPr>
            <w:tcW w:w="4279" w:type="dxa"/>
            <w:tcBorders>
              <w:bottom w:val="single" w:sz="16"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Filed or Furnished Herewith or Incorporated by Reference from the Following Documents (Registration or File Number)</w:t>
            </w:r>
          </w:p>
        </w:tc>
      </w:tr>
      <w:tr>
        <w:trPr/>
        <w:tc>
          <w:tcPr>
            <w:tcW w:w="1045"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3.1</w:t>
            </w:r>
          </w:p>
        </w:tc>
        <w:tc>
          <w:tcPr>
            <w:tcW w:w="326" w:type="dxa"/>
            <w:tcBorders/>
            <w:vAlign w:val="center"/>
          </w:tcPr>
          <w:p>
            <w:pPr>
              <w:pStyle w:val="TableContents"/>
              <w:bidi w:val="0"/>
              <w:spacing w:before="0" w:after="0"/>
              <w:ind w:left="0" w:right="0" w:hanging="0"/>
              <w:jc w:val="left"/>
              <w:rPr/>
            </w:pPr>
            <w:r>
              <w:rPr/>
              <w:t>​</w:t>
            </w:r>
          </w:p>
        </w:tc>
        <w:tc>
          <w:tcPr>
            <w:tcW w:w="4229" w:type="dxa"/>
            <w:tcBorders/>
            <w:vAlign w:val="center"/>
          </w:tcPr>
          <w:p>
            <w:pPr>
              <w:pStyle w:val="TableContents"/>
              <w:bidi w:val="0"/>
              <w:spacing w:before="0" w:after="0"/>
              <w:ind w:left="0" w:right="0" w:hanging="0"/>
              <w:jc w:val="both"/>
              <w:rPr/>
            </w:pPr>
            <w:hyperlink r:id="rId3">
              <w:r>
                <w:rPr>
                  <w:rStyle w:val="InternetLink"/>
                  <w:rFonts w:ascii="Arial;Helvetica;sans-serif" w:hAnsi="Arial;Helvetica;sans-serif"/>
                  <w:b w:val="false"/>
                  <w:i w:val="false"/>
                  <w:caps w:val="false"/>
                  <w:smallCaps w:val="false"/>
                  <w:sz w:val="20"/>
                </w:rPr>
                <w:t>2005 Amended and Restated Articles of Incorporation, as amended, of Helix Energy Solutions Group, Inc.</w:t>
              </w:r>
            </w:hyperlink>
          </w:p>
        </w:tc>
        <w:tc>
          <w:tcPr>
            <w:tcW w:w="326" w:type="dxa"/>
            <w:tcBorders/>
            <w:vAlign w:val="center"/>
          </w:tcPr>
          <w:p>
            <w:pPr>
              <w:pStyle w:val="TableContents"/>
              <w:bidi w:val="0"/>
              <w:spacing w:before="0" w:after="0"/>
              <w:ind w:left="0" w:right="0" w:hanging="0"/>
              <w:jc w:val="left"/>
              <w:rPr/>
            </w:pPr>
            <w:r>
              <w:rPr/>
              <w:t>​</w:t>
            </w:r>
          </w:p>
        </w:tc>
        <w:tc>
          <w:tcPr>
            <w:tcW w:w="4279"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Exhibit 3.1 to the Current Report on Form 8-K filed on March 1, 2006 (000-22739)</w:t>
            </w:r>
          </w:p>
        </w:tc>
      </w:tr>
      <w:tr>
        <w:trPr/>
        <w:tc>
          <w:tcPr>
            <w:tcW w:w="1045"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3.2</w:t>
            </w:r>
          </w:p>
        </w:tc>
        <w:tc>
          <w:tcPr>
            <w:tcW w:w="326" w:type="dxa"/>
            <w:tcBorders/>
            <w:vAlign w:val="center"/>
          </w:tcPr>
          <w:p>
            <w:pPr>
              <w:pStyle w:val="TableContents"/>
              <w:bidi w:val="0"/>
              <w:spacing w:before="0" w:after="0"/>
              <w:ind w:left="0" w:right="0" w:hanging="0"/>
              <w:jc w:val="left"/>
              <w:rPr/>
            </w:pPr>
            <w:r>
              <w:rPr/>
              <w:t>​</w:t>
            </w:r>
          </w:p>
        </w:tc>
        <w:tc>
          <w:tcPr>
            <w:tcW w:w="4229" w:type="dxa"/>
            <w:tcBorders/>
            <w:vAlign w:val="center"/>
          </w:tcPr>
          <w:p>
            <w:pPr>
              <w:pStyle w:val="TableContents"/>
              <w:bidi w:val="0"/>
              <w:spacing w:before="0" w:after="0"/>
              <w:ind w:left="0" w:right="0" w:hanging="0"/>
              <w:jc w:val="both"/>
              <w:rPr/>
            </w:pPr>
            <w:hyperlink r:id="rId4">
              <w:r>
                <w:rPr>
                  <w:rStyle w:val="InternetLink"/>
                  <w:rFonts w:ascii="Arial;Helvetica;sans-serif" w:hAnsi="Arial;Helvetica;sans-serif"/>
                  <w:b w:val="false"/>
                  <w:i w:val="false"/>
                  <w:caps w:val="false"/>
                  <w:smallCaps w:val="false"/>
                  <w:sz w:val="20"/>
                </w:rPr>
                <w:t>Second Amended and Restated By-Laws of Helix Energy Solutions Group, Inc., as amended.</w:t>
              </w:r>
            </w:hyperlink>
          </w:p>
        </w:tc>
        <w:tc>
          <w:tcPr>
            <w:tcW w:w="326" w:type="dxa"/>
            <w:tcBorders/>
            <w:vAlign w:val="center"/>
          </w:tcPr>
          <w:p>
            <w:pPr>
              <w:pStyle w:val="TableContents"/>
              <w:bidi w:val="0"/>
              <w:spacing w:before="0" w:after="0"/>
              <w:ind w:left="0" w:right="0" w:hanging="0"/>
              <w:jc w:val="left"/>
              <w:rPr/>
            </w:pPr>
            <w:r>
              <w:rPr/>
              <w:t>​</w:t>
            </w:r>
          </w:p>
        </w:tc>
        <w:tc>
          <w:tcPr>
            <w:tcW w:w="4279"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Exhibit 3.1 to the Current Report on Form 8-K filed on September 28, 2006 (001-32936)</w:t>
            </w:r>
          </w:p>
        </w:tc>
      </w:tr>
      <w:tr>
        <w:trPr/>
        <w:tc>
          <w:tcPr>
            <w:tcW w:w="1045"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10.1</w:t>
            </w:r>
          </w:p>
        </w:tc>
        <w:tc>
          <w:tcPr>
            <w:tcW w:w="326" w:type="dxa"/>
            <w:tcBorders/>
            <w:vAlign w:val="center"/>
          </w:tcPr>
          <w:p>
            <w:pPr>
              <w:pStyle w:val="TableContents"/>
              <w:bidi w:val="0"/>
              <w:spacing w:before="0" w:after="0"/>
              <w:ind w:left="0" w:right="0" w:hanging="0"/>
              <w:jc w:val="left"/>
              <w:rPr/>
            </w:pPr>
            <w:r>
              <w:rPr/>
              <w:t>​</w:t>
            </w:r>
          </w:p>
        </w:tc>
        <w:tc>
          <w:tcPr>
            <w:tcW w:w="4229" w:type="dxa"/>
            <w:tcBorders/>
            <w:vAlign w:val="center"/>
          </w:tcPr>
          <w:p>
            <w:pPr>
              <w:pStyle w:val="TableContents"/>
              <w:bidi w:val="0"/>
              <w:spacing w:before="0" w:after="0"/>
              <w:ind w:left="0" w:right="0" w:hanging="0"/>
              <w:jc w:val="both"/>
              <w:rPr/>
            </w:pPr>
            <w:hyperlink r:id="rId5">
              <w:r>
                <w:rPr>
                  <w:rStyle w:val="InternetLink"/>
                  <w:rFonts w:ascii="Arial;Helvetica;sans-serif" w:hAnsi="Arial;Helvetica;sans-serif"/>
                  <w:b w:val="false"/>
                  <w:i w:val="false"/>
                  <w:caps w:val="false"/>
                  <w:smallCaps w:val="false"/>
                  <w:sz w:val="20"/>
                </w:rPr>
                <w:t>2005 Long Term Incentive Plan of Helix Energy Solutions Group, Inc., as Amended and Restated Effective May 15, 2024.</w:t>
              </w:r>
            </w:hyperlink>
          </w:p>
        </w:tc>
        <w:tc>
          <w:tcPr>
            <w:tcW w:w="326" w:type="dxa"/>
            <w:tcBorders/>
            <w:vAlign w:val="center"/>
          </w:tcPr>
          <w:p>
            <w:pPr>
              <w:pStyle w:val="TableContents"/>
              <w:bidi w:val="0"/>
              <w:spacing w:before="0" w:after="0"/>
              <w:ind w:left="0" w:right="0" w:hanging="0"/>
              <w:jc w:val="left"/>
              <w:rPr/>
            </w:pPr>
            <w:r>
              <w:rPr/>
              <w:t>​</w:t>
            </w:r>
          </w:p>
        </w:tc>
        <w:tc>
          <w:tcPr>
            <w:tcW w:w="4279"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Annex A to the Definitive Proxy Statement filed on April 3, 2024 (001-32936)</w:t>
            </w:r>
          </w:p>
        </w:tc>
      </w:tr>
      <w:tr>
        <w:trPr/>
        <w:tc>
          <w:tcPr>
            <w:tcW w:w="1045"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31.1</w:t>
            </w:r>
          </w:p>
        </w:tc>
        <w:tc>
          <w:tcPr>
            <w:tcW w:w="326" w:type="dxa"/>
            <w:tcBorders/>
            <w:vAlign w:val="center"/>
          </w:tcPr>
          <w:p>
            <w:pPr>
              <w:pStyle w:val="TableContents"/>
              <w:bidi w:val="0"/>
              <w:spacing w:before="0" w:after="0"/>
              <w:ind w:left="0" w:right="0" w:hanging="0"/>
              <w:jc w:val="left"/>
              <w:rPr/>
            </w:pPr>
            <w:r>
              <w:rPr/>
              <w:t>​</w:t>
            </w:r>
          </w:p>
        </w:tc>
        <w:tc>
          <w:tcPr>
            <w:tcW w:w="4229" w:type="dxa"/>
            <w:tcBorders/>
            <w:vAlign w:val="center"/>
          </w:tcPr>
          <w:p>
            <w:pPr>
              <w:pStyle w:val="TableContents"/>
              <w:bidi w:val="0"/>
              <w:spacing w:before="0" w:after="0"/>
              <w:ind w:left="0" w:right="0" w:hanging="0"/>
              <w:jc w:val="both"/>
              <w:rPr/>
            </w:pPr>
            <w:hyperlink w:anchor="hlx-20240630xex31d1.htm">
              <w:r>
                <w:rPr>
                  <w:rStyle w:val="InternetLink"/>
                  <w:rFonts w:ascii="Arial;Helvetica;sans-serif" w:hAnsi="Arial;Helvetica;sans-serif"/>
                  <w:b w:val="false"/>
                  <w:i w:val="false"/>
                  <w:caps w:val="false"/>
                  <w:smallCaps w:val="false"/>
                  <w:sz w:val="20"/>
                </w:rPr>
                <w:t>Certification Pursuant to Rule 13a-14(a) under the Securities Exchange Act of 1934 by Owen Kratz, Chief Executive Officer.</w:t>
              </w:r>
            </w:hyperlink>
          </w:p>
        </w:tc>
        <w:tc>
          <w:tcPr>
            <w:tcW w:w="326" w:type="dxa"/>
            <w:tcBorders/>
            <w:vAlign w:val="center"/>
          </w:tcPr>
          <w:p>
            <w:pPr>
              <w:pStyle w:val="TableContents"/>
              <w:bidi w:val="0"/>
              <w:spacing w:before="0" w:after="0"/>
              <w:ind w:left="0" w:right="0" w:hanging="0"/>
              <w:jc w:val="left"/>
              <w:rPr/>
            </w:pPr>
            <w:r>
              <w:rPr/>
              <w:t>​</w:t>
            </w:r>
          </w:p>
        </w:tc>
        <w:tc>
          <w:tcPr>
            <w:tcW w:w="4279"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Filed herewith</w:t>
            </w:r>
          </w:p>
        </w:tc>
      </w:tr>
      <w:tr>
        <w:trPr/>
        <w:tc>
          <w:tcPr>
            <w:tcW w:w="1045"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31.2</w:t>
            </w:r>
          </w:p>
        </w:tc>
        <w:tc>
          <w:tcPr>
            <w:tcW w:w="326" w:type="dxa"/>
            <w:tcBorders/>
            <w:vAlign w:val="center"/>
          </w:tcPr>
          <w:p>
            <w:pPr>
              <w:pStyle w:val="TableContents"/>
              <w:bidi w:val="0"/>
              <w:spacing w:before="0" w:after="0"/>
              <w:ind w:left="0" w:right="0" w:hanging="0"/>
              <w:jc w:val="left"/>
              <w:rPr/>
            </w:pPr>
            <w:r>
              <w:rPr/>
              <w:t>​</w:t>
            </w:r>
          </w:p>
        </w:tc>
        <w:tc>
          <w:tcPr>
            <w:tcW w:w="4229" w:type="dxa"/>
            <w:tcBorders/>
            <w:vAlign w:val="center"/>
          </w:tcPr>
          <w:p>
            <w:pPr>
              <w:pStyle w:val="TableContents"/>
              <w:bidi w:val="0"/>
              <w:spacing w:before="0" w:after="0"/>
              <w:ind w:left="0" w:right="0" w:hanging="0"/>
              <w:jc w:val="both"/>
              <w:rPr/>
            </w:pPr>
            <w:hyperlink w:anchor="hlx-20240630xex31d2.htm">
              <w:r>
                <w:rPr>
                  <w:rStyle w:val="InternetLink"/>
                  <w:rFonts w:ascii="Arial;Helvetica;sans-serif" w:hAnsi="Arial;Helvetica;sans-serif"/>
                  <w:b w:val="false"/>
                  <w:i w:val="false"/>
                  <w:caps w:val="false"/>
                  <w:smallCaps w:val="false"/>
                  <w:sz w:val="20"/>
                </w:rPr>
                <w:t>Certification Pursuant to Rule 13a-14(a) under the Securities Exchange Act of 1934 by Erik Staffeldt, Chief Financial Officer.</w:t>
              </w:r>
            </w:hyperlink>
          </w:p>
        </w:tc>
        <w:tc>
          <w:tcPr>
            <w:tcW w:w="326" w:type="dxa"/>
            <w:tcBorders/>
            <w:vAlign w:val="center"/>
          </w:tcPr>
          <w:p>
            <w:pPr>
              <w:pStyle w:val="TableContents"/>
              <w:bidi w:val="0"/>
              <w:spacing w:before="0" w:after="0"/>
              <w:ind w:left="0" w:right="0" w:hanging="0"/>
              <w:jc w:val="left"/>
              <w:rPr/>
            </w:pPr>
            <w:r>
              <w:rPr/>
              <w:t>​</w:t>
            </w:r>
          </w:p>
        </w:tc>
        <w:tc>
          <w:tcPr>
            <w:tcW w:w="4279"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Filed herewith</w:t>
            </w:r>
          </w:p>
        </w:tc>
      </w:tr>
      <w:tr>
        <w:trPr/>
        <w:tc>
          <w:tcPr>
            <w:tcW w:w="1045"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32.1</w:t>
            </w:r>
          </w:p>
        </w:tc>
        <w:tc>
          <w:tcPr>
            <w:tcW w:w="326" w:type="dxa"/>
            <w:tcBorders/>
            <w:vAlign w:val="center"/>
          </w:tcPr>
          <w:p>
            <w:pPr>
              <w:pStyle w:val="TableContents"/>
              <w:bidi w:val="0"/>
              <w:spacing w:before="0" w:after="0"/>
              <w:ind w:left="0" w:right="0" w:hanging="0"/>
              <w:jc w:val="left"/>
              <w:rPr/>
            </w:pPr>
            <w:r>
              <w:rPr/>
              <w:t>​</w:t>
            </w:r>
          </w:p>
        </w:tc>
        <w:tc>
          <w:tcPr>
            <w:tcW w:w="4229" w:type="dxa"/>
            <w:tcBorders/>
            <w:vAlign w:val="center"/>
          </w:tcPr>
          <w:p>
            <w:pPr>
              <w:pStyle w:val="TableContents"/>
              <w:bidi w:val="0"/>
              <w:spacing w:before="0" w:after="0"/>
              <w:ind w:left="0" w:right="0" w:hanging="0"/>
              <w:jc w:val="both"/>
              <w:rPr/>
            </w:pPr>
            <w:hyperlink w:anchor="hlx-20240630xex32d1.htm">
              <w:r>
                <w:rPr>
                  <w:rStyle w:val="InternetLink"/>
                  <w:rFonts w:ascii="Arial;Helvetica;sans-serif" w:hAnsi="Arial;Helvetica;sans-serif"/>
                  <w:b w:val="false"/>
                  <w:i w:val="false"/>
                  <w:caps w:val="false"/>
                  <w:smallCaps w:val="false"/>
                  <w:sz w:val="20"/>
                </w:rPr>
                <w:t>Certification of Helix’s Chief Executive Officer and Chief Financial Officer pursuant to Section 906 of the Sarbanes–Oxley Act of 2002.</w:t>
              </w:r>
            </w:hyperlink>
          </w:p>
        </w:tc>
        <w:tc>
          <w:tcPr>
            <w:tcW w:w="326" w:type="dxa"/>
            <w:tcBorders/>
            <w:vAlign w:val="center"/>
          </w:tcPr>
          <w:p>
            <w:pPr>
              <w:pStyle w:val="TableContents"/>
              <w:bidi w:val="0"/>
              <w:spacing w:before="0" w:after="0"/>
              <w:ind w:left="0" w:right="0" w:hanging="0"/>
              <w:jc w:val="left"/>
              <w:rPr/>
            </w:pPr>
            <w:r>
              <w:rPr/>
              <w:t>​</w:t>
            </w:r>
          </w:p>
        </w:tc>
        <w:tc>
          <w:tcPr>
            <w:tcW w:w="4279"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Furnished herewith</w:t>
            </w:r>
          </w:p>
        </w:tc>
      </w:tr>
      <w:tr>
        <w:trPr/>
        <w:tc>
          <w:tcPr>
            <w:tcW w:w="1045"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101.INS</w:t>
            </w:r>
          </w:p>
        </w:tc>
        <w:tc>
          <w:tcPr>
            <w:tcW w:w="326" w:type="dxa"/>
            <w:tcBorders/>
            <w:vAlign w:val="center"/>
          </w:tcPr>
          <w:p>
            <w:pPr>
              <w:pStyle w:val="TableContents"/>
              <w:bidi w:val="0"/>
              <w:spacing w:before="0" w:after="0"/>
              <w:ind w:left="0" w:right="0" w:hanging="0"/>
              <w:jc w:val="left"/>
              <w:rPr/>
            </w:pPr>
            <w:r>
              <w:rPr/>
              <w:t>​</w:t>
            </w:r>
          </w:p>
        </w:tc>
        <w:tc>
          <w:tcPr>
            <w:tcW w:w="4229"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XBRL Instance Document.</w:t>
            </w:r>
          </w:p>
        </w:tc>
        <w:tc>
          <w:tcPr>
            <w:tcW w:w="326" w:type="dxa"/>
            <w:tcBorders/>
            <w:vAlign w:val="center"/>
          </w:tcPr>
          <w:p>
            <w:pPr>
              <w:pStyle w:val="TableContents"/>
              <w:bidi w:val="0"/>
              <w:spacing w:before="0" w:after="0"/>
              <w:ind w:left="0" w:right="0" w:hanging="0"/>
              <w:jc w:val="left"/>
              <w:rPr/>
            </w:pPr>
            <w:r>
              <w:rPr/>
              <w:t>​</w:t>
            </w:r>
          </w:p>
        </w:tc>
        <w:tc>
          <w:tcPr>
            <w:tcW w:w="4279"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The instance document does not appear in the Interactive Data File because its XBRL tags are embedded within the Inline XBRL document</w:t>
            </w:r>
          </w:p>
        </w:tc>
      </w:tr>
      <w:tr>
        <w:trPr/>
        <w:tc>
          <w:tcPr>
            <w:tcW w:w="1045"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101.SCH</w:t>
            </w:r>
          </w:p>
        </w:tc>
        <w:tc>
          <w:tcPr>
            <w:tcW w:w="326" w:type="dxa"/>
            <w:tcBorders/>
            <w:vAlign w:val="center"/>
          </w:tcPr>
          <w:p>
            <w:pPr>
              <w:pStyle w:val="TableContents"/>
              <w:bidi w:val="0"/>
              <w:spacing w:before="0" w:after="0"/>
              <w:ind w:left="0" w:right="0" w:hanging="0"/>
              <w:jc w:val="left"/>
              <w:rPr/>
            </w:pPr>
            <w:r>
              <w:rPr/>
              <w:t>​</w:t>
            </w:r>
          </w:p>
        </w:tc>
        <w:tc>
          <w:tcPr>
            <w:tcW w:w="4229"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Inline XBRL Taxonomy Extension Schema Document.</w:t>
            </w:r>
          </w:p>
        </w:tc>
        <w:tc>
          <w:tcPr>
            <w:tcW w:w="326" w:type="dxa"/>
            <w:tcBorders/>
            <w:vAlign w:val="center"/>
          </w:tcPr>
          <w:p>
            <w:pPr>
              <w:pStyle w:val="TableContents"/>
              <w:bidi w:val="0"/>
              <w:spacing w:before="0" w:after="0"/>
              <w:ind w:left="0" w:right="0" w:hanging="0"/>
              <w:jc w:val="left"/>
              <w:rPr/>
            </w:pPr>
            <w:r>
              <w:rPr/>
              <w:t>​</w:t>
            </w:r>
          </w:p>
        </w:tc>
        <w:tc>
          <w:tcPr>
            <w:tcW w:w="4279"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Filed herewith</w:t>
            </w:r>
          </w:p>
        </w:tc>
      </w:tr>
      <w:tr>
        <w:trPr/>
        <w:tc>
          <w:tcPr>
            <w:tcW w:w="1045"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101.CAL</w:t>
            </w:r>
          </w:p>
        </w:tc>
        <w:tc>
          <w:tcPr>
            <w:tcW w:w="326" w:type="dxa"/>
            <w:tcBorders/>
            <w:vAlign w:val="center"/>
          </w:tcPr>
          <w:p>
            <w:pPr>
              <w:pStyle w:val="TableContents"/>
              <w:bidi w:val="0"/>
              <w:spacing w:before="0" w:after="0"/>
              <w:ind w:left="0" w:right="0" w:hanging="0"/>
              <w:jc w:val="left"/>
              <w:rPr/>
            </w:pPr>
            <w:r>
              <w:rPr/>
              <w:t>​</w:t>
            </w:r>
          </w:p>
        </w:tc>
        <w:tc>
          <w:tcPr>
            <w:tcW w:w="4229"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Inline XBRL Taxonomy Extension Calculation Linkbase Document.</w:t>
            </w:r>
          </w:p>
        </w:tc>
        <w:tc>
          <w:tcPr>
            <w:tcW w:w="326" w:type="dxa"/>
            <w:tcBorders/>
            <w:vAlign w:val="center"/>
          </w:tcPr>
          <w:p>
            <w:pPr>
              <w:pStyle w:val="TableContents"/>
              <w:bidi w:val="0"/>
              <w:spacing w:before="0" w:after="0"/>
              <w:ind w:left="0" w:right="0" w:hanging="0"/>
              <w:jc w:val="left"/>
              <w:rPr/>
            </w:pPr>
            <w:r>
              <w:rPr/>
              <w:t>​</w:t>
            </w:r>
          </w:p>
        </w:tc>
        <w:tc>
          <w:tcPr>
            <w:tcW w:w="4279"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Filed herewith</w:t>
            </w:r>
          </w:p>
        </w:tc>
      </w:tr>
      <w:tr>
        <w:trPr/>
        <w:tc>
          <w:tcPr>
            <w:tcW w:w="1045"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101.DEF</w:t>
            </w:r>
          </w:p>
        </w:tc>
        <w:tc>
          <w:tcPr>
            <w:tcW w:w="326" w:type="dxa"/>
            <w:tcBorders/>
            <w:vAlign w:val="center"/>
          </w:tcPr>
          <w:p>
            <w:pPr>
              <w:pStyle w:val="TableContents"/>
              <w:bidi w:val="0"/>
              <w:spacing w:before="0" w:after="0"/>
              <w:ind w:left="0" w:right="0" w:hanging="0"/>
              <w:jc w:val="left"/>
              <w:rPr/>
            </w:pPr>
            <w:r>
              <w:rPr/>
              <w:t>​</w:t>
            </w:r>
          </w:p>
        </w:tc>
        <w:tc>
          <w:tcPr>
            <w:tcW w:w="4229"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Inline XBRL Taxonomy Extension Definition Linkbase Document.</w:t>
            </w:r>
          </w:p>
        </w:tc>
        <w:tc>
          <w:tcPr>
            <w:tcW w:w="326" w:type="dxa"/>
            <w:tcBorders/>
            <w:vAlign w:val="center"/>
          </w:tcPr>
          <w:p>
            <w:pPr>
              <w:pStyle w:val="TableContents"/>
              <w:bidi w:val="0"/>
              <w:spacing w:before="0" w:after="0"/>
              <w:ind w:left="0" w:right="0" w:hanging="0"/>
              <w:jc w:val="left"/>
              <w:rPr/>
            </w:pPr>
            <w:r>
              <w:rPr/>
              <w:t>​</w:t>
            </w:r>
          </w:p>
        </w:tc>
        <w:tc>
          <w:tcPr>
            <w:tcW w:w="4279"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Filed herewith</w:t>
            </w:r>
          </w:p>
        </w:tc>
      </w:tr>
      <w:tr>
        <w:trPr/>
        <w:tc>
          <w:tcPr>
            <w:tcW w:w="1045"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101.LAB</w:t>
            </w:r>
          </w:p>
        </w:tc>
        <w:tc>
          <w:tcPr>
            <w:tcW w:w="326" w:type="dxa"/>
            <w:tcBorders/>
            <w:vAlign w:val="center"/>
          </w:tcPr>
          <w:p>
            <w:pPr>
              <w:pStyle w:val="TableContents"/>
              <w:bidi w:val="0"/>
              <w:spacing w:before="0" w:after="0"/>
              <w:ind w:left="0" w:right="0" w:hanging="0"/>
              <w:jc w:val="left"/>
              <w:rPr/>
            </w:pPr>
            <w:r>
              <w:rPr/>
              <w:t>​</w:t>
            </w:r>
          </w:p>
        </w:tc>
        <w:tc>
          <w:tcPr>
            <w:tcW w:w="4229"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Inline XBRL Taxonomy Extension Label Linkbase Document.</w:t>
            </w:r>
          </w:p>
        </w:tc>
        <w:tc>
          <w:tcPr>
            <w:tcW w:w="326" w:type="dxa"/>
            <w:tcBorders/>
            <w:vAlign w:val="center"/>
          </w:tcPr>
          <w:p>
            <w:pPr>
              <w:pStyle w:val="TableContents"/>
              <w:bidi w:val="0"/>
              <w:spacing w:before="0" w:after="0"/>
              <w:ind w:left="0" w:right="0" w:hanging="0"/>
              <w:jc w:val="left"/>
              <w:rPr/>
            </w:pPr>
            <w:r>
              <w:rPr/>
              <w:t>​</w:t>
            </w:r>
          </w:p>
        </w:tc>
        <w:tc>
          <w:tcPr>
            <w:tcW w:w="4279"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Filed herewith</w:t>
            </w:r>
          </w:p>
        </w:tc>
      </w:tr>
      <w:tr>
        <w:trPr/>
        <w:tc>
          <w:tcPr>
            <w:tcW w:w="1045"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101.PRE</w:t>
            </w:r>
          </w:p>
        </w:tc>
        <w:tc>
          <w:tcPr>
            <w:tcW w:w="326" w:type="dxa"/>
            <w:tcBorders/>
            <w:vAlign w:val="center"/>
          </w:tcPr>
          <w:p>
            <w:pPr>
              <w:pStyle w:val="TableContents"/>
              <w:bidi w:val="0"/>
              <w:spacing w:before="0" w:after="0"/>
              <w:ind w:left="0" w:right="0" w:hanging="0"/>
              <w:jc w:val="left"/>
              <w:rPr/>
            </w:pPr>
            <w:r>
              <w:rPr/>
              <w:t>​</w:t>
            </w:r>
          </w:p>
        </w:tc>
        <w:tc>
          <w:tcPr>
            <w:tcW w:w="4229"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Inline XBRL Taxonomy Extension Presentation Linkbase Document.</w:t>
            </w:r>
          </w:p>
        </w:tc>
        <w:tc>
          <w:tcPr>
            <w:tcW w:w="326" w:type="dxa"/>
            <w:tcBorders/>
            <w:vAlign w:val="center"/>
          </w:tcPr>
          <w:p>
            <w:pPr>
              <w:pStyle w:val="TableContents"/>
              <w:bidi w:val="0"/>
              <w:spacing w:before="0" w:after="0"/>
              <w:ind w:left="0" w:right="0" w:hanging="0"/>
              <w:jc w:val="left"/>
              <w:rPr/>
            </w:pPr>
            <w:r>
              <w:rPr/>
              <w:t>​</w:t>
            </w:r>
          </w:p>
        </w:tc>
        <w:tc>
          <w:tcPr>
            <w:tcW w:w="4279"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Filed herewith</w:t>
            </w:r>
          </w:p>
        </w:tc>
      </w:tr>
      <w:tr>
        <w:trPr/>
        <w:tc>
          <w:tcPr>
            <w:tcW w:w="1045"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104</w:t>
            </w:r>
          </w:p>
        </w:tc>
        <w:tc>
          <w:tcPr>
            <w:tcW w:w="326" w:type="dxa"/>
            <w:tcBorders/>
            <w:vAlign w:val="center"/>
          </w:tcPr>
          <w:p>
            <w:pPr>
              <w:pStyle w:val="TableContents"/>
              <w:bidi w:val="0"/>
              <w:spacing w:before="0" w:after="0"/>
              <w:ind w:left="0" w:right="0" w:hanging="0"/>
              <w:jc w:val="left"/>
              <w:rPr/>
            </w:pPr>
            <w:r>
              <w:rPr/>
              <w:t>​</w:t>
            </w:r>
          </w:p>
        </w:tc>
        <w:tc>
          <w:tcPr>
            <w:tcW w:w="4229"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Cover Page Interactive Data File (formatted as inline XBRL and contained in Exhibit 101).</w:t>
            </w:r>
          </w:p>
        </w:tc>
        <w:tc>
          <w:tcPr>
            <w:tcW w:w="326" w:type="dxa"/>
            <w:tcBorders/>
            <w:vAlign w:val="center"/>
          </w:tcPr>
          <w:p>
            <w:pPr>
              <w:pStyle w:val="TableContents"/>
              <w:bidi w:val="0"/>
              <w:spacing w:before="0" w:after="0"/>
              <w:ind w:left="0" w:right="0" w:hanging="0"/>
              <w:jc w:val="left"/>
              <w:rPr/>
            </w:pPr>
            <w:r>
              <w:rPr/>
              <w:t>​</w:t>
            </w:r>
          </w:p>
        </w:tc>
        <w:tc>
          <w:tcPr>
            <w:tcW w:w="4279"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Filed herewith</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40</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Arial;Helvetica;sans-serif" w:hAnsi="Arial;Helvetica;sans-serif"/>
          <w:b/>
          <w:sz w:val="20"/>
        </w:rPr>
      </w:pPr>
      <w:bookmarkStart w:id="1371" w:name="SIGNATURES_810600"/>
      <w:bookmarkStart w:id="1372" w:name="_60076027_17e5_43bf_8820_57b6431244e7"/>
      <w:bookmarkEnd w:id="1371"/>
      <w:bookmarkEnd w:id="1372"/>
      <w:r>
        <w:rPr>
          <w:rFonts w:ascii="Arial;Helvetica;sans-serif" w:hAnsi="Arial;Helvetica;sans-serif"/>
          <w:b/>
          <w:sz w:val="20"/>
        </w:rPr>
        <w:t>SIGNATURES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pPr>
      <w:r>
        <w:rPr/>
        <w:t>​</w:t>
      </w:r>
    </w:p>
    <w:tbl>
      <w:tblPr>
        <w:tblW w:w="6644" w:type="dxa"/>
        <w:jc w:val="left"/>
        <w:tblInd w:w="0" w:type="dxa"/>
        <w:tblLayout w:type="fixed"/>
        <w:tblCellMar>
          <w:top w:w="0" w:type="dxa"/>
          <w:left w:w="0" w:type="dxa"/>
          <w:bottom w:w="0" w:type="dxa"/>
          <w:right w:w="0" w:type="dxa"/>
        </w:tblCellMar>
      </w:tblPr>
      <w:tblGrid>
        <w:gridCol w:w="1816"/>
        <w:gridCol w:w="326"/>
        <w:gridCol w:w="406"/>
        <w:gridCol w:w="4096"/>
      </w:tblGrid>
      <w:tr>
        <w:trPr/>
        <w:tc>
          <w:tcPr>
            <w:tcW w:w="18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left"/>
              <w:rPr/>
            </w:pPr>
            <w:r>
              <w:rPr/>
              <w:t>​</w:t>
            </w:r>
          </w:p>
        </w:tc>
      </w:tr>
      <w:tr>
        <w:trPr/>
        <w:tc>
          <w:tcPr>
            <w:tcW w:w="18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both"/>
              <w:rPr/>
            </w:pPr>
            <w:r>
              <w:rPr/>
              <w:t>​</w:t>
            </w:r>
          </w:p>
        </w:tc>
        <w:tc>
          <w:tcPr>
            <w:tcW w:w="4096" w:type="dxa"/>
            <w:tcBorders/>
            <w:vAlign w:val="center"/>
          </w:tcPr>
          <w:p>
            <w:pPr>
              <w:pStyle w:val="TableContents"/>
              <w:bidi w:val="0"/>
              <w:spacing w:before="0" w:after="0"/>
              <w:ind w:left="0" w:right="0" w:hanging="0"/>
              <w:jc w:val="both"/>
              <w:rPr>
                <w:rFonts w:ascii="Arial;Helvetica;sans-serif" w:hAnsi="Arial;Helvetica;sans-serif"/>
                <w:b/>
                <w:sz w:val="20"/>
              </w:rPr>
            </w:pPr>
            <w:r>
              <w:rPr>
                <w:rFonts w:ascii="Arial;Helvetica;sans-serif" w:hAnsi="Arial;Helvetica;sans-serif"/>
                <w:b/>
                <w:sz w:val="20"/>
              </w:rPr>
              <w:t>HELIX ENERGY SOLUTIONS GROUP, INC.</w:t>
            </w:r>
          </w:p>
        </w:tc>
      </w:tr>
      <w:tr>
        <w:trPr/>
        <w:tc>
          <w:tcPr>
            <w:tcW w:w="18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(Registrant)</w:t>
            </w:r>
          </w:p>
        </w:tc>
      </w:tr>
      <w:tr>
        <w:trPr/>
        <w:tc>
          <w:tcPr>
            <w:tcW w:w="18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02" w:type="dxa"/>
            <w:gridSpan w:val="2"/>
            <w:tcBorders/>
            <w:vAlign w:val="center"/>
          </w:tcPr>
          <w:p>
            <w:pPr>
              <w:pStyle w:val="TableContents"/>
              <w:bidi w:val="0"/>
              <w:spacing w:before="0" w:after="0"/>
              <w:ind w:left="0" w:right="0" w:hanging="0"/>
              <w:jc w:val="left"/>
              <w:rPr/>
            </w:pPr>
            <w:r>
              <w:rPr/>
              <w:t>​</w:t>
            </w:r>
          </w:p>
        </w:tc>
      </w:tr>
      <w:tr>
        <w:trPr/>
        <w:tc>
          <w:tcPr>
            <w:tcW w:w="18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Date: July 25, 2024</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409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/s/ Owen Kratz</w:t>
            </w:r>
          </w:p>
        </w:tc>
      </w:tr>
      <w:tr>
        <w:trPr/>
        <w:tc>
          <w:tcPr>
            <w:tcW w:w="18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096"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Owen Kratz</w:t>
            </w:r>
          </w:p>
        </w:tc>
      </w:tr>
      <w:tr>
        <w:trPr/>
        <w:tc>
          <w:tcPr>
            <w:tcW w:w="18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President and Chief Executive Officer</w:t>
            </w:r>
          </w:p>
        </w:tc>
      </w:tr>
      <w:tr>
        <w:trPr/>
        <w:tc>
          <w:tcPr>
            <w:tcW w:w="18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(Principal Executive Officer)</w:t>
            </w:r>
          </w:p>
        </w:tc>
      </w:tr>
      <w:tr>
        <w:trPr/>
        <w:tc>
          <w:tcPr>
            <w:tcW w:w="18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left"/>
              <w:rPr/>
            </w:pPr>
            <w:r>
              <w:rPr/>
              <w:t>​</w:t>
            </w:r>
          </w:p>
        </w:tc>
      </w:tr>
      <w:tr>
        <w:trPr/>
        <w:tc>
          <w:tcPr>
            <w:tcW w:w="18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Date: July 25, 2024</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409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/s/ Erik Staffeldt</w:t>
            </w:r>
          </w:p>
        </w:tc>
      </w:tr>
      <w:tr>
        <w:trPr/>
        <w:tc>
          <w:tcPr>
            <w:tcW w:w="18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096"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Erik Staffeldt</w:t>
            </w:r>
          </w:p>
        </w:tc>
      </w:tr>
      <w:tr>
        <w:trPr/>
        <w:tc>
          <w:tcPr>
            <w:tcW w:w="18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Executive Vice President and</w:t>
            </w:r>
          </w:p>
        </w:tc>
      </w:tr>
      <w:tr>
        <w:trPr/>
        <w:tc>
          <w:tcPr>
            <w:tcW w:w="18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Chief Financial Officer</w:t>
            </w:r>
          </w:p>
        </w:tc>
      </w:tr>
      <w:tr>
        <w:trPr/>
        <w:tc>
          <w:tcPr>
            <w:tcW w:w="18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(Principal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0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41</w:t>
      </w:r>
    </w:p>
    <w:p>
      <w:pPr>
        <w:pStyle w:val="TextBody"/>
        <w:bidi w:val="0"/>
        <w:spacing w:before="0" w:after="0"/>
        <w:ind w:left="0" w:right="0" w:hanging="0"/>
        <w:jc w:val="right"/>
        <w:rPr>
          <w:rFonts w:ascii="Arial;Helvetica;sans-serif" w:hAnsi="Arial;Helvetica;sans-serif"/>
          <w:b/>
          <w:sz w:val="22"/>
        </w:rPr>
      </w:pPr>
      <w:bookmarkStart w:id="1373" w:name="hlx-20240630xex31d1.htm"/>
      <w:bookmarkStart w:id="1374" w:name="kshlx20240630xex31d1"/>
      <w:bookmarkEnd w:id="1373"/>
      <w:bookmarkEnd w:id="1374"/>
      <w:r>
        <w:rPr>
          <w:rFonts w:ascii="Arial;Helvetica;sans-serif" w:hAnsi="Arial;Helvetica;sans-serif"/>
          <w:b/>
          <w:sz w:val="22"/>
        </w:rPr>
        <w:t>EXHIBIT 31.1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SECTION 302 CERTIFICATION</w:t>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22"/>
        </w:rPr>
      </w:pPr>
      <w:r>
        <w:rPr>
          <w:rFonts w:ascii="Arial;Helvetica;sans-serif" w:hAnsi="Arial;Helvetica;sans-serif"/>
          <w:sz w:val="22"/>
        </w:rPr>
        <w:t>I, Owen Kratz, the President and Chief Executive Officer of Helix Energy Solutions Group, Inc., certify that:</w:t>
      </w:r>
    </w:p>
    <w:tbl>
      <w:tblPr>
        <w:tblW w:w="9025" w:type="dxa"/>
        <w:jc w:val="left"/>
        <w:tblInd w:w="0" w:type="dxa"/>
        <w:tblLayout w:type="fixed"/>
        <w:tblCellMar>
          <w:top w:w="0" w:type="dxa"/>
          <w:left w:w="0" w:type="dxa"/>
          <w:bottom w:w="0" w:type="dxa"/>
          <w:right w:w="0" w:type="dxa"/>
        </w:tblCellMar>
      </w:tblPr>
      <w:tblGrid>
        <w:gridCol w:w="200"/>
        <w:gridCol w:w="8825"/>
      </w:tblGrid>
      <w:tr>
        <w:trPr/>
        <w:tc>
          <w:tcPr>
            <w:tcW w:w="200"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1.</w:t>
            </w:r>
          </w:p>
        </w:tc>
        <w:tc>
          <w:tcPr>
            <w:tcW w:w="8825"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I have reviewed this Quarterly Report on Form 10-Q of Helix Energy Solutions Group, Inc.;</w:t>
            </w:r>
          </w:p>
        </w:tc>
      </w:tr>
    </w:tbl>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2.</w:t>
            </w:r>
          </w:p>
        </w:tc>
        <w:tc>
          <w:tcPr>
            <w:tcW w:w="10047"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3.</w:t>
            </w:r>
          </w:p>
        </w:tc>
        <w:tc>
          <w:tcPr>
            <w:tcW w:w="10044"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4.</w:t>
            </w:r>
          </w:p>
        </w:tc>
        <w:tc>
          <w:tcPr>
            <w:tcW w:w="10048"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(a)</w:t>
            </w:r>
          </w:p>
        </w:tc>
        <w:tc>
          <w:tcPr>
            <w:tcW w:w="9948"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(b)</w:t>
            </w:r>
          </w:p>
        </w:tc>
        <w:tc>
          <w:tcPr>
            <w:tcW w:w="9948"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240"/>
        <w:gridCol w:w="9942"/>
      </w:tblGrid>
      <w:tr>
        <w:trPr/>
        <w:tc>
          <w:tcPr>
            <w:tcW w:w="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(c)</w:t>
            </w:r>
          </w:p>
        </w:tc>
        <w:tc>
          <w:tcPr>
            <w:tcW w:w="9942"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35"/>
        <w:gridCol w:w="9947"/>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(d)</w:t>
            </w:r>
          </w:p>
        </w:tc>
        <w:tc>
          <w:tcPr>
            <w:tcW w:w="9947"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5.</w:t>
            </w:r>
          </w:p>
        </w:tc>
        <w:tc>
          <w:tcPr>
            <w:tcW w:w="10045"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242"/>
        <w:gridCol w:w="9940"/>
      </w:tblGrid>
      <w:tr>
        <w:trPr/>
        <w:tc>
          <w:tcPr>
            <w:tcW w:w="2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(a)</w:t>
            </w:r>
          </w:p>
        </w:tc>
        <w:tc>
          <w:tcPr>
            <w:tcW w:w="9940"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58"/>
        <w:gridCol w:w="9924"/>
      </w:tblGrid>
      <w:tr>
        <w:trPr/>
        <w:tc>
          <w:tcPr>
            <w:tcW w:w="2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0"/>
              <w:jc w:val="left"/>
              <w:rPr>
                <w:rFonts w:ascii="Arial;Helvetica;sans-serif" w:hAnsi="Arial;Helvetica;sans-serif"/>
                <w:sz w:val="22"/>
              </w:rPr>
            </w:pPr>
            <w:r>
              <w:rPr>
                <w:rFonts w:ascii="Arial;Helvetica;sans-serif" w:hAnsi="Arial;Helvetica;sans-serif"/>
                <w:sz w:val="22"/>
              </w:rPr>
              <w:t>(b)</w:t>
            </w:r>
          </w:p>
        </w:tc>
        <w:tc>
          <w:tcPr>
            <w:tcW w:w="9924" w:type="dxa"/>
            <w:tcBorders/>
            <w:vAlign w:val="center"/>
          </w:tcPr>
          <w:p>
            <w:pPr>
              <w:pStyle w:val="TableContents"/>
              <w:bidi w:val="0"/>
              <w:spacing w:before="0" w:after="0"/>
              <w:jc w:val="left"/>
              <w:rPr>
                <w:rFonts w:ascii="Arial;Helvetica;sans-serif" w:hAnsi="Arial;Helvetica;sans-serif"/>
                <w:sz w:val="22"/>
              </w:rPr>
            </w:pPr>
            <w:r>
              <w:rPr>
                <w:rFonts w:ascii="Arial;Helvetica;sans-serif" w:hAnsi="Arial;Helvetica;sans-serif"/>
                <w:sz w:val="22"/>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2"/>
        </w:rPr>
      </w:pPr>
      <w:r>
        <w:rPr>
          <w:rFonts w:ascii="Arial;Helvetica;sans-serif" w:hAnsi="Arial;Helvetica;sans-serif"/>
          <w:sz w:val="22"/>
        </w:rPr>
        <w:t>Date: July 25, 2024</w:t>
      </w:r>
    </w:p>
    <w:p>
      <w:pPr>
        <w:pStyle w:val="TextBody"/>
        <w:bidi w:val="0"/>
        <w:spacing w:before="0" w:after="0"/>
        <w:ind w:left="0" w:right="0" w:hanging="0"/>
        <w:jc w:val="center"/>
        <w:rPr/>
      </w:pPr>
      <w:r>
        <w:rPr/>
        <w:t>​</w:t>
      </w:r>
    </w:p>
    <w:tbl>
      <w:tblPr>
        <w:tblW w:w="3950" w:type="dxa"/>
        <w:jc w:val="left"/>
        <w:tblInd w:w="0" w:type="dxa"/>
        <w:tblLayout w:type="fixed"/>
        <w:tblCellMar>
          <w:top w:w="0" w:type="dxa"/>
          <w:left w:w="0" w:type="dxa"/>
          <w:bottom w:w="0" w:type="dxa"/>
          <w:right w:w="0" w:type="dxa"/>
        </w:tblCellMar>
      </w:tblPr>
      <w:tblGrid>
        <w:gridCol w:w="124"/>
        <w:gridCol w:w="3826"/>
      </w:tblGrid>
      <w:tr>
        <w:trPr/>
        <w:tc>
          <w:tcPr>
            <w:tcW w:w="124" w:type="dxa"/>
            <w:tcBorders/>
            <w:vAlign w:val="center"/>
          </w:tcPr>
          <w:p>
            <w:pPr>
              <w:pStyle w:val="TableContents"/>
              <w:bidi w:val="0"/>
              <w:spacing w:before="0" w:after="0"/>
              <w:ind w:left="0" w:right="0" w:hanging="0"/>
              <w:jc w:val="left"/>
              <w:rPr/>
            </w:pPr>
            <w:r>
              <w:rPr/>
              <w:t>​</w:t>
            </w:r>
          </w:p>
        </w:tc>
        <w:tc>
          <w:tcPr>
            <w:tcW w:w="382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/s/ Owen Kratz</w:t>
            </w:r>
          </w:p>
        </w:tc>
      </w:tr>
      <w:tr>
        <w:trPr/>
        <w:tc>
          <w:tcPr>
            <w:tcW w:w="124" w:type="dxa"/>
            <w:tcBorders/>
            <w:vAlign w:val="center"/>
          </w:tcPr>
          <w:p>
            <w:pPr>
              <w:pStyle w:val="TableContents"/>
              <w:bidi w:val="0"/>
              <w:spacing w:before="0" w:after="0"/>
              <w:ind w:left="0" w:right="0" w:hanging="0"/>
              <w:jc w:val="left"/>
              <w:rPr/>
            </w:pPr>
            <w:r>
              <w:rPr/>
              <w:t>​</w:t>
            </w:r>
          </w:p>
        </w:tc>
        <w:tc>
          <w:tcPr>
            <w:tcW w:w="3826"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Owen Kratz</w:t>
            </w:r>
          </w:p>
        </w:tc>
      </w:tr>
      <w:tr>
        <w:trPr/>
        <w:tc>
          <w:tcPr>
            <w:tcW w:w="124" w:type="dxa"/>
            <w:tcBorders/>
            <w:vAlign w:val="center"/>
          </w:tcPr>
          <w:p>
            <w:pPr>
              <w:pStyle w:val="TableContents"/>
              <w:bidi w:val="0"/>
              <w:spacing w:before="0" w:after="0"/>
              <w:ind w:left="0" w:right="0" w:hanging="0"/>
              <w:jc w:val="left"/>
              <w:rPr/>
            </w:pPr>
            <w:r>
              <w:rPr/>
              <w:t>​</w:t>
            </w:r>
          </w:p>
        </w:tc>
        <w:tc>
          <w:tcPr>
            <w:tcW w:w="3826" w:type="dxa"/>
            <w:tcBorders/>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President and 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Arial;Helvetica;sans-serif" w:hAnsi="Arial;Helvetica;sans-serif"/>
          <w:b/>
          <w:sz w:val="22"/>
        </w:rPr>
      </w:pPr>
      <w:bookmarkStart w:id="1375" w:name="hlx-20240630xex31d2.htm"/>
      <w:bookmarkStart w:id="1376" w:name="kshlx20240630xex31d2"/>
      <w:bookmarkEnd w:id="1375"/>
      <w:bookmarkEnd w:id="1376"/>
      <w:r>
        <w:rPr>
          <w:rFonts w:ascii="Arial;Helvetica;sans-serif" w:hAnsi="Arial;Helvetica;sans-serif"/>
          <w:b/>
          <w:sz w:val="22"/>
        </w:rPr>
        <w:t>EXHBIT 31.2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SECTION 302 CERTIFICATION</w:t>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22"/>
        </w:rPr>
      </w:pPr>
      <w:r>
        <w:rPr>
          <w:rFonts w:ascii="Arial;Helvetica;sans-serif" w:hAnsi="Arial;Helvetica;sans-serif"/>
          <w:sz w:val="22"/>
        </w:rPr>
        <w:t>I, Erik Staffeldt, the Executive Vice President and Chief Financial Officer of Helix Energy Solutions Group, Inc., certify that:</w:t>
      </w:r>
    </w:p>
    <w:tbl>
      <w:tblPr>
        <w:tblW w:w="9025" w:type="dxa"/>
        <w:jc w:val="left"/>
        <w:tblInd w:w="0" w:type="dxa"/>
        <w:tblLayout w:type="fixed"/>
        <w:tblCellMar>
          <w:top w:w="0" w:type="dxa"/>
          <w:left w:w="0" w:type="dxa"/>
          <w:bottom w:w="0" w:type="dxa"/>
          <w:right w:w="0" w:type="dxa"/>
        </w:tblCellMar>
      </w:tblPr>
      <w:tblGrid>
        <w:gridCol w:w="200"/>
        <w:gridCol w:w="8825"/>
      </w:tblGrid>
      <w:tr>
        <w:trPr/>
        <w:tc>
          <w:tcPr>
            <w:tcW w:w="200"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1.</w:t>
            </w:r>
          </w:p>
        </w:tc>
        <w:tc>
          <w:tcPr>
            <w:tcW w:w="8825"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I have reviewed this Quarterly Report on Form 10-Q of Helix Energy Solutions Group, Inc.;</w:t>
            </w:r>
          </w:p>
        </w:tc>
      </w:tr>
    </w:tbl>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2.</w:t>
            </w:r>
          </w:p>
        </w:tc>
        <w:tc>
          <w:tcPr>
            <w:tcW w:w="10047"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3.</w:t>
            </w:r>
          </w:p>
        </w:tc>
        <w:tc>
          <w:tcPr>
            <w:tcW w:w="10044"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4.</w:t>
            </w:r>
          </w:p>
        </w:tc>
        <w:tc>
          <w:tcPr>
            <w:tcW w:w="10048"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(a)</w:t>
            </w:r>
          </w:p>
        </w:tc>
        <w:tc>
          <w:tcPr>
            <w:tcW w:w="9948"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(b)</w:t>
            </w:r>
          </w:p>
        </w:tc>
        <w:tc>
          <w:tcPr>
            <w:tcW w:w="9948"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240"/>
        <w:gridCol w:w="9942"/>
      </w:tblGrid>
      <w:tr>
        <w:trPr/>
        <w:tc>
          <w:tcPr>
            <w:tcW w:w="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(c)</w:t>
            </w:r>
          </w:p>
        </w:tc>
        <w:tc>
          <w:tcPr>
            <w:tcW w:w="9942"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35"/>
        <w:gridCol w:w="9947"/>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(d)</w:t>
            </w:r>
          </w:p>
        </w:tc>
        <w:tc>
          <w:tcPr>
            <w:tcW w:w="9947"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5.</w:t>
            </w:r>
          </w:p>
        </w:tc>
        <w:tc>
          <w:tcPr>
            <w:tcW w:w="10045"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242"/>
        <w:gridCol w:w="9940"/>
      </w:tblGrid>
      <w:tr>
        <w:trPr/>
        <w:tc>
          <w:tcPr>
            <w:tcW w:w="2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(a)</w:t>
            </w:r>
          </w:p>
        </w:tc>
        <w:tc>
          <w:tcPr>
            <w:tcW w:w="9940"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58"/>
        <w:gridCol w:w="9924"/>
      </w:tblGrid>
      <w:tr>
        <w:trPr/>
        <w:tc>
          <w:tcPr>
            <w:tcW w:w="2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0"/>
              <w:jc w:val="left"/>
              <w:rPr>
                <w:rFonts w:ascii="Arial;Helvetica;sans-serif" w:hAnsi="Arial;Helvetica;sans-serif"/>
                <w:sz w:val="22"/>
              </w:rPr>
            </w:pPr>
            <w:r>
              <w:rPr>
                <w:rFonts w:ascii="Arial;Helvetica;sans-serif" w:hAnsi="Arial;Helvetica;sans-serif"/>
                <w:sz w:val="22"/>
              </w:rPr>
              <w:t>(b)</w:t>
            </w:r>
          </w:p>
        </w:tc>
        <w:tc>
          <w:tcPr>
            <w:tcW w:w="9924" w:type="dxa"/>
            <w:tcBorders/>
            <w:vAlign w:val="center"/>
          </w:tcPr>
          <w:p>
            <w:pPr>
              <w:pStyle w:val="TableContents"/>
              <w:bidi w:val="0"/>
              <w:spacing w:before="0" w:after="0"/>
              <w:jc w:val="left"/>
              <w:rPr>
                <w:rFonts w:ascii="Arial;Helvetica;sans-serif" w:hAnsi="Arial;Helvetica;sans-serif"/>
                <w:sz w:val="22"/>
              </w:rPr>
            </w:pPr>
            <w:r>
              <w:rPr>
                <w:rFonts w:ascii="Arial;Helvetica;sans-serif" w:hAnsi="Arial;Helvetica;sans-serif"/>
                <w:sz w:val="22"/>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2"/>
        </w:rPr>
      </w:pPr>
      <w:r>
        <w:rPr>
          <w:rFonts w:ascii="Arial;Helvetica;sans-serif" w:hAnsi="Arial;Helvetica;sans-serif"/>
          <w:sz w:val="22"/>
        </w:rPr>
        <w:t>Date: July 25, 2024</w:t>
      </w:r>
    </w:p>
    <w:p>
      <w:pPr>
        <w:pStyle w:val="TextBody"/>
        <w:bidi w:val="0"/>
        <w:spacing w:before="0" w:after="0"/>
        <w:ind w:left="0" w:right="0" w:hanging="0"/>
        <w:jc w:val="left"/>
        <w:rPr/>
      </w:pPr>
      <w:r>
        <w:rPr/>
        <w:t>​</w:t>
      </w:r>
    </w:p>
    <w:tbl>
      <w:tblPr>
        <w:tblW w:w="5375" w:type="dxa"/>
        <w:jc w:val="center"/>
        <w:tblInd w:w="0" w:type="dxa"/>
        <w:tblLayout w:type="fixed"/>
        <w:tblCellMar>
          <w:top w:w="0" w:type="dxa"/>
          <w:left w:w="0" w:type="dxa"/>
          <w:bottom w:w="0" w:type="dxa"/>
          <w:right w:w="0" w:type="dxa"/>
        </w:tblCellMar>
      </w:tblPr>
      <w:tblGrid>
        <w:gridCol w:w="124"/>
        <w:gridCol w:w="5251"/>
      </w:tblGrid>
      <w:tr>
        <w:trPr/>
        <w:tc>
          <w:tcPr>
            <w:tcW w:w="124" w:type="dxa"/>
            <w:tcBorders/>
            <w:vAlign w:val="center"/>
          </w:tcPr>
          <w:p>
            <w:pPr>
              <w:pStyle w:val="TableContents"/>
              <w:bidi w:val="0"/>
              <w:spacing w:before="0" w:after="0"/>
              <w:ind w:left="0" w:right="0" w:hanging="0"/>
              <w:jc w:val="left"/>
              <w:rPr/>
            </w:pPr>
            <w:r>
              <w:rPr/>
              <w:t>​</w:t>
            </w:r>
          </w:p>
        </w:tc>
        <w:tc>
          <w:tcPr>
            <w:tcW w:w="525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/s/ Erik Staffeldt</w:t>
            </w:r>
          </w:p>
        </w:tc>
      </w:tr>
      <w:tr>
        <w:trPr/>
        <w:tc>
          <w:tcPr>
            <w:tcW w:w="124" w:type="dxa"/>
            <w:tcBorders/>
            <w:vAlign w:val="center"/>
          </w:tcPr>
          <w:p>
            <w:pPr>
              <w:pStyle w:val="TableContents"/>
              <w:bidi w:val="0"/>
              <w:spacing w:before="0" w:after="0"/>
              <w:ind w:left="0" w:right="0" w:hanging="0"/>
              <w:jc w:val="left"/>
              <w:rPr/>
            </w:pPr>
            <w:r>
              <w:rPr/>
              <w:t>​</w:t>
            </w:r>
          </w:p>
        </w:tc>
        <w:tc>
          <w:tcPr>
            <w:tcW w:w="5251"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Erik Staffeldt</w:t>
            </w:r>
          </w:p>
        </w:tc>
      </w:tr>
      <w:tr>
        <w:trPr/>
        <w:tc>
          <w:tcPr>
            <w:tcW w:w="124" w:type="dxa"/>
            <w:tcBorders/>
            <w:vAlign w:val="center"/>
          </w:tcPr>
          <w:p>
            <w:pPr>
              <w:pStyle w:val="TableContents"/>
              <w:bidi w:val="0"/>
              <w:spacing w:before="0" w:after="0"/>
              <w:ind w:left="0" w:right="0" w:hanging="0"/>
              <w:jc w:val="left"/>
              <w:rPr/>
            </w:pPr>
            <w:r>
              <w:rPr/>
              <w:t>​</w:t>
            </w:r>
          </w:p>
        </w:tc>
        <w:tc>
          <w:tcPr>
            <w:tcW w:w="5251" w:type="dxa"/>
            <w:tcBorders/>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Executive Vice President and 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Arial;Helvetica;sans-serif" w:hAnsi="Arial;Helvetica;sans-serif"/>
          <w:b/>
          <w:sz w:val="22"/>
        </w:rPr>
      </w:pPr>
      <w:bookmarkStart w:id="1377" w:name="hlx-20240630xex32d1.htm"/>
      <w:bookmarkStart w:id="1378" w:name="kshlx20240630xex32d1"/>
      <w:bookmarkEnd w:id="1377"/>
      <w:bookmarkEnd w:id="1378"/>
      <w:r>
        <w:rPr>
          <w:rFonts w:ascii="Arial;Helvetica;sans-serif" w:hAnsi="Arial;Helvetica;sans-serif"/>
          <w:b/>
          <w:sz w:val="22"/>
        </w:rPr>
        <w:t>EXHIBIT 32.1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CERTIFICATION OF CEO AND CFO PURSUANT TO 18 U.S.C. SECTION 1350</w:t>
      </w:r>
    </w:p>
    <w:p>
      <w:pPr>
        <w:pStyle w:val="TextBody"/>
        <w:bidi w:val="0"/>
        <w:spacing w:before="0" w:after="0"/>
        <w:ind w:left="0" w:right="0" w:hanging="0"/>
        <w:jc w:val="center"/>
        <w:rPr>
          <w:rFonts w:ascii="Arial;Helvetica;sans-serif" w:hAnsi="Arial;Helvetica;sans-serif"/>
          <w:sz w:val="22"/>
        </w:rPr>
      </w:pPr>
      <w:r>
        <w:rPr>
          <w:rFonts w:ascii="Arial;Helvetica;sans-serif" w:hAnsi="Arial;Helvetica;sans-serif"/>
          <w:sz w:val="22"/>
        </w:rPr>
        <w:t>(As Adopted Pursuant to Section 906 of the Sarbanes-Oxley Act of 2002)</w:t>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22"/>
        </w:rPr>
      </w:pPr>
      <w:r>
        <w:rPr>
          <w:rFonts w:ascii="Arial;Helvetica;sans-serif" w:hAnsi="Arial;Helvetica;sans-serif"/>
          <w:sz w:val="22"/>
        </w:rPr>
        <w:t>In connection with the Quarterly Report of Helix Energy Solutions Group, Inc. (“Helix”) on Form 10-Q for the quarterly period ended June 30, 2024, as filed with the Securities and Exchange Commission on the date hereof (the “Report”), Owen Kratz, as President and Chief Executive Officer, and Erik Staffeldt, as Executive Vice President and Chief Financial Officer, each hereby certifies, pursuant to 18 U.S.C. Section 1350, as adopted pursuant to Section 906 of the Sarbanes-Oxley Act of 2002, that:</w:t>
      </w:r>
    </w:p>
    <w:tbl>
      <w:tblPr>
        <w:tblW w:w="10205" w:type="dxa"/>
        <w:jc w:val="left"/>
        <w:tblInd w:w="0" w:type="dxa"/>
        <w:tblLayout w:type="fixed"/>
        <w:tblCellMar>
          <w:top w:w="0" w:type="dxa"/>
          <w:left w:w="0" w:type="dxa"/>
          <w:bottom w:w="0" w:type="dxa"/>
          <w:right w:w="0" w:type="dxa"/>
        </w:tblCellMar>
      </w:tblPr>
      <w:tblGrid>
        <w:gridCol w:w="23"/>
        <w:gridCol w:w="278"/>
        <w:gridCol w:w="9904"/>
      </w:tblGrid>
      <w:tr>
        <w:trPr/>
        <w:tc>
          <w:tcPr>
            <w:tcW w:w="2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(1)</w:t>
            </w:r>
          </w:p>
        </w:tc>
        <w:tc>
          <w:tcPr>
            <w:tcW w:w="9904"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70"/>
        <w:gridCol w:w="9912"/>
      </w:tblGrid>
      <w:tr>
        <w:trPr/>
        <w:tc>
          <w:tcPr>
            <w:tcW w:w="2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0"/>
              <w:jc w:val="left"/>
              <w:rPr>
                <w:rFonts w:ascii="Arial;Helvetica;sans-serif" w:hAnsi="Arial;Helvetica;sans-serif"/>
                <w:sz w:val="22"/>
              </w:rPr>
            </w:pPr>
            <w:r>
              <w:rPr>
                <w:rFonts w:ascii="Arial;Helvetica;sans-serif" w:hAnsi="Arial;Helvetica;sans-serif"/>
                <w:sz w:val="22"/>
              </w:rPr>
              <w:t>(2)</w:t>
            </w:r>
          </w:p>
        </w:tc>
        <w:tc>
          <w:tcPr>
            <w:tcW w:w="9912" w:type="dxa"/>
            <w:tcBorders/>
            <w:vAlign w:val="center"/>
          </w:tcPr>
          <w:p>
            <w:pPr>
              <w:pStyle w:val="TableContents"/>
              <w:bidi w:val="0"/>
              <w:spacing w:before="0" w:after="0"/>
              <w:jc w:val="left"/>
              <w:rPr>
                <w:rFonts w:ascii="Arial;Helvetica;sans-serif" w:hAnsi="Arial;Helvetica;sans-serif"/>
                <w:sz w:val="22"/>
              </w:rPr>
            </w:pPr>
            <w:r>
              <w:rPr>
                <w:rFonts w:ascii="Arial;Helvetica;sans-serif" w:hAnsi="Arial;Helvetica;sans-serif"/>
                <w:sz w:val="22"/>
              </w:rPr>
              <w:t>The information contained in the Report fairly presents, in all material respects, the financial condition and results of operations of Helix.</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2"/>
        </w:rPr>
      </w:pPr>
      <w:r>
        <w:rPr>
          <w:rFonts w:ascii="Arial;Helvetica;sans-serif" w:hAnsi="Arial;Helvetica;sans-serif"/>
          <w:sz w:val="22"/>
        </w:rPr>
        <w:t>Date: July 25, 2024</w:t>
      </w:r>
    </w:p>
    <w:p>
      <w:pPr>
        <w:pStyle w:val="TextBody"/>
        <w:bidi w:val="0"/>
        <w:spacing w:before="0" w:after="0"/>
        <w:ind w:left="0" w:right="0" w:hanging="0"/>
        <w:jc w:val="left"/>
        <w:rPr/>
      </w:pPr>
      <w:r>
        <w:rPr/>
        <w:t>​</w:t>
      </w:r>
    </w:p>
    <w:tbl>
      <w:tblPr>
        <w:tblW w:w="3987" w:type="dxa"/>
        <w:jc w:val="left"/>
        <w:tblInd w:w="0" w:type="dxa"/>
        <w:tblLayout w:type="fixed"/>
        <w:tblCellMar>
          <w:top w:w="0" w:type="dxa"/>
          <w:left w:w="0" w:type="dxa"/>
          <w:bottom w:w="0" w:type="dxa"/>
          <w:right w:w="0" w:type="dxa"/>
        </w:tblCellMar>
      </w:tblPr>
      <w:tblGrid>
        <w:gridCol w:w="161"/>
        <w:gridCol w:w="3826"/>
      </w:tblGrid>
      <w:tr>
        <w:trPr/>
        <w:tc>
          <w:tcPr>
            <w:tcW w:w="161" w:type="dxa"/>
            <w:tcBorders/>
            <w:vAlign w:val="center"/>
          </w:tcPr>
          <w:p>
            <w:pPr>
              <w:pStyle w:val="TableContents"/>
              <w:bidi w:val="0"/>
              <w:spacing w:before="0" w:after="0"/>
              <w:ind w:left="0" w:right="0" w:hanging="0"/>
              <w:jc w:val="left"/>
              <w:rPr/>
            </w:pPr>
            <w:r>
              <w:rPr/>
              <w:t>​</w:t>
            </w:r>
          </w:p>
        </w:tc>
        <w:tc>
          <w:tcPr>
            <w:tcW w:w="3826" w:type="dxa"/>
            <w:tcBorders/>
            <w:vAlign w:val="center"/>
          </w:tcPr>
          <w:p>
            <w:pPr>
              <w:pStyle w:val="TableContents"/>
              <w:bidi w:val="0"/>
              <w:spacing w:before="0" w:after="0"/>
              <w:ind w:left="0" w:right="0" w:hanging="0"/>
              <w:jc w:val="left"/>
              <w:rPr/>
            </w:pPr>
            <w:r>
              <w:rPr/>
              <w:t>​</w:t>
            </w:r>
          </w:p>
        </w:tc>
      </w:tr>
      <w:tr>
        <w:trPr/>
        <w:tc>
          <w:tcPr>
            <w:tcW w:w="161" w:type="dxa"/>
            <w:tcBorders/>
            <w:vAlign w:val="center"/>
          </w:tcPr>
          <w:p>
            <w:pPr>
              <w:pStyle w:val="TableContents"/>
              <w:bidi w:val="0"/>
              <w:spacing w:before="0" w:after="0"/>
              <w:ind w:left="0" w:right="0" w:hanging="0"/>
              <w:jc w:val="left"/>
              <w:rPr/>
            </w:pPr>
            <w:r>
              <w:rPr/>
              <w:t>​</w:t>
            </w:r>
          </w:p>
        </w:tc>
        <w:tc>
          <w:tcPr>
            <w:tcW w:w="382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/s/ Owen Kratz</w:t>
            </w:r>
          </w:p>
        </w:tc>
      </w:tr>
      <w:tr>
        <w:trPr/>
        <w:tc>
          <w:tcPr>
            <w:tcW w:w="161" w:type="dxa"/>
            <w:tcBorders/>
            <w:vAlign w:val="center"/>
          </w:tcPr>
          <w:p>
            <w:pPr>
              <w:pStyle w:val="TableContents"/>
              <w:bidi w:val="0"/>
              <w:spacing w:before="0" w:after="0"/>
              <w:ind w:left="0" w:right="0" w:hanging="0"/>
              <w:jc w:val="left"/>
              <w:rPr/>
            </w:pPr>
            <w:r>
              <w:rPr/>
              <w:t>​</w:t>
            </w:r>
          </w:p>
        </w:tc>
        <w:tc>
          <w:tcPr>
            <w:tcW w:w="3826"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Owen Kratz</w:t>
            </w:r>
          </w:p>
        </w:tc>
      </w:tr>
      <w:tr>
        <w:trPr/>
        <w:tc>
          <w:tcPr>
            <w:tcW w:w="161" w:type="dxa"/>
            <w:tcBorders/>
            <w:vAlign w:val="center"/>
          </w:tcPr>
          <w:p>
            <w:pPr>
              <w:pStyle w:val="TableContents"/>
              <w:bidi w:val="0"/>
              <w:spacing w:before="0" w:after="0"/>
              <w:ind w:left="0" w:right="0" w:hanging="0"/>
              <w:jc w:val="left"/>
              <w:rPr/>
            </w:pPr>
            <w:r>
              <w:rPr/>
              <w:t> </w:t>
            </w:r>
          </w:p>
        </w:tc>
        <w:tc>
          <w:tcPr>
            <w:tcW w:w="3826" w:type="dxa"/>
            <w:tcBorders/>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President and Chief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2"/>
        </w:rPr>
      </w:pPr>
      <w:r>
        <w:rPr>
          <w:rFonts w:ascii="Arial;Helvetica;sans-serif" w:hAnsi="Arial;Helvetica;sans-serif"/>
          <w:sz w:val="22"/>
        </w:rPr>
        <w:t>Date: July 25, 2024</w:t>
      </w:r>
    </w:p>
    <w:p>
      <w:pPr>
        <w:pStyle w:val="TextBody"/>
        <w:bidi w:val="0"/>
        <w:spacing w:before="0" w:after="0"/>
        <w:ind w:left="0" w:right="0" w:hanging="0"/>
        <w:jc w:val="left"/>
        <w:rPr/>
      </w:pPr>
      <w:r>
        <w:rPr/>
        <w:t>​</w:t>
      </w:r>
    </w:p>
    <w:tbl>
      <w:tblPr>
        <w:tblW w:w="5412" w:type="dxa"/>
        <w:jc w:val="left"/>
        <w:tblInd w:w="0" w:type="dxa"/>
        <w:tblLayout w:type="fixed"/>
        <w:tblCellMar>
          <w:top w:w="0" w:type="dxa"/>
          <w:left w:w="0" w:type="dxa"/>
          <w:bottom w:w="0" w:type="dxa"/>
          <w:right w:w="0" w:type="dxa"/>
        </w:tblCellMar>
      </w:tblPr>
      <w:tblGrid>
        <w:gridCol w:w="161"/>
        <w:gridCol w:w="5251"/>
      </w:tblGrid>
      <w:tr>
        <w:trPr/>
        <w:tc>
          <w:tcPr>
            <w:tcW w:w="161" w:type="dxa"/>
            <w:tcBorders/>
            <w:vAlign w:val="center"/>
          </w:tcPr>
          <w:p>
            <w:pPr>
              <w:pStyle w:val="TableContents"/>
              <w:bidi w:val="0"/>
              <w:spacing w:before="0" w:after="0"/>
              <w:ind w:left="0" w:right="0" w:hanging="0"/>
              <w:jc w:val="left"/>
              <w:rPr/>
            </w:pPr>
            <w:r>
              <w:rPr/>
              <w:t>​</w:t>
            </w:r>
          </w:p>
        </w:tc>
        <w:tc>
          <w:tcPr>
            <w:tcW w:w="5251" w:type="dxa"/>
            <w:tcBorders/>
            <w:vAlign w:val="center"/>
          </w:tcPr>
          <w:p>
            <w:pPr>
              <w:pStyle w:val="TableContents"/>
              <w:bidi w:val="0"/>
              <w:spacing w:before="0" w:after="0"/>
              <w:ind w:left="0" w:right="0" w:hanging="0"/>
              <w:jc w:val="left"/>
              <w:rPr/>
            </w:pPr>
            <w:r>
              <w:rPr/>
              <w:t>​</w:t>
            </w:r>
          </w:p>
        </w:tc>
      </w:tr>
      <w:tr>
        <w:trPr/>
        <w:tc>
          <w:tcPr>
            <w:tcW w:w="161" w:type="dxa"/>
            <w:tcBorders/>
            <w:vAlign w:val="center"/>
          </w:tcPr>
          <w:p>
            <w:pPr>
              <w:pStyle w:val="TableContents"/>
              <w:bidi w:val="0"/>
              <w:spacing w:before="0" w:after="0"/>
              <w:ind w:left="0" w:right="0" w:hanging="0"/>
              <w:jc w:val="left"/>
              <w:rPr/>
            </w:pPr>
            <w:r>
              <w:rPr/>
              <w:t>​</w:t>
            </w:r>
          </w:p>
        </w:tc>
        <w:tc>
          <w:tcPr>
            <w:tcW w:w="525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/s/ Erik Staffeldt</w:t>
            </w:r>
          </w:p>
        </w:tc>
      </w:tr>
      <w:tr>
        <w:trPr/>
        <w:tc>
          <w:tcPr>
            <w:tcW w:w="161" w:type="dxa"/>
            <w:tcBorders/>
            <w:vAlign w:val="center"/>
          </w:tcPr>
          <w:p>
            <w:pPr>
              <w:pStyle w:val="TableContents"/>
              <w:bidi w:val="0"/>
              <w:spacing w:before="0" w:after="0"/>
              <w:ind w:left="0" w:right="0" w:hanging="0"/>
              <w:jc w:val="left"/>
              <w:rPr/>
            </w:pPr>
            <w:r>
              <w:rPr/>
              <w:t>​</w:t>
            </w:r>
          </w:p>
        </w:tc>
        <w:tc>
          <w:tcPr>
            <w:tcW w:w="5251"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Erik Staffeldt</w:t>
            </w:r>
          </w:p>
        </w:tc>
      </w:tr>
      <w:tr>
        <w:trPr/>
        <w:tc>
          <w:tcPr>
            <w:tcW w:w="161" w:type="dxa"/>
            <w:tcBorders/>
            <w:vAlign w:val="center"/>
          </w:tcPr>
          <w:p>
            <w:pPr>
              <w:pStyle w:val="TableContents"/>
              <w:bidi w:val="0"/>
              <w:spacing w:before="0" w:after="0"/>
              <w:ind w:left="0" w:right="0" w:hanging="0"/>
              <w:jc w:val="left"/>
              <w:rPr/>
            </w:pPr>
            <w:r>
              <w:rPr/>
              <w:t> </w:t>
            </w:r>
          </w:p>
        </w:tc>
        <w:tc>
          <w:tcPr>
            <w:tcW w:w="5251" w:type="dxa"/>
            <w:tcBorders/>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Executive Vice President and 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0000866829/000095012906002103/h33539exv3w1.htm" TargetMode="External"/><Relationship Id="rId4" Type="http://schemas.openxmlformats.org/officeDocument/2006/relationships/hyperlink" Target="https://www.sec.gov/Archives/edgar/data/866829/000095012906008744/h39963exv3w1.htm" TargetMode="External"/><Relationship Id="rId5" Type="http://schemas.openxmlformats.org/officeDocument/2006/relationships/hyperlink" Target="https://www.sec.gov/ix?doc=/Archives/edgar/data/866829/000114036124017449/ny20020867x1_def14a.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20918</Words>
  <Characters>114817</Characters>
  <CharactersWithSpaces>137838</CharactersWithSpaces>
  <Paragraphs>7250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