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w:t>
      </w:r>
      <w:r>
        <w:rPr>
          <w:rFonts w:ascii="Times New Roman" w:cs="Times New Roman" w:eastAsia="Times New Roman" w:hAnsi="Times New Roman"/>
          <w:sz w:val="18"/>
          <w:szCs w:val="18"/>
          <w:color w:val="auto"/>
        </w:rPr>
        <w:t>(Date of earliest event reported):</w:t>
      </w:r>
      <w:r>
        <w:rPr>
          <w:rFonts w:ascii="Times New Roman" w:cs="Times New Roman" w:eastAsia="Times New Roman" w:hAnsi="Times New Roman"/>
          <w:sz w:val="18"/>
          <w:szCs w:val="18"/>
          <w:b w:val="1"/>
          <w:bCs w:val="1"/>
          <w:color w:val="auto"/>
        </w:rPr>
        <w:t xml:space="preserve"> December 6, 2023 </w:t>
      </w:r>
      <w:r>
        <w:rPr>
          <w:rFonts w:ascii="Times New Roman" w:cs="Times New Roman" w:eastAsia="Times New Roman" w:hAnsi="Times New Roman"/>
          <w:sz w:val="18"/>
          <w:szCs w:val="18"/>
          <w:color w:val="auto"/>
        </w:rPr>
        <w:t>(December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156845</wp:posOffset>
            </wp:positionV>
            <wp:extent cx="159448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HELIX ENERGY SOLUTIONS GROUP,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001-32936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95-3409686</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3505 West Sam Houston Parkway North</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77043</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281-618-0400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680"/>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w:t>
      </w:r>
    </w:p>
    <w:p>
      <w:pPr>
        <w:spacing w:after="0" w:line="19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25" w:lineRule="exact"/>
        <w:rPr>
          <w:rFonts w:ascii="MS PGothic" w:cs="MS PGothic" w:eastAsia="MS PGothic" w:hAnsi="MS PGothic"/>
          <w:sz w:val="18"/>
          <w:szCs w:val="18"/>
          <w:color w:val="auto"/>
        </w:rPr>
      </w:pPr>
    </w:p>
    <w:p>
      <w:pPr>
        <w:ind w:left="340" w:hanging="332"/>
        <w:spacing w:after="0" w:line="207" w:lineRule="exact"/>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25" w:lineRule="exact"/>
        <w:rPr>
          <w:rFonts w:ascii="MS PGothic" w:cs="MS PGothic" w:eastAsia="MS PGothic" w:hAnsi="MS PGothic"/>
          <w:sz w:val="18"/>
          <w:szCs w:val="18"/>
          <w:color w:val="auto"/>
        </w:rPr>
      </w:pPr>
    </w:p>
    <w:p>
      <w:pPr>
        <w:ind w:right="2860" w:firstLine="8"/>
        <w:spacing w:after="0" w:line="353"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Securities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40" w:type="dxa"/>
            <w:vAlign w:val="bottom"/>
          </w:tcPr>
          <w:p>
            <w:pPr>
              <w:spacing w:after="0"/>
              <w:rPr>
                <w:sz w:val="20"/>
                <w:szCs w:val="20"/>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HLX</w:t>
            </w:r>
          </w:p>
        </w:tc>
        <w:tc>
          <w:tcPr>
            <w:tcW w:w="24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Transactions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5, 2023, Helix Energy Solutions Group, Inc. (the “Company”) entered into various privately negotiated purchase agreements (the “Purchase Agreements”) with certain holders of its outstanding 6.75% Convertible Senior Notes due 2026 (the “2026 Notes”) pursuant to which the Company will repurchase approximately $141 million aggregate principal amount of the 2026 Notes (the “Repurchases”), which will be cancelled, a portion of which will be exchanged solely for $67 million of fixed cash consideration, plus accrued and unpaid interest, and a portion of which will be exchanged for a combination of an aggregate of 1.5 million shares of the Company’s common stock (the “Exchange Shares”) and an amount of cash to be determined by utilizing a formula based in part on the daily volume-weighted average prices per share of the Company’s common stock during the applicable pricing period (such amount of cash, plus the fixed cash consideration, the “Cash Consideration”). Although the aggregate amount of Cash Consideration paid will ultimately be determined based on the foregoing formula, for illustrative purposes only, if the daily volume-weighted average price per share of the Company’s common stock during such period were equal to $9.00 per share (the closing stock price on December 5, 2023), the aggregate amount of Cash Consideration payable at settlement pursuant to the Purchase Agreements (in addition to the Exchange Shares) would be approximately $192 million, plus accrued and unpaid interest. The Company will issue the Exchange Shares in reliance on the exemption from the registration requirements provided by Section 4(a)(2) of the Securities Act of 1933, as amended (the “Securities Act”).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currently expects the settlement of each of the Repurchases to occur on or before December 27, 2023, in each case subject to the satisfaction of certain closing conditions. Following the settlement of the Repurchases, the Company currently expects approximately $59 million in aggregate principal amount of the 2026 Notes will remain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Exchange Shares have not been and will not be registered under the Securities Act or the securities laws of any other jurisdiction, and such securities may not be offered or sold in the United States absent registration or an applicable exemption from registration requirements.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Agreements does not purport to be complete and is qualified in its entirety by reference to the form of Purchase Agreements, which are filed as Exhibit 10.1 and Exhibit 10.2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Unwind Transactions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Repurchases, the Company entered into agreements with certain financial institutions (the “Existing Option Counterparties”) to terminate a portion of the capped call transactions entered into in connection with the issuance of the 2026 Notes in a notional amount corresponding to the number of shares of the Company’s common stock underlying the 2026 Notes repurchased (the “Terminations”). In connection with the Terminations and the related unwinding of the existing hedge position of the Existing Option Counterparties with respect to such transactions, such Existing Option Counterparties and/or their respective affiliates may sell shares of the Company’s common stock in secondary market transactions, and/or unwind various derivative transactions with respect to the common stock.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a solicitation of an offer to buy, any security and will not constitute an offer, solicitation, or sale in any jurisdiction in which such offering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risks, uncertainties and assumptions that could cause our results to differ materially from those expressed or implied by such forward-looking statements. All statements, other than statements of historical fact, are “forward-looking statements” within the meaning of the Private Securities Litigation Reform Act of 1995, including, without limitation, any statements regarding the Repurchases and the Terminations, including their timing, the completion or consummation thereof, the ultimate amounts paid, issued, received or remaining outstanding, and the use of any net proceeds therefrom; and any statements of assumptions underlying any of the foregoing. The forward-looking statements are subject to a number of known and unknown risks, uncertainties and other factors that could cause results to differ materially from those in the forward-looking statements, including but not limited to the potential effects of the transactions described in this Current Report on Form 8-K; actions by governments, customers, suppliers and partners with respect thereto; market conditions; results from acquired properties; demand for our services; the performance of contracts by suppliers, customers and partners; actions by governmental and regulatory authorities; operating hazards and delays, which includes delays in delivery, chartering or customer acceptance of assets or terms of their acceptance; our ultimate ability to realize current backlog; employee management issues; complexities of global political and economic developments; geologic risks; volatility of oil and gas prices and other risks described from time to time in our reports filed with the Securities and Exchange Commission (the “SEC”), including Helix’s most recently filed Annual Report on Form 10-K and in Helix’s other filings with the SEC, which are available free of charge on the SEC’s website at www.sec.gov. We assume no obligation and do not intend to update these forward-looking statements, which speak only as of their respective dates, except as required by the securities 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tcPr>
          <w:p>
            <w:pPr>
              <w:spacing w:after="0"/>
              <w:rPr>
                <w:sz w:val="18"/>
                <w:szCs w:val="18"/>
                <w:color w:val="auto"/>
              </w:rPr>
            </w:pPr>
          </w:p>
        </w:tc>
      </w:tr>
      <w:tr>
        <w:trPr>
          <w:trHeight w:val="241"/>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32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Form of Purchase Agreement</w:t>
            </w: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Exchange Agreement</w:t>
            </w: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HELIX ENERGY SOLUTIONS GROUP, INC.</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Erik Staffeldt</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entity listed under “UNDERSIGNED” on the signature page hereto (the “</w:t>
      </w:r>
      <w:r>
        <w:rPr>
          <w:rFonts w:ascii="Times New Roman" w:cs="Times New Roman" w:eastAsia="Times New Roman" w:hAnsi="Times New Roman"/>
          <w:sz w:val="18"/>
          <w:szCs w:val="18"/>
          <w:b w:val="1"/>
          <w:bCs w:val="1"/>
          <w:color w:val="auto"/>
        </w:rPr>
        <w:t>Undersigned</w:t>
      </w:r>
      <w:r>
        <w:rPr>
          <w:rFonts w:ascii="Times New Roman" w:cs="Times New Roman" w:eastAsia="Times New Roman" w:hAnsi="Times New Roman"/>
          <w:sz w:val="18"/>
          <w:szCs w:val="18"/>
          <w:color w:val="auto"/>
        </w:rPr>
        <w:t xml:space="preserve">”), for itself and on behalf of the beneficial owners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for whom the Undersigned holds contractual and investment authority (each Account, as well as the Undersigned if it is selling Notes (as defined below) hereunder,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enters into this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Helix Energy Solutions Group, Inc., a Minnesota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December [●], 2023 whereby the Company will purchase from each Holder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the aggregate principal amount of the Company’s existing 6.75% Convertible Senior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xml:space="preserve">”) for the cash payment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and subject to the terms and conditions set forth in this Agreement, the parties hereto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r>
        <w:rPr>
          <w:rFonts w:ascii="Times New Roman" w:cs="Times New Roman" w:eastAsia="Times New Roman" w:hAnsi="Times New Roman"/>
          <w:sz w:val="18"/>
          <w:szCs w:val="18"/>
          <w:b w:val="1"/>
          <w:bCs w:val="1"/>
          <w:color w:val="auto"/>
        </w:rPr>
        <w:t>: Purchase of the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the terms and subject to the conditions set forth in this Agreement, at the Closing (as defined herein), the Undersigned hereby agrees to cause each Holder to sell and deliver to the Company the aggregate principal amount of Notes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Purchased Notes</w:t>
      </w:r>
      <w:r>
        <w:rPr>
          <w:rFonts w:ascii="Times New Roman" w:cs="Times New Roman" w:eastAsia="Times New Roman" w:hAnsi="Times New Roman"/>
          <w:sz w:val="18"/>
          <w:szCs w:val="18"/>
          <w:color w:val="auto"/>
        </w:rPr>
        <w:t xml:space="preserve">”), and in exchange therefor the Company hereby agrees to pay to each Holder the cash amount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Cash</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closing of the Purchase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occur </w:t>
      </w:r>
      <w:r>
        <w:rPr>
          <w:rFonts w:ascii="Times New Roman" w:cs="Times New Roman" w:eastAsia="Times New Roman" w:hAnsi="Times New Roman"/>
          <w:sz w:val="18"/>
          <w:szCs w:val="18"/>
          <w:u w:val="single" w:color="auto"/>
          <w:color w:val="auto"/>
        </w:rPr>
        <w:t>on</w:t>
      </w:r>
      <w:r>
        <w:rPr>
          <w:rFonts w:ascii="Times New Roman" w:cs="Times New Roman" w:eastAsia="Times New Roman" w:hAnsi="Times New Roman"/>
          <w:sz w:val="18"/>
          <w:szCs w:val="18"/>
          <w:color w:val="auto"/>
        </w:rPr>
        <w:t xml:space="preserve"> December [●], 2023, or such later date as mutually agreed in writing by the parties hereto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At the Closing, (a) each Holder shall deliver or cause to be delivered to the Company all right, title and interest in and to its Purchased Notes (and no other consideration) free and clear of any mortgage, lien, pledge, charge, security interest, encumbrance, title retention agreement, option, equity or other adverse claim thereto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together with any documents of conveyance or transfer that the Company may deem necessary or desirable to transfer to and confirm in the Company all right, title and interest in and to the Purchased Notes free and clear of any Liens, and</w:t>
      </w:r>
    </w:p>
    <w:p>
      <w:pPr>
        <w:spacing w:after="0" w:line="3" w:lineRule="exact"/>
        <w:rPr>
          <w:sz w:val="20"/>
          <w:szCs w:val="20"/>
          <w:color w:val="auto"/>
        </w:rPr>
      </w:pPr>
    </w:p>
    <w:p>
      <w:pPr>
        <w:jc w:val="both"/>
        <w:ind w:firstLine="8"/>
        <w:spacing w:after="0" w:line="251"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deliver to each Holder the Purchase Cash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if there are no Accounts, the Company shall deliver to the Undersigned, as the sole Holder, such Purchase Cash). For the avoidance of doubt, in the event of any delay in the Closing, the Company will not be obligated to make any separate cash payment pursuant to this Agreement in respect of interest, if any, accrued and unpaid from and after the Closing Date for the Purchased Notes. Instead, such amounts will be deemed to be satisfied by the purchase by the Company of the Purchased Notes for the Purchase Cash. Delivery of the Purchased Notes shall be effected via one-sided Deposit/Withdrawal at Custodian (DWAC) pursuant to the instructions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(it being understood that posting such request on any date before the Closing Date will result in such request expiring unaccepted at the close of business on such date, and such Holder will need to repost such withdrawal request on the Closing Date). All questions as to the form of all documents and the validity and acceptance of the Purchased Notes will be determined by the Company, in its sole discretion, which determination shall be final and binding.</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 later than the business day after the date hereof, the Undersigned shall deliver in writing to the Company the requisite DTC Participant Information and wire instructions for each Holder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Undersigned, each Holder and the Company agree that no Holder shall deliver a Conversion Notice with respect to any Purchased Notes and each Holder shall hold the Purchased Notes until the Closing.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r>
        <w:rPr>
          <w:rFonts w:ascii="Times New Roman" w:cs="Times New Roman" w:eastAsia="Times New Roman" w:hAnsi="Times New Roman"/>
          <w:sz w:val="18"/>
          <w:szCs w:val="18"/>
          <w:b w:val="1"/>
          <w:bCs w:val="1"/>
          <w:color w:val="auto"/>
        </w:rPr>
        <w:t>: Covenants, Representations and Warranties of the Undersigned and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covenants as follows, and makes the following representations and warranties on its own behalf and where specified below, on behalf of each Holder, each of which is and shall be true and correct on the date hereof and at the Closing, to the Company and J. Wood Capital Advisors LLC (“</w:t>
      </w:r>
      <w:r>
        <w:rPr>
          <w:rFonts w:ascii="Times New Roman" w:cs="Times New Roman" w:eastAsia="Times New Roman" w:hAnsi="Times New Roman"/>
          <w:sz w:val="18"/>
          <w:szCs w:val="18"/>
          <w:b w:val="1"/>
          <w:bCs w:val="1"/>
          <w:color w:val="auto"/>
        </w:rPr>
        <w:t>JWCA</w:t>
      </w:r>
      <w:r>
        <w:rPr>
          <w:rFonts w:ascii="Times New Roman" w:cs="Times New Roman" w:eastAsia="Times New Roman" w:hAnsi="Times New Roman"/>
          <w:sz w:val="18"/>
          <w:szCs w:val="18"/>
          <w:color w:val="auto"/>
        </w:rPr>
        <w:t>”), and all such covenants, representations and warranties shall survive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Power and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Undersigned and each Holder is duly organized, validly existing and in good 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laws of its jurisdiction of formation. The Undersigned has the power, authority and capacity to execute and deliver this Agreement. Each of the Undersigned, on behalf of itself and each Holder, and each Holder has the power, authority and capacity to perform its obligations hereunder, and to consummate the Purchase contemplated hereby. If the Undersigned is executing this Agreement on behalf of Accounts, (a) the Undersigned has all requisite discretionary and contractual authority to enter into this Agreement on behalf of, and bind, each Account, and (b)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 a true, correct and complete list of (i) the name of each Account, and (ii) the principal amount of such Account’s Notes. No consent, approval, authorization, order, registration or qualification of or with any court or arbitrator or governmental or regulatory authority is required for the execution, delivery and performance by the Undersigned, on behalf of itself and each Holder, or the Holders of this Agreement and the consummation of the Purchase contemplated hereby.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Valid and Enforceable Agreement; No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executed and delivered by the Undersigned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valid and legally binding obligation of the Undersigned and each Holder, enforceable against the Undersigned and each Holder in accordance with its terms, except that such enforcement may be subject to (a) bankruptcy, insolvency, fraudulent transfer, reorganization, moratorium or other similar laws affecting or relating to enforcement of creditors’ rights generally, and (b) general principles of equity, whether such enforceability is considered in a proceeding at law or in equity (the exceptions escribed in clauses (a) and (b),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This Agreement and consummation of the Purchase will not violate, conflict with or result in a breach of or default under (i) the Undersigned’s or the applicable Holder’s organizational documents (or any similar documents governing each Account), (ii) any agreement or instrument to which the Undersigned or the applicable Holder is a party or by which the Undersigned or the applicable Holder or any of their respective assets are bound, or (iii) any laws, regulations or governmental or judicial decrees, injunctions or orders applicable to the Undersigned or the applicable Holder, except in the case of clause (iii), where such violations, conflicts, breaches or defaults would not affect the Undersigned’s or the applicable Holder’s ability to consummate the transactions contemplated hereby.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Title to the Purchased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Holder is the sole legal and beneficial owner of the Purchased Notes set forth opposite its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if there are no Accounts, the Undersigned is the sole legal and beneficial owner of all of the Purchased Notes). Each Holder has good, valid and marketable title to its Purchased Notes, free and clear of any Liens (other than pledges or security interests that the Holder may have created in favor of a prime broker under and in accordance with its prime brokerage agreement with such broker, which will be terminated prior to Closing). Each Holder has not, in whole or in part, except as described in the preceding sentence, (a) assigned, transferred, hypothecated, pledged, exchanged, submitted for conversion pursuant to the respective Indenture or otherwise disposed of any of its rights, title or interest in or to its Purchased Notes, or (b) given any person or entity (other than the Undersigned) any transfer order, power of attorney or other authority of any nature whatsoever with respect to its Purchased Notes. Upon each Holder’s delivery of its Purchased Notes to the Company pursuant to the Purchase, the Company will acquire good, marketable and unencumbered title to such Purchased Notes, free and clear of all Liens.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Adequate Information; No Reliance; No Pressure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and each Holder acknowledges and agrees that (a)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furnished with all materials it considers relevant to making its decision to enter into the Purchase and has had the opportunity to review (and has carefully reviewed) (i) the Company’s filings and submissions with the Securities and Exchange Commission, including, without limitation, all information filed or furnished pursuant to the Securities Exchange Act of 1934, as amended (collectively, the “</w:t>
      </w:r>
      <w:r>
        <w:rPr>
          <w:rFonts w:ascii="Times New Roman" w:cs="Times New Roman" w:eastAsia="Times New Roman" w:hAnsi="Times New Roman"/>
          <w:sz w:val="18"/>
          <w:szCs w:val="18"/>
          <w:b w:val="1"/>
          <w:bCs w:val="1"/>
          <w:color w:val="auto"/>
        </w:rPr>
        <w:t>Public Filings</w:t>
      </w:r>
      <w:r>
        <w:rPr>
          <w:rFonts w:ascii="Times New Roman" w:cs="Times New Roman" w:eastAsia="Times New Roman" w:hAnsi="Times New Roman"/>
          <w:sz w:val="18"/>
          <w:szCs w:val="18"/>
          <w:color w:val="auto"/>
        </w:rPr>
        <w:t>”) and (ii) this Agreement (including the exhibits thereto) (collectively, the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(b) it has had a full opportunity to ask questions of the Company concerning the Company, its business, operations, financial performance, financial condition and prospects, and the terms and conditions of the Purchase, and to obtain from the Company any information that it considers necessary in making an informed decision with respect to the Purchase and to verify the accuracy of the information set forth in the Public Filings and the other Materials, (c) it has had the opportunity to consult with its accounting, tax, financial and legal advisors to be able to evaluate the risks involved in the Purchase and to make an informed decision with respect to the Purchase, (d) it is experienced, sophisticated and knowledgeable in the trading of securities and is able to fend for itself in the Purchase, (e) it is not relying, and has not relied, upon any statement, advice (whether accounting, tax, financial, legal or other), representation or warranty made by the Company or any of its affiliates or representatives or any other entity or person, including JWCA, except for the representations and warranties made by the Company in this Agreement, (f) it had a sufficient amount of time to consider whether to participate in the Purchase and that neither the Company nor JWCA has placed any pressure on it to respond to the opportunity to participate in the Purchase and (g) the terms of the Purchase are the result of bilateral negotiations between the parties, and the Undersigned and each of the Holders was given a meaningful opportunity to negotiate the terms of the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No 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Undesigned and each Holder acknowledges and agrees that JWCA has not acted as a financial advisor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fiduciary to the Undesigned or Holders and that JWCA and its directors, officers, employees, representatives and controlling persons have no responsibility for making, and have not made, any independent investigation of the information contained herein or in the Company’s SEC filings and make no representation or warranty to the Undesigned and Holders, express or implied, with respect to the Company or the Purchased Notes or the accuracy, completeness or adequacy of the information provided to the Undesigned or Holders or any other publicly available information, nor shall any of the foregoing persons be liable for any loss or damages of any kind resulting from the use of the information contained therein or otherwise supplied to the Undesigned or Holders.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Undesigned and each Holder acknowledges and understands that as of the date of this Agreement and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Closing, the Company may be in possession of material non-public information not known to the Undesigned or Holders that may impact the value of the Purchased Notes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that the Company has not disclosed to the Undesigned and Holders. The Undesigned and each Holder represents, warrants and agrees that it has not relied upon the non-disclosure of any such Information for purposes of making its decision to participate in the Purchase. The Undesigned and each Holder understands, based on its experience, the disadvantage to which the Undesigned and Holders are subject due to the disparity of information between the Company, on the one hand, and the Undesigned and each Holder, on the other hand. Notwithstanding this, the Undesigned and each Holder has deemed it appropriate to participate in the Purchase. The Undersigned and each Holder agrees that neither the Company nor JWCA and their respective directors, officers, employees, agents, stockholders and affiliates shall have any liability to the Undesigned and Holders or their respective beneficiaries whatsoever due to or in connection with the Company’s use or non-disclosure of the Information, and the Undesigned and each Holder hereby irrevocably waives any claim that it might have based on the failure of the Company to disclose the Information.</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Withholding; Required Tax 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its agents shall be entitled to deduct and withhold from any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pursuant to this Agreement such amounts as may be required (as determined by the Company in good faith) to be deducted or withheld under applicable law. Without limiting the generality of the foregoing, in the event that any Holder:</w:t>
      </w:r>
    </w:p>
    <w:p>
      <w:pPr>
        <w:spacing w:after="0" w:line="171" w:lineRule="exact"/>
        <w:rPr>
          <w:sz w:val="20"/>
          <w:szCs w:val="20"/>
          <w:color w:val="auto"/>
        </w:rPr>
      </w:pPr>
    </w:p>
    <w:p>
      <w:pPr>
        <w:jc w:val="both"/>
        <w:ind w:right="20" w:firstLine="656"/>
        <w:spacing w:after="0" w:line="268" w:lineRule="auto"/>
        <w:tabs>
          <w:tab w:leader="none" w:pos="8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 (as defined in Section 7701(a)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such Holder shall deliver to the Company, at least two (2) business days prior to Closing, an accurately completed and duly executed IRS Form W-9 certifying that such Holder is exempt from backup withholding or</w:t>
      </w:r>
    </w:p>
    <w:p>
      <w:pPr>
        <w:spacing w:after="0" w:line="174"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“United States person” (as defined in Section 7701(a) of the Code), such Holder shall deliver to the Company, at least two (2) business days prior to Closing, either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a Holder that is the beneficial owner of the Notes, (A) a completed and duly executed IRS Form W-8BEN, IRS Form W-8ECI or W-8BEN-E, as applicable, attesting to such Holder’s foreign status and certain other information, including information establishing any exemption from withholding under Sections 1471 through 1474 of the Code (the “</w:t>
      </w:r>
      <w:r>
        <w:rPr>
          <w:rFonts w:ascii="Times New Roman" w:cs="Times New Roman" w:eastAsia="Times New Roman" w:hAnsi="Times New Roman"/>
          <w:sz w:val="18"/>
          <w:szCs w:val="18"/>
          <w:b w:val="1"/>
          <w:bCs w:val="1"/>
          <w:color w:val="auto"/>
        </w:rPr>
        <w:t>Foreign Attestations</w:t>
      </w:r>
      <w:r>
        <w:rPr>
          <w:rFonts w:ascii="Times New Roman" w:cs="Times New Roman" w:eastAsia="Times New Roman" w:hAnsi="Times New Roman"/>
          <w:sz w:val="18"/>
          <w:szCs w:val="18"/>
          <w:color w:val="auto"/>
        </w:rPr>
        <w:t xml:space="preserve">”) and (B) a Form of Tax Certificate, if applicable,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such a Holder that is not the beneficial owner of the Notes, (A) a completed and duly executed IRS Form W-8IMY accompanied by one of the following forms from each of its partners/members: (x) an IRS Form W-8BEN, IRS Form W-8ECI or IRS Form W-8BEN-E, as applicable, attesting to the Foreign Attestations or an IRS Form W-9, or (y) an IRS Form W-8IMY accompanied by an IRS Form W-8BEN, IRS Form W-8ECI or IRS Form W-8BEN-E, as applicable, attesting to the Foreign Attestations or an IRS Form W-9, and (z) a Form of Tax Certificate, if applicable,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any amounts are withheld and remitted to the appropriate taxing authority (including, for the avoidance of doubt, due to the failure of a Holder to comply with the obligations set forth in this Section 2.7), such amounts shall be treated for all purposes of this Agreement as having been paid to the applicable Holder to whom such amounts otherwise would have been paid. If the Company or its agents had a duty to withhold taxes or other amounts under applicable law in connection with any payment or delivery made to the applicable Holder under this Agreement due to the failure of such Holder to provide the properly completed tax forms under this Section 2.7, but the Company or its agent failed to withhold and such taxes or other amounts were assessed against and paid by the Company or its agent, then such Holder will indemnify and hold harmless the Company or its agent, as applicable, from and against such taxes or other amounts (including interest and penalties). Any forms, certificates and other documents required to be delivered to the Company pursuant to this Section 2.7 shall be delivered via electronic mail to each of the individuals named below at the address indicated next to such individual’s name at least two (2) business days prior to Closing:</w:t>
      </w:r>
    </w:p>
    <w:p>
      <w:pPr>
        <w:spacing w:after="0" w:line="188"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Helix Energy Solutions Group, Inc.</w:t>
      </w:r>
    </w:p>
    <w:p>
      <w:pPr>
        <w:spacing w:after="0" w:line="225" w:lineRule="exact"/>
        <w:rPr>
          <w:sz w:val="20"/>
          <w:szCs w:val="20"/>
          <w:color w:val="auto"/>
        </w:rPr>
      </w:pPr>
    </w:p>
    <w:p>
      <w:pPr>
        <w:ind w:left="1960" w:hanging="332"/>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Erik Staffeldt, Executive Vice President and Chief Financial Officer: </w:t>
      </w:r>
      <w:r>
        <w:rPr>
          <w:rFonts w:ascii="Times New Roman" w:cs="Times New Roman" w:eastAsia="Times New Roman" w:hAnsi="Times New Roman"/>
          <w:sz w:val="18"/>
          <w:szCs w:val="18"/>
          <w:u w:val="single" w:color="auto"/>
          <w:color w:val="auto"/>
        </w:rPr>
        <w:t>estaffeldt@helixesg.com;</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Ken Neikirk, Executive Vice President, General Counsel &amp; Corporate Secretary: </w:t>
      </w:r>
      <w:r>
        <w:rPr>
          <w:rFonts w:ascii="Times New Roman" w:cs="Times New Roman" w:eastAsia="Times New Roman" w:hAnsi="Times New Roman"/>
          <w:sz w:val="18"/>
          <w:szCs w:val="18"/>
          <w:u w:val="single" w:color="auto"/>
          <w:color w:val="auto"/>
        </w:rPr>
        <w:t>kneikirk@helixesg.com;</w:t>
      </w:r>
      <w:r>
        <w:rPr>
          <w:rFonts w:ascii="Times New Roman" w:cs="Times New Roman" w:eastAsia="Times New Roman" w:hAnsi="Times New Roman"/>
          <w:sz w:val="18"/>
          <w:szCs w:val="18"/>
          <w:color w:val="auto"/>
        </w:rPr>
        <w:t xml:space="preserve"> and</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Brent Arriaga, Chief Accounting Officer and Corporate Controller: </w:t>
      </w:r>
      <w:r>
        <w:rPr>
          <w:rFonts w:ascii="Times New Roman" w:cs="Times New Roman" w:eastAsia="Times New Roman" w:hAnsi="Times New Roman"/>
          <w:sz w:val="18"/>
          <w:szCs w:val="18"/>
          <w:u w:val="single" w:color="auto"/>
          <w:color w:val="auto"/>
        </w:rPr>
        <w:t>barriaga@helixesg.com.</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 Baker Botts L.L.P.</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Travis Wofford: travis.</w:t>
      </w:r>
      <w:r>
        <w:rPr>
          <w:rFonts w:ascii="Times New Roman" w:cs="Times New Roman" w:eastAsia="Times New Roman" w:hAnsi="Times New Roman"/>
          <w:sz w:val="18"/>
          <w:szCs w:val="18"/>
          <w:u w:val="single" w:color="auto"/>
          <w:color w:val="auto"/>
        </w:rPr>
        <w:t>wofford@bakerbotts.com.</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Full Satisfaction of Obligations under 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Undersigned and Holders acknowledges that upon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Cash to such Holder, the obligations of the Company to such Holder under the Purchased Notes will have been satisfied in full.</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Further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agrees that the Undersigned shall and shall cause each Holder to promptly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agreements and instruments and take such further actions, as the Company may reasonably request in order to carry out the purposes and intent of this Agreement.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Advisory Fee; No Other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acknowledges the Company intends to pay an advisory fee to JWCA.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investment banker, finder or other person has been retained by or authorized to act on behalf of the Undersigned or any Holder in connection with the transactions contemplated hereby, and no commission or other remuneration has been paid or given directly or indirectly by or on behalf of the Investor in connection therewith.</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Status.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and each Holder is an institutional “accredited investor” as defined in Rule 501(a)(1), (2), (3) or (7)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and a “qualified institutional buyer” as defined in Rule 144A under the Securities Act. The Undersigned agrees to furnish any additional information regarding the Undersigned or any Holder reasonably requested by the Company or any of its affiliates to assure compliance with applicable U.S. federal and state securities laws in connection with the Purchase.</w:t>
      </w:r>
    </w:p>
    <w:p>
      <w:pPr>
        <w:spacing w:after="0" w:line="17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No Illegal Transactions</w:t>
      </w:r>
      <w:r>
        <w:rPr>
          <w:rFonts w:ascii="Times New Roman" w:cs="Times New Roman" w:eastAsia="Times New Roman" w:hAnsi="Times New Roman"/>
          <w:sz w:val="18"/>
          <w:szCs w:val="18"/>
          <w:color w:val="auto"/>
        </w:rPr>
        <w:t>. The Undersigned and each Holder acknowledges and agrees that it has not disclosed, and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to any third party any information regarding the Company or the Purchase, and that it has not transacted, and will not transact, in any securities of the Company, including, but not limited to, any hedging transactions, from the time the Holder was first contacted by the Company or JWCA with respect to the Transactions until after the confidential information (as described in the confirmatory email received by the Holder from JWCA (the “</w:t>
      </w:r>
      <w:r>
        <w:rPr>
          <w:rFonts w:ascii="Times New Roman" w:cs="Times New Roman" w:eastAsia="Times New Roman" w:hAnsi="Times New Roman"/>
          <w:sz w:val="18"/>
          <w:szCs w:val="18"/>
          <w:b w:val="1"/>
          <w:bCs w:val="1"/>
          <w:u w:val="single" w:color="auto"/>
          <w:color w:val="auto"/>
        </w:rPr>
        <w:t>Wall Cross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Email</w:t>
      </w:r>
      <w:r>
        <w:rPr>
          <w:rFonts w:ascii="Times New Roman" w:cs="Times New Roman" w:eastAsia="Times New Roman" w:hAnsi="Times New Roman"/>
          <w:sz w:val="18"/>
          <w:szCs w:val="18"/>
          <w:color w:val="auto"/>
        </w:rPr>
        <w:t>”)) is made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r>
        <w:rPr>
          <w:rFonts w:ascii="Times New Roman" w:cs="Times New Roman" w:eastAsia="Times New Roman" w:hAnsi="Times New Roman"/>
          <w:sz w:val="18"/>
          <w:szCs w:val="18"/>
          <w:b w:val="1"/>
          <w:bCs w:val="1"/>
          <w:color w:val="auto"/>
        </w:rPr>
        <w:t>: Representations, Warranties and Covenants of the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hereby makes the following representations and warranties, each of which is and shall be true and correct on the date hereof and at the Closing (except those representations and warranties that address matters only as of a particular date, which shall be true and correct as of such date), and all such representations and warranties shall survive the Closing.</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Power and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duly incorporated, validly existing and in good standing under the laws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and has the power, authority and capacity to execute and deliver this Agreement, to perform its obligations hereunder, and to consummate the Purchase contemplated hereby. No material consent, approval, order or authorization of, or material registration or declaration with, any governmental entity is required on the part of the Company in connection with the execution, delivery and performance by it of this Agreement and the consummation by the Company of the transactions contemplated hereby, except as may be required under any state or federal securities laws or that may be obtained after the Closing without penalty or such that would not, individually or in the aggregate, reasonably be expected to have a material adverse effect on the financial position or results of operations of the Company and its subsidiaries, taken as a whole.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Valid and Enforceable Agreements; No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has been duly executed and delivered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valid and legally binding obligation of the Company, enforceable against it in accordance with its terms, except that such enforcement may be subject to the Enforceability Exceptions. This Agreement and consummation of the Purchase will not violate, conflict with or result in a breach of or default under (a) the certificate of incorporation, by-laws or other organizational documents of the Company, (b) any agreement or instrument to which the Company is a party or by which the Company or any of its assets are bound, or (c) assuming the truth and accuracy of the representations and warranties and compliance with the covenants and agreements of the Undersigned and Holders herein, any laws, regulations or governmental or judicial decrees, injunctions or orders applicable to the Company, except in the case of clauses (b) or (c), where such violations, conflicts, breaches or defaults would not affect in any material respect the Company’s ability to consummate the transactions contemplated hereby.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or prior to 9:00 a.m., New York City time, on the first business day after the date hereof, the Company shall file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Commission a current report on Form 8-K announcing the Purchase, which current report the Company acknowledges and agrees will disclose all confidential information (as described in the Wall Cross Email) to the extent the Company believes such confidential information constitutes material non-public information, if any, with respect to the Purchase or otherwise communicated by the Company to the Investor in connection with the Purchase.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r>
        <w:rPr>
          <w:rFonts w:ascii="Times New Roman" w:cs="Times New Roman" w:eastAsia="Times New Roman" w:hAnsi="Times New Roman"/>
          <w:sz w:val="18"/>
          <w:szCs w:val="18"/>
          <w:b w:val="1"/>
          <w:bCs w:val="1"/>
          <w:color w:val="auto"/>
        </w:rPr>
        <w:t>: 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any documents and agreements executed in connection with the Purchase embody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and understanding of the parties hereto with respect to the subject matter hereof and supersede all prior and contemporaneous oral or written agreements, representations, warranties, contracts, correspondence, conversations, memoranda and understandings between or among the parties or any of their agents, representatives or affiliates relative to such subject matter, including, without limitation, any term sheets, emails or draft documents.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Assignment; Binding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inure to the benefit of and be binding upon the parties and their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No person shall assign this Agreement nor any rights, remedies, obligations or liabilities hereunder or by reason hereof or, in the case of the Holders, any of the Purchased Notes held by such Holders, without the prior written consent of the Company (in the case of assignment by the Undersigned or any Holder) or the applicable Holders (in the case of assignment by the Company). This Agreement may not be changed, amended, terminated, augmented, rescinded or discharged (other than in accordance with its terms), in whole or in part, except by a writing executed by the Company and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Governing Law;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its negotiation and any related disputes shall in all respects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in accordance with and governed by the substantive laws of the State of New York, without reference to its choice of law rules. EACH OF THE COMPANY AND THE UNDERSIGNED (ON BEHALF OF ITSELF AND THE HOLDERS) IRREVOCABLY WAIVE ANY AND ALL RIGHT TO TRIAL BY JURY WITH RESPECT TO ANY LEGAL PROCEEDING ARISING OUT OF THE TRANSACTIONS CONTEMPLATED BY THIS AGREEMENT.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hereto hereby submits to the exclusive jurisdiction of any New York State court or Federal court sitting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Borough of Manhattan in New York City in respect of any such suit, action, proceeding or counterclaim (whether based on contract, tort or otherwise) arising out of or relating to this Agreement (in each case,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agrees not to commence any such Action except in such courts, and irrevocably agrees that all claims in respect of any such Action and the transactions contemplated hereby or the actions of the parties in the negotiation, performance or enforcement hereof may be heard and determined in such court (and any appellate court thereof).</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counterparts, each of which shall be deemed an original, but all of which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Any counterpart or other signature hereon delivered by facsimile or any standard form of telecommunication or e-mail shall be deemed for all purposes as constituting good and valid execution and delivery of this Agreement by such party.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Third Party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also intended for the immediate benefit of JWCA. JWCA may rely on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including, but not limited to, the respective covenants, representations and warranties of the Undersigned, the Holders and the Company. The Undersigned, for itself and on behalf of each Holder, agrees that JWCA shall not have any liability (whether direct or indirect, in contract or tort or otherwise) to the Undersigned or any Holder for or in connection with the Repurchase, except for any such liability for losses, claims, damages or liabilities (or fees or expenses relating thereto) incurred by the Undersigned or any Holder that are finally judicially determined to have resulted from the bad faith or gross negligence of JWCA.</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term or provision of this Agreement (in whole or in part) is invalid, illegal or unenforceable in any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invalidity, illegality or unenforceability shall not affect any other term or provision of this Agreement or invalidate or render unenforceable such term or provision in any other jurisdiction.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representations and warranties of the Company or the Undersigned contained in this Agreement or made by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Holders pursuant to this Agreement shall survive the consummation of the transactions contemplated hereby.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in the singular shall include the plural, and vice versa, unless the context otherwise requires.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masculine shall include the feminine and neuter, and vice versa, unless the context otherwise requires. Headings in this Agreement are for convenience of reference only and shall not limit or otherwise affect the meanings of the provisions hereof. Neither party, nor its respective counsel, shall be deemed the drafter of this Agreement for purposes of construing the provisions of this Agreement, and all language in all parts of this Agreement shall be construed in accordance with its fair meaning, and not strictly for or against either party.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shall be binding upon and accrue to the benefit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Undersigned and their respective heirs, legal representatives, successors and assigns. This Agreement constitutes the entire agreement between the Company, the Undersigned and each Holder with respect to the subject matters hereof. This Agreement may be executed by one or more of the parties hereto in any number of separate counterparts (including by facsimile or other electronic means, including telecopy, email or otherwise), and all of said counterparts taken together shall be deemed to constitute one and the same instrument. Delivery of an executed signature page of this Agreement by facsimile or other transmission (e.g., “pdf” or “tif” format) shall be effective as delivery of a manually executed counterpart 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7"/>
          <w:szCs w:val="17"/>
          <w:color w:val="auto"/>
        </w:rPr>
        <w:t>IN WITNESS WHEREOF, each of the parties hereto has caused this Agreement to be executed as of the date first above written.</w:t>
      </w:r>
    </w:p>
    <w:p>
      <w:pPr>
        <w:spacing w:after="0" w:line="23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“UNDERSIGNED”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capacities described in the first paragraph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497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HELIX ENERGY SOLUTIONS GROUP, INC.</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3488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43"/>
        </w:trPr>
        <w:tc>
          <w:tcPr>
            <w:tcW w:w="5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spacing w:after="0"/>
              <w:rPr>
                <w:sz w:val="21"/>
                <w:szCs w:val="21"/>
                <w:color w:val="auto"/>
              </w:rPr>
            </w:pPr>
          </w:p>
        </w:tc>
      </w:tr>
      <w:tr>
        <w:trPr>
          <w:trHeight w:val="42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43"/>
        </w:trPr>
        <w:tc>
          <w:tcPr>
            <w:tcW w:w="5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spacing w:after="0"/>
              <w:rPr>
                <w:sz w:val="21"/>
                <w:szCs w:val="21"/>
                <w:color w:val="auto"/>
              </w:rPr>
            </w:pPr>
          </w:p>
        </w:tc>
      </w:tr>
      <w:tr>
        <w:trPr>
          <w:trHeight w:val="392"/>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Holder Name</w:t>
            </w:r>
          </w:p>
        </w:tc>
        <w:tc>
          <w:tcPr>
            <w:tcW w:w="1920" w:type="dxa"/>
            <w:vAlign w:val="bottom"/>
            <w:tcBorders>
              <w:top w:val="single" w:sz="8" w:color="auto"/>
              <w:right w:val="single" w:sz="8" w:color="auto"/>
            </w:tcBorders>
          </w:tcPr>
          <w:p>
            <w:pPr>
              <w:spacing w:after="0"/>
              <w:rPr>
                <w:sz w:val="16"/>
                <w:szCs w:val="16"/>
                <w:color w:val="auto"/>
              </w:rPr>
            </w:pPr>
          </w:p>
        </w:tc>
        <w:tc>
          <w:tcPr>
            <w:tcW w:w="322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Notes</w:t>
            </w:r>
          </w:p>
        </w:tc>
        <w:tc>
          <w:tcPr>
            <w:tcW w:w="98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gridSpan w:val="2"/>
          </w:tcPr>
          <w:p>
            <w:pPr>
              <w:jc w:val="center"/>
              <w:ind w:right="9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 Cash</w:t>
            </w:r>
          </w:p>
        </w:tc>
      </w:tr>
      <w:tr>
        <w:trPr>
          <w:trHeight w:val="20"/>
        </w:trPr>
        <w:tc>
          <w:tcPr>
            <w:tcW w:w="1920" w:type="dxa"/>
            <w:vAlign w:val="bottom"/>
            <w:tcBorders>
              <w:lef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216"/>
        </w:trPr>
        <w:tc>
          <w:tcPr>
            <w:tcW w:w="192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32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amount of Purchased Notes to be</w:t>
            </w:r>
          </w:p>
        </w:tc>
        <w:tc>
          <w:tcPr>
            <w:tcW w:w="31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amount of Purchase Cash to be paid in</w:t>
            </w:r>
          </w:p>
        </w:tc>
      </w:tr>
      <w:tr>
        <w:trPr>
          <w:trHeight w:val="236"/>
        </w:trPr>
        <w:tc>
          <w:tcPr>
            <w:tcW w:w="1920" w:type="dxa"/>
            <w:vAlign w:val="bottom"/>
            <w:tcBorders>
              <w:lef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32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sold for Purchase Cash</w:t>
            </w:r>
            <w:r>
              <w:rPr>
                <w:rFonts w:ascii="Times New Roman" w:cs="Times New Roman" w:eastAsia="Times New Roman" w:hAnsi="Times New Roman"/>
                <w:sz w:val="18"/>
                <w:szCs w:val="18"/>
                <w:color w:val="auto"/>
                <w:w w:val="99"/>
              </w:rPr>
              <w:t>)</w:t>
            </w:r>
          </w:p>
        </w:tc>
        <w:tc>
          <w:tcPr>
            <w:tcW w:w="31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8"/>
              </w:rPr>
              <w:t>exchange for Purchased Notes</w:t>
            </w:r>
            <w:r>
              <w:rPr>
                <w:rFonts w:ascii="Times New Roman" w:cs="Times New Roman" w:eastAsia="Times New Roman" w:hAnsi="Times New Roman"/>
                <w:sz w:val="18"/>
                <w:szCs w:val="18"/>
                <w:color w:val="auto"/>
                <w:w w:val="98"/>
              </w:rPr>
              <w:t>)</w:t>
            </w:r>
          </w:p>
        </w:tc>
      </w:tr>
      <w:tr>
        <w:trPr>
          <w:trHeight w:val="216"/>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10"/>
        </w:trPr>
        <w:tc>
          <w:tcPr>
            <w:tcW w:w="19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392"/>
        </w:trPr>
        <w:tc>
          <w:tcPr>
            <w:tcW w:w="1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Instructions and Purchase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30943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for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0" w:lineRule="exact"/>
        <w:rPr>
          <w:sz w:val="20"/>
          <w:szCs w:val="20"/>
          <w:color w:val="auto"/>
        </w:rPr>
      </w:pPr>
    </w:p>
    <w:p>
      <w:pPr>
        <w:spacing w:after="0"/>
        <w:tabs>
          <w:tab w:leader="none" w:pos="680" w:val="left"/>
          <w:tab w:leader="none" w:pos="1780" w:val="left"/>
        </w:tabs>
        <w:rPr>
          <w:sz w:val="20"/>
          <w:szCs w:val="20"/>
          <w:color w:val="auto"/>
        </w:rPr>
      </w:pPr>
      <w:r>
        <w:rPr>
          <w:rFonts w:ascii="Times New Roman" w:cs="Times New Roman" w:eastAsia="Times New Roman" w:hAnsi="Times New Roman"/>
          <w:sz w:val="18"/>
          <w:szCs w:val="18"/>
          <w:color w:val="auto"/>
        </w:rPr>
        <w:t>DTC</w:t>
      </w:r>
      <w:r>
        <w:rPr>
          <w:sz w:val="20"/>
          <w:szCs w:val="20"/>
          <w:color w:val="auto"/>
        </w:rPr>
        <w:tab/>
      </w: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31" w:lineRule="exact"/>
        <w:rPr>
          <w:sz w:val="20"/>
          <w:szCs w:val="20"/>
          <w:color w:val="auto"/>
        </w:rPr>
      </w:pPr>
    </w:p>
    <w:p>
      <w:pPr>
        <w:spacing w:after="0"/>
        <w:tabs>
          <w:tab w:leader="none" w:pos="620" w:val="left"/>
          <w:tab w:leader="none" w:pos="1680" w:val="left"/>
        </w:tabs>
        <w:rPr>
          <w:sz w:val="20"/>
          <w:szCs w:val="20"/>
          <w:color w:val="auto"/>
        </w:rPr>
      </w:pPr>
      <w:r>
        <w:rPr>
          <w:rFonts w:ascii="Times New Roman" w:cs="Times New Roman" w:eastAsia="Times New Roman" w:hAnsi="Times New Roman"/>
          <w:sz w:val="18"/>
          <w:szCs w:val="18"/>
          <w:color w:val="auto"/>
        </w:rPr>
        <w:t>DTC</w:t>
        <w:tab/>
        <w:t>Participant</w:t>
        <w:tab/>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17145</wp:posOffset>
            </wp:positionV>
            <wp:extent cx="2134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31750</wp:posOffset>
            </wp:positionV>
            <wp:extent cx="2134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Wire instructions for Cash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Routing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24942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31750</wp:posOffset>
            </wp:positionV>
            <wp:extent cx="24942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Purchase Procedures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HOLDER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Attached are Purchase Procedures for the purchase 6.75% Convertible Senior Notes due 2026, CUSIP 42330P AK3 (the </w:t>
      </w:r>
      <w:r>
        <w:rPr>
          <w:rFonts w:ascii="Times New Roman" w:cs="Times New Roman" w:eastAsia="Times New Roman" w:hAnsi="Times New Roman"/>
          <w:sz w:val="18"/>
          <w:szCs w:val="18"/>
          <w:b w:val="1"/>
          <w:bCs w:val="1"/>
          <w:color w:val="auto"/>
        </w:rPr>
        <w:t>“2026 Notes</w:t>
      </w:r>
      <w:r>
        <w:rPr>
          <w:rFonts w:ascii="Times New Roman" w:cs="Times New Roman" w:eastAsia="Times New Roman" w:hAnsi="Times New Roman"/>
          <w:sz w:val="18"/>
          <w:szCs w:val="18"/>
          <w:color w:val="auto"/>
        </w:rPr>
        <w:t>”) of Helix Energy Solutions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Purchase Cash (as defined in and pursuant to the Agreement between you and the Company), which is expected to occur on or about December [●], 2023. To ensure timely settlement, please follow the instructions as set forth below.</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These instructions supersede any prior instructions you received. Your failure to comply with the attached instructions may delay your receipt of the Purchase Cash.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Edward Collins of J. Wood Capital Advisors LLC at 408-691-8384.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deliver 2026 Notes: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You must post, </w:t>
      </w:r>
      <w:r>
        <w:rPr>
          <w:rFonts w:ascii="Times New Roman" w:cs="Times New Roman" w:eastAsia="Times New Roman" w:hAnsi="Times New Roman"/>
          <w:sz w:val="18"/>
          <w:szCs w:val="18"/>
          <w:b w:val="1"/>
          <w:bCs w:val="1"/>
          <w:color w:val="auto"/>
        </w:rPr>
        <w:t>no later than 9:00 a.m, New York City time</w:t>
      </w:r>
      <w:r>
        <w:rPr>
          <w:rFonts w:ascii="Times New Roman" w:cs="Times New Roman" w:eastAsia="Times New Roman" w:hAnsi="Times New Roman"/>
          <w:sz w:val="18"/>
          <w:szCs w:val="18"/>
          <w:color w:val="auto"/>
        </w:rPr>
        <w:t xml:space="preserve">, a withdrawal request for the 2026 Notes through the DTC via DWAC. </w:t>
      </w:r>
      <w:r>
        <w:rPr>
          <w:rFonts w:ascii="Times New Roman" w:cs="Times New Roman" w:eastAsia="Times New Roman" w:hAnsi="Times New Roman"/>
          <w:sz w:val="18"/>
          <w:szCs w:val="18"/>
          <w:b w:val="1"/>
          <w:bCs w:val="1"/>
          <w:color w:val="auto"/>
        </w:rPr>
        <w:t>It is important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instruction be submitted and the DWAC posted on December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2023</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receive Purchase Cash:</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must provide valid wire instructions to the Company and deliver the applicable principal amount of 2026 Notes provided in the Agreement. You will then receive the Purchase Cash from the Company on the Closing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Closing</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December [●], 2023, after the Company receives your delivery instructions as set forth above and a withdrawal request in respect of the 2026 Notes has been posted as specified above, and subject to the satisfaction of the conditions to Closing as set forth in the Agreement, the Company will deliver the applicable amount of Purchase Cash in respect of the 2026 Notes in accordance with the delivery instructions above and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Interest Tax Certificate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Reference is made to the Purchase Agreement, dated as of December [●], 2023, by and between [●], for itself and on behalf of the beneficial owners listed on Exhibit A thereto, and Helix Energy Solutions Group, Inc., a Minnesota corporation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Unless otherwise defined herein, terms defined in the Agreement and used herein shall have the meanings given to them in the Agreement. [●] (the “</w:t>
      </w:r>
      <w:r>
        <w:rPr>
          <w:rFonts w:ascii="Times New Roman" w:cs="Times New Roman" w:eastAsia="Times New Roman" w:hAnsi="Times New Roman"/>
          <w:sz w:val="18"/>
          <w:szCs w:val="18"/>
          <w:b w:val="1"/>
          <w:bCs w:val="1"/>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providing this certificate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The Non-U.S. Holder hereby represents and warrants that:</w:t>
      </w:r>
    </w:p>
    <w:p>
      <w:pPr>
        <w:spacing w:after="0" w:line="180" w:lineRule="exact"/>
        <w:rPr>
          <w:sz w:val="20"/>
          <w:szCs w:val="20"/>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“United States person” as defined in Section 7701(a)(30)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is the sole record and beneficial owner of the Exchanged Notes in respect of which it is providing this certificate and has furnished the Company with either (x) an IRS Form W-8BEN or W-8BEN-E or (y) an IRS Form W-8IMY accompanied by one of the following forms from each of its partners/members that is claiming the portfolio interest exemption: (i) an IRS Form W-8BEN or W-8BEN-E or (ii) an IRS Form W-8IMY accompanied by an IRS Form W-8BEN or IRS Form W-8BEN-E.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(a) is not a “bank” for purposes of Section 881(c)(3)(A) of the Code, (b) is not subject to regulatory or other legal requirements as a bank in any jurisdiction, and (c) has not been treated as a bank for purposes of any tax, securities law or other filing or submission made to any Governmental Authority, any application made to a rating agency or qualification for any exemption from tax, securities law or other legal requirements.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“10-percent shareholder” of the Company within the meaning of Section 881(c)(3)(B)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receiving interest from a related person within the meaning of Section 881(c)(3)(C) of the Code.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office address is the address set forth in the applicable IRS Form W-8 provided to the Company by the Non-U.S. 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shall promptly notify the Company in writing in accordance with the Agreement if any of the representations and warranties made herein are no longer true and correct.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the foregoing representations numbered 2, 3 and 4, if the Non-U.S. Holder provided the Company with an IRS Form W-8IMY, then references to the “Non-U.S. Holder” shall be deemed to also include the Non-U.S. Holder’s direct or indirect partners/members.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8"/>
          <w:szCs w:val="18"/>
          <w:color w:val="auto"/>
        </w:rPr>
        <w:t>IN WITNESS WHEREOF, the undersigned has duly executed this certificate.</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OF NON-U.S. HOLDER]</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-127635</wp:posOffset>
            </wp:positionV>
            <wp:extent cx="330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both"/>
        <w:ind w:left="4500"/>
        <w:spacing w:after="0"/>
        <w:tabs>
          <w:tab w:leader="none" w:pos="8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34290</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Helix Energy Solutions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Convertible Senior Notes due 2026</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entity listed under “UNDERSIGNED” on the signature page hereto (the “</w:t>
      </w:r>
      <w:r>
        <w:rPr>
          <w:rFonts w:ascii="Times New Roman" w:cs="Times New Roman" w:eastAsia="Times New Roman" w:hAnsi="Times New Roman"/>
          <w:sz w:val="18"/>
          <w:szCs w:val="18"/>
          <w:b w:val="1"/>
          <w:bCs w:val="1"/>
          <w:color w:val="auto"/>
        </w:rPr>
        <w:t>Undersigned</w:t>
      </w:r>
      <w:r>
        <w:rPr>
          <w:rFonts w:ascii="Times New Roman" w:cs="Times New Roman" w:eastAsia="Times New Roman" w:hAnsi="Times New Roman"/>
          <w:sz w:val="18"/>
          <w:szCs w:val="18"/>
          <w:color w:val="auto"/>
        </w:rPr>
        <w:t xml:space="preserve">”), for itself and on behalf of the beneficial owners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for whom the Undersigned holds contractual and investment authority (each, including the Undersigned if it is a party exchanging Notes (as defined below) hereunder, an “</w:t>
      </w:r>
      <w:r>
        <w:rPr>
          <w:rFonts w:ascii="Times New Roman" w:cs="Times New Roman" w:eastAsia="Times New Roman" w:hAnsi="Times New Roman"/>
          <w:sz w:val="18"/>
          <w:szCs w:val="18"/>
          <w:b w:val="1"/>
          <w:bCs w:val="1"/>
          <w:color w:val="auto"/>
        </w:rPr>
        <w:t>Exchanging Investor</w:t>
      </w:r>
      <w:r>
        <w:rPr>
          <w:rFonts w:ascii="Times New Roman" w:cs="Times New Roman" w:eastAsia="Times New Roman" w:hAnsi="Times New Roman"/>
          <w:sz w:val="18"/>
          <w:szCs w:val="18"/>
          <w:color w:val="auto"/>
        </w:rPr>
        <w:t>”), hereby agrees to exchange, with Helix Energy Solutions Group, Inc., a Minnesota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certain 6.75% Convertible Senior Notes due 2026, CUSIP 42330P AK3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for the Exchange Consideration (as defined below) pursuant to this exchange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Investor acknowledges and understands that the exchange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is being made without registration of the offer or sale of the Shares (as defined below)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securities laws of any state of the United States or of any other jurisdiction pursuant to a private placement exemption from registration under Section 4(a)(2) of the Securities Act and that each Exchanging Investor participating in the Exchange is required to be an institutional “accredited investor” within the meaning of Rule 501(a)(1), (2), (3) or (7) of Regulation D under the Securities Act that is also a “qualified institutional buyer” within the meaning of Rule 144A under the Securities Act. Capitalized terms used but not defined in this Exchange Agreement have the respective meanings set forth in the indenture, dated as of August 14, 2020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Company and the Bank of New York Mellon Trust Company,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with respect to the Notes, dated as of August 14, 2020, between the Company and the Trustee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 the Base Indenture as supplemented by the First Supplemental Indenture.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the basis of the representations, warranties and agreements herein contained and subject to the terms and conditions herein set forth, the Undersigned hereby agrees to exchange, and to cause each other Exchanging Investors, if any, to exchange, an aggregate principal amount of the Notes set forth opposite its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Exchanged Notes</w:t>
      </w:r>
      <w:r>
        <w:rPr>
          <w:rFonts w:ascii="Times New Roman" w:cs="Times New Roman" w:eastAsia="Times New Roman" w:hAnsi="Times New Roman"/>
          <w:sz w:val="18"/>
          <w:szCs w:val="18"/>
          <w:color w:val="auto"/>
        </w:rPr>
        <w:t>”) free and clear of any Liens (as defined below) (together with any documents of conveyance or transfer that the Company may deem necessary or desirable to transfer to and confirm in the Company all right, title and interest in and to the Exchanged Notes free and clear of any Liens) in exchange for:</w:t>
      </w:r>
    </w:p>
    <w:p>
      <w:pPr>
        <w:spacing w:after="0" w:line="179" w:lineRule="exact"/>
        <w:rPr>
          <w:sz w:val="20"/>
          <w:szCs w:val="20"/>
          <w:color w:val="auto"/>
        </w:rPr>
      </w:pPr>
    </w:p>
    <w:p>
      <w:pPr>
        <w:ind w:left="580" w:firstLine="647"/>
        <w:spacing w:after="0" w:line="286" w:lineRule="auto"/>
        <w:tabs>
          <w:tab w:leader="none" w:pos="20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of cash, rounded up to the nearest cent, determined pursuant to the formula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580" w:firstLine="647"/>
        <w:spacing w:after="0" w:line="286" w:lineRule="auto"/>
        <w:tabs>
          <w:tab w:leader="none" w:pos="1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the Company’s Common Stock, no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as set forth opposite its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Cash Consideration, the “</w:t>
      </w:r>
      <w:r>
        <w:rPr>
          <w:rFonts w:ascii="Times New Roman" w:cs="Times New Roman" w:eastAsia="Times New Roman" w:hAnsi="Times New Roman"/>
          <w:sz w:val="18"/>
          <w:szCs w:val="18"/>
          <w:b w:val="1"/>
          <w:bCs w:val="1"/>
          <w:color w:val="auto"/>
        </w:rPr>
        <w:t>Exchange Consideration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Each of the Company, the Undersigned and each Exchanging Investor agrees that no Exchanging Investor shall deliver a Conversion Notice with respect to any Exchanged Notes and each Exchanging Investor shall hold the Exchanged Notes until the Closing (as defined below). In consideration for the performance of its obligations hereunder (including as described in the immediately preceding sentence), the Company agrees to deliver the Exchange Consideration on the Closing Date to each Exchanging Investor in exchange for the applicable principal amount of Exchanged Notes as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Exchange shall occur in accordance with the procedures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Exchange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Company, the Undersigned and the Exchanging Investors acknowledge that the delivery of the Shares to any Exchanging Investor may be delayed due to procedures and mechanics within the system of Equiniti Trust Company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The Depositary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xml:space="preserve">”) (including the procedures and mechanics regarding the listing of the Shares on the NYSE) or other events beyond the Company’s control and that any such a delay shall not be a default under this Agreement so long as (i) the Company is using its commercially reasonable efforts to effect such delivery, or (ii) such delay arises due to a failure by an Exchanging Investor to deliver settlement instructions or other information reasonably requested by the Company, the Transfer Agent, DTC, the NYSE or any regulatory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delivery of Shares will be made until the Exchanged Notes have been properly submitted for exchange in accordance with the Exchange Procedures and no accrued interest will be payable by reason of any delay in making such delivery.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closing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via the exchange of documents and signatures at 10:00 a.m., New York City time, on the [●] Trading Day following the date hereof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or at such other time and place as the Company and the Undersigned may mutually agree in writing. All questions as to the form of all documents and the validity and acceptance of the Exchanged Notes and the Exchange Consideration will be determined by the Company, in its sole discretion, which determination shall be final and binding. Subject to the terms and conditions of this Agreement, the Undersigned hereby, for itself and on behalf of the Exchanging Investors, effective as of the Closing, (a) waives any and all other rights with respect to such Exchanged Notes other than the </w:t>
      </w:r>
      <w:r>
        <w:rPr>
          <w:rFonts w:ascii="Times New Roman" w:cs="Times New Roman" w:eastAsia="Times New Roman" w:hAnsi="Times New Roman"/>
          <w:sz w:val="18"/>
          <w:szCs w:val="18"/>
          <w:u w:val="single" w:color="auto"/>
          <w:color w:val="auto"/>
        </w:rPr>
        <w:t>right to receive the Exchange Consideration</w:t>
      </w:r>
      <w:r>
        <w:rPr>
          <w:rFonts w:ascii="Times New Roman" w:cs="Times New Roman" w:eastAsia="Times New Roman" w:hAnsi="Times New Roman"/>
          <w:sz w:val="18"/>
          <w:szCs w:val="18"/>
          <w:color w:val="auto"/>
        </w:rPr>
        <w:t xml:space="preserve"> and (b) releases and discharges the Company from any and all claims the undersigned and the Exchanging Investors may now have, or may have in the future, arising out of, or related to, such Exchanged Notes.</w:t>
      </w:r>
    </w:p>
    <w:p>
      <w:pPr>
        <w:spacing w:after="0" w:line="187" w:lineRule="exact"/>
        <w:rPr>
          <w:sz w:val="20"/>
          <w:szCs w:val="20"/>
          <w:color w:val="auto"/>
        </w:rPr>
      </w:pPr>
    </w:p>
    <w:p>
      <w:pPr>
        <w:ind w:firstLine="8"/>
        <w:spacing w:after="0" w:line="282" w:lineRule="auto"/>
        <w:tabs>
          <w:tab w:leader="none" w:pos="6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and Covenants of the Company</w:t>
      </w:r>
      <w:r>
        <w:rPr>
          <w:rFonts w:ascii="Times New Roman" w:cs="Times New Roman" w:eastAsia="Times New Roman" w:hAnsi="Times New Roman"/>
          <w:sz w:val="18"/>
          <w:szCs w:val="18"/>
          <w:color w:val="auto"/>
        </w:rPr>
        <w:t>. As of the date hereof and the Closing Date, the Company represents and warrants to, and covenants with, the Exchanging Investors, and all such covenants, representations and warranties shall survive the Closing, that:</w:t>
      </w:r>
    </w:p>
    <w:p>
      <w:pPr>
        <w:spacing w:after="0" w:line="161" w:lineRule="exact"/>
        <w:rPr>
          <w:rFonts w:ascii="Times New Roman" w:cs="Times New Roman" w:eastAsia="Times New Roman" w:hAnsi="Times New Roman"/>
          <w:sz w:val="18"/>
          <w:szCs w:val="18"/>
          <w:color w:val="auto"/>
        </w:rPr>
      </w:pPr>
    </w:p>
    <w:p>
      <w:pPr>
        <w:jc w:val="both"/>
        <w:ind w:left="580" w:firstLine="643"/>
        <w:spacing w:after="0" w:line="255" w:lineRule="auto"/>
        <w:tabs>
          <w:tab w:leader="none" w:pos="19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validly existing and in good standing under the laws of its jurisdiction of organization, and has the power, authority and capacity to execute and deliver this Agreement, to perform its obligations hereunder, and to consummate the Exchange contemplated hereby. No material consent, approval, order or authorization of, or material registration or declaration with, any governmental entity is required on the part of the Company in connection with the execution, delivery and performance by it of this Agreement and the consummation by the Company of the transactions contemplated hereby, except as may be required under any state or federal securities laws or that may be obtained after the Closing without penalty or such that would not, individually or in the aggregate, reasonably be expected to have a material adverse effect on the financial position or results of operations of the Company and its subsidiaries, taken as a whole.</w:t>
      </w:r>
    </w:p>
    <w:p>
      <w:pPr>
        <w:spacing w:after="0" w:line="188" w:lineRule="exact"/>
        <w:rPr>
          <w:rFonts w:ascii="Times New Roman" w:cs="Times New Roman" w:eastAsia="Times New Roman" w:hAnsi="Times New Roman"/>
          <w:sz w:val="18"/>
          <w:szCs w:val="18"/>
          <w:color w:val="auto"/>
        </w:rPr>
      </w:pPr>
    </w:p>
    <w:p>
      <w:pPr>
        <w:jc w:val="both"/>
        <w:ind w:left="580" w:firstLine="643"/>
        <w:spacing w:after="0" w:line="253" w:lineRule="auto"/>
        <w:tabs>
          <w:tab w:leader="none" w:pos="196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Company and constitutes a legal, valid and binding obligation of the Company, enforceable against the Company in accordance with its terms, except that such enforcement may be subject to (a) bankruptcy, insolvency, fraudulent transfer, reorganization, moratorium or other similar laws affecting or relating to enforcement of creditors’ rights generally and (b) general principles of equity, whether such enforceability is considered in a proceeding at law or in equity (the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Assuming the truth and accuracy of the representations and warranties and compliance with the covenants of the Investor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Exchanging Investors herein, this Agreement and consummation of the Exchange will not violate, conflict with or result in a breach of or default under (a) the certificate of incorporation, bylaws or other organizational documents of the Company, (b) any agreement or instrument to which the Company is a party or by which the Company or any of its assets are bound, or (c) any laws, regulations or governmental or judicial decrees, injunctions or orders applicable to the Company, except in the case of clauses (b) or (c), where such violations, conflicts, breaches or defaults would not affect the Company’s ability to consummate the transactions contemplated hereby.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left="580" w:firstLine="643"/>
        <w:spacing w:after="0" w:line="254" w:lineRule="auto"/>
        <w:tabs>
          <w:tab w:leader="none" w:pos="19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to the applicable Exchanging Investor pursuant to the Exchange in accordance with the terms of this Agreement, the Shares will (i) be validly issued, fully paid and non-assessable, (ii) be free and clear of any Liens (as defined in Section 3(c) below), option, equity or other adverse claim thereto, including claims or rights under any voting trust agreements, shareholder agreements or other agreements, and (iii) will not be subject to any preemptive, participation, rights of first refusal or other similar rights (other than any such rights that will be waived prior to the Closing). Assuming the truth and accuracy of the representations and warranties and compliance with the covenants of the Investor and each Exchanging Investor herein, the Shares (A) will be issued in the Exchange exempt from the registration requirements of the Securities Act pursuant to 4(a)(2) of the Securities Act, (B) will be issued in CUSIP No. 42330P107, and (C) will be free of any restrictive legend and any restrictions on resale on the Closing Date by such Exchanging Investor pursuant to Rule 144 promulgated under the Securities Act.</w:t>
      </w:r>
    </w:p>
    <w:p>
      <w:pPr>
        <w:spacing w:after="0" w:line="191" w:lineRule="exact"/>
        <w:rPr>
          <w:rFonts w:ascii="Times New Roman" w:cs="Times New Roman" w:eastAsia="Times New Roman" w:hAnsi="Times New Roman"/>
          <w:sz w:val="18"/>
          <w:szCs w:val="18"/>
          <w:color w:val="auto"/>
        </w:rPr>
      </w:pPr>
    </w:p>
    <w:p>
      <w:pPr>
        <w:ind w:left="1880" w:hanging="657"/>
        <w:spacing w:after="0"/>
        <w:tabs>
          <w:tab w:leader="none" w:pos="1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Shares shall have been approved for listing on the NYSE.</w:t>
      </w:r>
    </w:p>
    <w:p>
      <w:pPr>
        <w:spacing w:after="0" w:line="225" w:lineRule="exact"/>
        <w:rPr>
          <w:rFonts w:ascii="Times New Roman" w:cs="Times New Roman" w:eastAsia="Times New Roman" w:hAnsi="Times New Roman"/>
          <w:sz w:val="18"/>
          <w:szCs w:val="18"/>
          <w:color w:val="auto"/>
        </w:rPr>
      </w:pPr>
    </w:p>
    <w:p>
      <w:pPr>
        <w:jc w:val="both"/>
        <w:ind w:left="580" w:firstLine="643"/>
        <w:spacing w:after="0" w:line="266" w:lineRule="auto"/>
        <w:tabs>
          <w:tab w:leader="none" w:pos="19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prior twelve months,, the Company has timely filed all reports required to be filed by it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reporting requirements under Section 13 or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applicable (other than Form 8-K reports), and every required interactive data file required to be submitted to the SEC.</w:t>
      </w:r>
    </w:p>
    <w:p>
      <w:pPr>
        <w:spacing w:after="0" w:line="175" w:lineRule="exact"/>
        <w:rPr>
          <w:rFonts w:ascii="Times New Roman" w:cs="Times New Roman" w:eastAsia="Times New Roman" w:hAnsi="Times New Roman"/>
          <w:sz w:val="18"/>
          <w:szCs w:val="18"/>
          <w:color w:val="auto"/>
        </w:rPr>
      </w:pPr>
    </w:p>
    <w:p>
      <w:pPr>
        <w:jc w:val="both"/>
        <w:ind w:left="580" w:firstLine="643"/>
        <w:spacing w:after="0" w:line="258" w:lineRule="auto"/>
        <w:tabs>
          <w:tab w:leader="none" w:pos="199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9:00 a.m., New York City time, on the first business day after the date hereof, the Company shall file with the Commission a current report on Form 8-K announcing the Exchange, which current report the Company acknowledges and agrees will disclose all confidential information (as described in the Wall Cross Email) to the extent the Company believes such confidential information constitutes material non-public information, if any, with respect to the Exchange or otherwise communicated by the Company to the Investor in connection with the Exchange.</w:t>
      </w:r>
    </w:p>
    <w:p>
      <w:pPr>
        <w:spacing w:after="0" w:line="183" w:lineRule="exact"/>
        <w:rPr>
          <w:rFonts w:ascii="Times New Roman" w:cs="Times New Roman" w:eastAsia="Times New Roman" w:hAnsi="Times New Roman"/>
          <w:sz w:val="18"/>
          <w:szCs w:val="18"/>
          <w:color w:val="auto"/>
        </w:rPr>
      </w:pPr>
    </w:p>
    <w:p>
      <w:pPr>
        <w:ind w:left="580" w:firstLine="643"/>
        <w:spacing w:after="0" w:line="282" w:lineRule="auto"/>
        <w:tabs>
          <w:tab w:leader="none" w:pos="19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lawsuit, arbitration, claim or proceeding pending or, to the knowledge of the Company, threatened, against the Company that would reasonably be expected to impede the consummation of the Exchange.</w:t>
      </w:r>
    </w:p>
    <w:p>
      <w:pPr>
        <w:spacing w:after="0" w:line="161" w:lineRule="exact"/>
        <w:rPr>
          <w:rFonts w:ascii="Times New Roman" w:cs="Times New Roman" w:eastAsia="Times New Roman" w:hAnsi="Times New Roman"/>
          <w:sz w:val="18"/>
          <w:szCs w:val="18"/>
          <w:color w:val="auto"/>
        </w:rPr>
      </w:pPr>
    </w:p>
    <w:p>
      <w:pPr>
        <w:jc w:val="both"/>
        <w:ind w:left="580" w:firstLine="643"/>
        <w:spacing w:after="0" w:line="266" w:lineRule="auto"/>
        <w:tabs>
          <w:tab w:leader="none" w:pos="19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statement or printer material which is contrary to the publicly available filings and submissions made by the Company with the SEC under the Exchange Act, or any other documents and agreements used in connection with the Exchange has been made or given to the Investor by or on behalf of the Company.</w:t>
      </w:r>
    </w:p>
    <w:p>
      <w:pPr>
        <w:spacing w:after="0" w:line="175" w:lineRule="exact"/>
        <w:rPr>
          <w:rFonts w:ascii="Times New Roman" w:cs="Times New Roman" w:eastAsia="Times New Roman" w:hAnsi="Times New Roman"/>
          <w:sz w:val="18"/>
          <w:szCs w:val="18"/>
          <w:color w:val="auto"/>
        </w:rPr>
      </w:pPr>
    </w:p>
    <w:p>
      <w:pPr>
        <w:ind w:left="580" w:right="20" w:firstLine="643"/>
        <w:spacing w:after="0" w:line="282" w:lineRule="auto"/>
        <w:tabs>
          <w:tab w:leader="none" w:pos="20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shall, upon request, execute and deliver any additional documents deemed by the Investor to be reasonably necessary to complete the Exchange.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and Covenants of the Investor</w:t>
      </w:r>
      <w:r>
        <w:rPr>
          <w:rFonts w:ascii="Times New Roman" w:cs="Times New Roman" w:eastAsia="Times New Roman" w:hAnsi="Times New Roman"/>
          <w:sz w:val="18"/>
          <w:szCs w:val="18"/>
          <w:color w:val="auto"/>
        </w:rPr>
        <w:t>. As of the date hereof and the Closing Date (except as otherwise set forth below), the Investor hereby, for itself and on behalf of the Exchanging Investors, represents and warrants to, and covenants with, the Company that: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left="-540" w:firstLine="643"/>
        <w:spacing w:after="0" w:line="258" w:lineRule="auto"/>
        <w:tabs>
          <w:tab w:leader="none" w:pos="7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is a corporation, limited partnership, limited liability company or other entity, as the case may be, duly organized, validly existing and in good standing under the laws of the jurisdiction of its organization. If the Undersigned is executing this Agreement on behalf of Accounts, (i) the Undersigned has all requisite discretionary and contractual authority to enter into this Agreement on behalf of, and, bind, each Account, and (ii) Exhibit A attached to this Exchange Agreement contains a true, correct and complete list of (A) the name of each Account and (B) the principal amount of each Account’s Exchanged Notes, as applicable.</w:t>
      </w:r>
    </w:p>
    <w:p>
      <w:pPr>
        <w:spacing w:after="0" w:line="183" w:lineRule="exact"/>
        <w:rPr>
          <w:rFonts w:ascii="Times New Roman" w:cs="Times New Roman" w:eastAsia="Times New Roman" w:hAnsi="Times New Roman"/>
          <w:sz w:val="18"/>
          <w:szCs w:val="18"/>
          <w:color w:val="auto"/>
        </w:rPr>
      </w:pPr>
    </w:p>
    <w:p>
      <w:pPr>
        <w:jc w:val="both"/>
        <w:ind w:left="-540" w:firstLine="643"/>
        <w:spacing w:after="0" w:line="256" w:lineRule="auto"/>
        <w:tabs>
          <w:tab w:leader="none" w:pos="10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all requisite corporate (or other applicable entity) power and authority to execute and deliver this Agreement for itself and on behalf of the Exchanging Investors. Each of the Undersigned, on behalf of itself and each Exchanging Investor, and each Exchanging Investor has all requisite corporate (or other applicable entity) power and authority to carry out and perform its obligations under the terms hereof and the transactions contemplated hereby. This Agreement has been duly authorized, executed and delivered by the Undersigned and constitutes the legal, valid and binding obligation of the Undersigned and each Exchanging Investor, enforceable in accordance with its terms, subject to the Enforceability Exceptions.</w:t>
      </w:r>
    </w:p>
    <w:p>
      <w:pPr>
        <w:spacing w:after="0" w:line="187" w:lineRule="exact"/>
        <w:rPr>
          <w:rFonts w:ascii="Times New Roman" w:cs="Times New Roman" w:eastAsia="Times New Roman" w:hAnsi="Times New Roman"/>
          <w:sz w:val="18"/>
          <w:szCs w:val="18"/>
          <w:color w:val="auto"/>
        </w:rPr>
      </w:pPr>
    </w:p>
    <w:p>
      <w:pPr>
        <w:jc w:val="both"/>
        <w:ind w:left="-540" w:firstLine="643"/>
        <w:spacing w:after="0" w:line="254" w:lineRule="auto"/>
        <w:tabs>
          <w:tab w:leader="none" w:pos="8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Exchanging Investors is the sole legal and beneficial owner of the Exchanged Notes set forth opposite its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the Agreement. When the Exchanged Notes are exchanged, the Company will acquire good, valid and marketable title thereto, free and clear of all liens, mortgages, pledges, security interests, restrictions, title retention agreements, charges, encumbrances or adverse claims, rights or proxies of any kind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None of the Exchanging Investors has, in whole or in part (other than pledges or security interests that an Exchanging Investor may have created in favor of a prime broker under and in accordance with its prime brokerage agreement with such broker, all of which will be terminated prior to Closing), (x) assigned, transferred, hypothecated, pledged, exchanged, submitted for conversion pursuant to the respective Indenture or otherwise disposed of any of its Exchanged Notes (other than to the Company pursuant hereto), or (y) given any person or entity any transfer order, power of attorney or other authority of any nature whatsoever with respect to its Exchanged Notes.</w:t>
      </w:r>
    </w:p>
    <w:p>
      <w:pPr>
        <w:spacing w:after="0" w:line="191" w:lineRule="exact"/>
        <w:rPr>
          <w:rFonts w:ascii="Times New Roman" w:cs="Times New Roman" w:eastAsia="Times New Roman" w:hAnsi="Times New Roman"/>
          <w:sz w:val="18"/>
          <w:szCs w:val="18"/>
          <w:color w:val="auto"/>
        </w:rPr>
      </w:pPr>
    </w:p>
    <w:p>
      <w:pPr>
        <w:jc w:val="both"/>
        <w:ind w:left="-540" w:firstLine="643"/>
        <w:spacing w:after="0" w:line="254" w:lineRule="auto"/>
        <w:tabs>
          <w:tab w:leader="none" w:pos="9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Undersigned and the performance by each Exchanging Investor with all provisions hereof and the consummation of the transactions contemplated hereby, will not (i) require any consent, approval, authorization or other order of, or registration or qualification with, any court or arbitrator or governmental or regulatory body or agency (except as may be required under the securities or Blue Sky laws of the various states), (ii) constitute a breach or violation of any of the terms or provisions of, or result in a default under, (x) the organizational documents of any of the Undersigned or any Exchanging Investor or (y) any material indenture, loan agreement, mortgage, lease or other agreement or instrument to which the Undersigned or any of the Exchanging Investors is a party or by which the Undersigned or any Exchanging Investor is bound (including any investment mandate or policy, limited partner committee directive or similar restriction), or (iii) violate or conflict with any applicable law or any rule, regulation, judgment, decision, order or decree of any court or any governmental body or agency having jurisdiction over the Undersigned or any of the Exchanging Investors.</w:t>
      </w:r>
    </w:p>
    <w:p>
      <w:pPr>
        <w:spacing w:after="0" w:line="188" w:lineRule="exact"/>
        <w:rPr>
          <w:rFonts w:ascii="Times New Roman" w:cs="Times New Roman" w:eastAsia="Times New Roman" w:hAnsi="Times New Roman"/>
          <w:sz w:val="18"/>
          <w:szCs w:val="18"/>
          <w:color w:val="auto"/>
        </w:rPr>
      </w:pPr>
    </w:p>
    <w:p>
      <w:pPr>
        <w:jc w:val="both"/>
        <w:ind w:left="-540" w:firstLine="643"/>
        <w:spacing w:after="0" w:line="261" w:lineRule="auto"/>
        <w:tabs>
          <w:tab w:leader="none" w:pos="7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will comply with all applicable laws and regulations in effect necessary for each Exchanging Investor to consummate the transactions contemplated hereby and obtain any consent, approval or permission required for the transactions contemplated hereby and the laws and regulations of any jurisdiction to which the Undersigned and each such Exchanging Investor is subject, and the Company shall have no responsibility therefor.</w:t>
      </w:r>
    </w:p>
    <w:p>
      <w:pPr>
        <w:spacing w:after="0" w:line="3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 w:name="page21"/>
    <w:bookmarkEnd w:id="20"/>
    <w:p>
      <w:pPr>
        <w:jc w:val="both"/>
        <w:ind w:left="-540" w:firstLine="643"/>
        <w:spacing w:after="0" w:line="256" w:lineRule="auto"/>
        <w:tabs>
          <w:tab w:leader="none" w:pos="8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that no person has been authorized to give any information or to make any representation or warranty concerning the Company or the Exchange other than the information set forth herein in connection with the Undersigned’s and each Exchanging Investor’s examination of the Company and the terms of the Exchange and the Shares, and the Company does not take, and J. Wood Capital Advisors LLC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does not take any responsibility for, and neither the Company nor the Placement Agent can provide any assurance as to the reliability of, any other information that others may provide to the Undersigned or any Exchanging Investor.</w:t>
      </w:r>
    </w:p>
    <w:p>
      <w:pPr>
        <w:spacing w:after="0" w:line="187" w:lineRule="exact"/>
        <w:rPr>
          <w:rFonts w:ascii="Times New Roman" w:cs="Times New Roman" w:eastAsia="Times New Roman" w:hAnsi="Times New Roman"/>
          <w:sz w:val="18"/>
          <w:szCs w:val="18"/>
          <w:color w:val="auto"/>
        </w:rPr>
      </w:pPr>
    </w:p>
    <w:p>
      <w:pPr>
        <w:jc w:val="both"/>
        <w:ind w:left="-540" w:firstLine="643"/>
        <w:spacing w:after="0" w:line="254" w:lineRule="auto"/>
        <w:tabs>
          <w:tab w:leader="none" w:pos="8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has such knowledge, skill and experience in business, financial and investment matters so that it is capable of evaluating the merits and risks with respect to the Exchange and an investment in the Shares. With the assistance of each Exchanging Investor’s own professional advisors, to the extent that the Exchanging Investor has deemed appropriate, such Exchanging Investor has made its own legal, tax, accounting and financial evaluation of the merits and risks of an investment in the Shares and the consequences of the Exchange and this Agreement and the Exchanging Investor has made its own independent decision that the investment in the Shares is suitable and appropriate for the Exchanging Investor. Each Exchanging Investor has considered the suitability of the Shares as an investment in light of such Exchanging Investor’s circumstances and financial condition and is able to bear the risks associated with an investment in the Shares.</w:t>
      </w:r>
    </w:p>
    <w:p>
      <w:pPr>
        <w:spacing w:after="0" w:line="191" w:lineRule="exact"/>
        <w:rPr>
          <w:rFonts w:ascii="Times New Roman" w:cs="Times New Roman" w:eastAsia="Times New Roman" w:hAnsi="Times New Roman"/>
          <w:sz w:val="18"/>
          <w:szCs w:val="18"/>
          <w:color w:val="auto"/>
        </w:rPr>
      </w:pPr>
    </w:p>
    <w:p>
      <w:pPr>
        <w:jc w:val="both"/>
        <w:ind w:left="-540" w:firstLine="643"/>
        <w:spacing w:after="0" w:line="256" w:lineRule="auto"/>
        <w:tabs>
          <w:tab w:leader="none" w:pos="10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confirms that it and each Exchanging Investor is not relying on any communication (written or oral) of the Company, the Placement Agent or any of their respective affiliates or representatives as investment advice or as a recommendation to acquire the Shares or the Cash Consideration in the Exchange. It is understood that information provided by the Company, the Placement Agent or any of their respective affiliates and representatives shall not be considered investment advice or a recommendation to participate in the Exchange, and that none of the Company, the Placement Agent or any of their respective affiliates or representatives is acting or has acted as an advisor to the Undersigned or any Exchanging Investor in deciding to participate in the Exchange.</w:t>
      </w:r>
    </w:p>
    <w:p>
      <w:pPr>
        <w:spacing w:after="0" w:line="187" w:lineRule="exact"/>
        <w:rPr>
          <w:rFonts w:ascii="Times New Roman" w:cs="Times New Roman" w:eastAsia="Times New Roman" w:hAnsi="Times New Roman"/>
          <w:sz w:val="18"/>
          <w:szCs w:val="18"/>
          <w:color w:val="auto"/>
        </w:rPr>
      </w:pPr>
    </w:p>
    <w:p>
      <w:pPr>
        <w:jc w:val="both"/>
        <w:ind w:left="-540" w:firstLine="643"/>
        <w:spacing w:after="0" w:line="256" w:lineRule="auto"/>
        <w:tabs>
          <w:tab w:leader="none" w:pos="8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confirms that the Company has not (i) given any guarantee, representation or warranty as to the potential success, return, effect or benefit (either legal, regulatory, tax, financial, accounting or otherwise) of an investment in the Shares or (ii) made any representation or warranty to the Undersigned or any Exchanging Investor regarding the legality of an investment in the Shares under applicable legal investment or similar laws or regulations. In deciding to participate in the Exchange, the Undersigned and each Exchanging Investor is not relying on the advice or recommendations of the Company and the Undersigned and each Exchanging Investor has made its own independent decision that the investment in the Shares is suitable and appropriate for it.</w:t>
      </w:r>
    </w:p>
    <w:p>
      <w:pPr>
        <w:spacing w:after="0" w:line="187" w:lineRule="exact"/>
        <w:rPr>
          <w:rFonts w:ascii="Times New Roman" w:cs="Times New Roman" w:eastAsia="Times New Roman" w:hAnsi="Times New Roman"/>
          <w:sz w:val="18"/>
          <w:szCs w:val="18"/>
          <w:color w:val="auto"/>
        </w:rPr>
      </w:pPr>
    </w:p>
    <w:p>
      <w:pPr>
        <w:jc w:val="both"/>
        <w:ind w:left="-540" w:firstLine="643"/>
        <w:spacing w:after="0" w:line="256" w:lineRule="auto"/>
        <w:tabs>
          <w:tab w:leader="none" w:pos="9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is familiar with the business and financial condition and operations of the Company and the Undersigned and each Exchanging Investor has had the opportunity to conduct its own investigation of the Company and the Shares. The Undersigned and each Exchanging Investor has had access to the SEC filings of the Company and such other information concerning the Company and the Shares as it deems necessary to enable it to make an informed investment decision concerning the Exchange. The Undersigned and each Exchanging Investor has been offered the opportunity to ask such questions of the Company and its representatives and received answers thereto, as it deems necessary to enable it to make an informed investment decision concerning the Exchange.</w:t>
      </w:r>
    </w:p>
    <w:p>
      <w:pPr>
        <w:spacing w:after="0" w:line="3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 w:name="page22"/>
    <w:bookmarkEnd w:id="21"/>
    <w:p>
      <w:pPr>
        <w:ind w:left="-540" w:right="40" w:firstLine="643"/>
        <w:spacing w:after="0" w:line="258" w:lineRule="auto"/>
        <w:tabs>
          <w:tab w:leader="none" w:pos="7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is (i) an institutional “accredited investor” as defined in Rule 501(a)(1), (2), (3) or (7) under the Securities Act and it and any account (including for purposes of this Section 3(k), the Accounts) for which it is acting (for which it has sole investment discretion) is a “qualified institutional buyer” as defined in Rule 144A under the Securities Act. The Undersigned and each Exchanging Investor agrees to furnish any additional information reasonably requested by the Company or any of its affiliates to assure compliance with applicable U.S. federal and state securities laws in connection with the Exchange.</w:t>
      </w:r>
    </w:p>
    <w:p>
      <w:pPr>
        <w:spacing w:after="0" w:line="183" w:lineRule="exact"/>
        <w:rPr>
          <w:rFonts w:ascii="Times New Roman" w:cs="Times New Roman" w:eastAsia="Times New Roman" w:hAnsi="Times New Roman"/>
          <w:sz w:val="18"/>
          <w:szCs w:val="18"/>
          <w:color w:val="auto"/>
        </w:rPr>
      </w:pPr>
    </w:p>
    <w:p>
      <w:pPr>
        <w:jc w:val="both"/>
        <w:ind w:left="-540" w:firstLine="643"/>
        <w:spacing w:after="0" w:line="253" w:lineRule="auto"/>
        <w:tabs>
          <w:tab w:leader="none" w:pos="7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is not, and has not been during the consecutive three month period preceding the date hereof and as of the Closing, will not be, a director, officer or “affiliate” within the meaning of Rule 144 promulgated under the Securities Act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the Company. To its knowledge, the applicable Exchanging Investor did not acquire any of the Exchanged Notes, directly or indirectly, from an Affiliate of the Company. Each Exchanging Investor beneficially owns and will beneficially own as of the Closing Date (but without giving effect to the Exchange) (a) less than 5% of the outstanding Common Stock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xml:space="preserve"> and (b) less than 5% of the aggregate number of votes that may be cast by holders of those outstanding securities of the Company that entitle the holders thereof to vote generally on all matters submitted to the Company’s stockholders for a vote. No Exchanging Investor is a subsidiary, Affiliate or, to its knowledge, otherwise closely-related to any director or officer of the Company (each such director or officer, a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xml:space="preserve"> To its knowledge, no Related Party beneficially owns 5% or more of the outstanding voting equity, or votes entitled to be cast by the outstanding voting equity, of the applicable Exchanging Investor.</w:t>
      </w:r>
    </w:p>
    <w:p>
      <w:pPr>
        <w:spacing w:after="0" w:line="194" w:lineRule="exact"/>
        <w:rPr>
          <w:rFonts w:ascii="Times New Roman" w:cs="Times New Roman" w:eastAsia="Times New Roman" w:hAnsi="Times New Roman"/>
          <w:sz w:val="18"/>
          <w:szCs w:val="18"/>
          <w:color w:val="auto"/>
        </w:rPr>
      </w:pPr>
    </w:p>
    <w:p>
      <w:pPr>
        <w:ind w:left="-540" w:firstLine="643"/>
        <w:spacing w:after="0" w:line="282" w:lineRule="auto"/>
        <w:tabs>
          <w:tab w:leader="none" w:pos="8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nor any Exchanging Investor is directly, or indirectly through one or more intermediaries, controlling or controlled by, or under direct or indirect common control with, the Company.</w:t>
      </w:r>
    </w:p>
    <w:p>
      <w:pPr>
        <w:spacing w:after="0" w:line="161" w:lineRule="exact"/>
        <w:rPr>
          <w:rFonts w:ascii="Times New Roman" w:cs="Times New Roman" w:eastAsia="Times New Roman" w:hAnsi="Times New Roman"/>
          <w:sz w:val="18"/>
          <w:szCs w:val="18"/>
          <w:color w:val="auto"/>
        </w:rPr>
      </w:pPr>
    </w:p>
    <w:p>
      <w:pPr>
        <w:jc w:val="both"/>
        <w:ind w:left="-540" w:firstLine="643"/>
        <w:spacing w:after="0" w:line="253" w:lineRule="auto"/>
        <w:tabs>
          <w:tab w:leader="none" w:pos="7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Exchanging Investor (including the Undersigned, if applicable) is acquiring the Shares solely for its own beneficial account (or for any account (including for purposes of this Section 3(n)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Accounts) for which it has sole investment discretion), for investment purposes, and not with a view to, or for resale in connection with, any distribution of the Shares. The Undersigned and each Exchanging Investor understands that the offer and sale of the Shares have not been registered under the Securities Act or any state securities laws and are being issued without registration under the Securities Act by reason of specific exemption(s) under the provisions thereof which depend in part upon the investment intent of the Exchanging Investors and the accuracy of the other representations and warranties made by the Undersigned and each Exchanging Investor in this Agreement. The Undersigned and the Exchanging Investors understand that the Company and Placement Agent are each relying upon the representations, warranties and agreements contained in this Agreement (and any supplemental information provided to the Company and Placement Agent by the Undersigned or the Exchanging Investors) for the purpose of determining whether this transaction meets the requirements for such exemption(s) and to issue the Shares without legends as set forth herein.</w:t>
      </w:r>
    </w:p>
    <w:p>
      <w:pPr>
        <w:spacing w:after="0" w:line="194" w:lineRule="exact"/>
        <w:rPr>
          <w:rFonts w:ascii="Times New Roman" w:cs="Times New Roman" w:eastAsia="Times New Roman" w:hAnsi="Times New Roman"/>
          <w:sz w:val="18"/>
          <w:szCs w:val="18"/>
          <w:color w:val="auto"/>
        </w:rPr>
      </w:pPr>
    </w:p>
    <w:p>
      <w:pPr>
        <w:jc w:val="both"/>
        <w:ind w:left="-540" w:firstLine="643"/>
        <w:spacing w:after="0" w:line="266" w:lineRule="auto"/>
        <w:tabs>
          <w:tab w:leader="none" w:pos="8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and agrees that the terms of the Exchange have been mutually negotiated between the Undersigned (on behalf of the Exchanging Investors) and the Company. The Undersigned and each Exchanging Investor was given a meaningful opportunity to negotiate the terms of the Exchange.</w:t>
      </w: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2" w:name="page23"/>
    <w:bookmarkEnd w:id="22"/>
    <w:p>
      <w:pPr>
        <w:jc w:val="both"/>
        <w:ind w:left="-540" w:firstLine="643"/>
        <w:spacing w:after="0" w:line="256" w:lineRule="auto"/>
        <w:tabs>
          <w:tab w:leader="none" w:pos="9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and agrees that it had a sufficient amount of time to consider whether to participate in the Exchange and that neither the Company nor the Placement Agent has placed any pressure on the Undersigned or any Exchanging Investor to respond to the opportunity to participate in the Exchange. The Undersigned and each Exchanging Investor acknowledges and agrees that it did not become aware of the Exchange through any form of general solicitation or advertising within the meaning of Rule 502(c) of Regulation D under the Securities Act or otherwise through a “public offering” within the meaning of Section 4(a)(2) of the Securities Act, nor did it receive any such general solicitation, advertising or public offering with respect to the Exchange, the Notes, the Shares or the Company.</w:t>
      </w:r>
    </w:p>
    <w:p>
      <w:pPr>
        <w:spacing w:after="0" w:line="187" w:lineRule="exact"/>
        <w:rPr>
          <w:rFonts w:ascii="Times New Roman" w:cs="Times New Roman" w:eastAsia="Times New Roman" w:hAnsi="Times New Roman"/>
          <w:sz w:val="18"/>
          <w:szCs w:val="18"/>
          <w:color w:val="auto"/>
        </w:rPr>
      </w:pPr>
    </w:p>
    <w:p>
      <w:pPr>
        <w:jc w:val="both"/>
        <w:ind w:left="-540" w:firstLine="643"/>
        <w:spacing w:after="0" w:line="261" w:lineRule="auto"/>
        <w:tabs>
          <w:tab w:leader="none" w:pos="8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it and each Exchanging Investor understands that the Company intends to pay the Placement Agent a fee in respect of the Exchange. No broker, investment banker, finder or other person has been retained by or authorized to act on behalf of the Undersigned or any Exchanging Investor in connection with the transactions contemplated hereby, and no commission or other remuneration has been paid or given directly or indirectly by or on behalf of the Investor in connection therewith.</w:t>
      </w:r>
    </w:p>
    <w:p>
      <w:pPr>
        <w:spacing w:after="0" w:line="179" w:lineRule="exact"/>
        <w:rPr>
          <w:rFonts w:ascii="Times New Roman" w:cs="Times New Roman" w:eastAsia="Times New Roman" w:hAnsi="Times New Roman"/>
          <w:sz w:val="18"/>
          <w:szCs w:val="18"/>
          <w:color w:val="auto"/>
        </w:rPr>
      </w:pPr>
    </w:p>
    <w:p>
      <w:pPr>
        <w:jc w:val="both"/>
        <w:ind w:left="-540" w:firstLine="643"/>
        <w:spacing w:after="0" w:line="266" w:lineRule="auto"/>
        <w:tabs>
          <w:tab w:leader="none" w:pos="8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upon request, execute and deliver, for itself and on behalf of any Exchanging Investor, any additional documents deemed by the Company and the Trustee or the transfer agent to be reasonably necessary to complete the transactions contemplated by this Agreement.</w:t>
      </w:r>
    </w:p>
    <w:p>
      <w:pPr>
        <w:spacing w:after="0" w:line="175" w:lineRule="exact"/>
        <w:rPr>
          <w:rFonts w:ascii="Times New Roman" w:cs="Times New Roman" w:eastAsia="Times New Roman" w:hAnsi="Times New Roman"/>
          <w:sz w:val="18"/>
          <w:szCs w:val="18"/>
          <w:color w:val="auto"/>
        </w:rPr>
      </w:pPr>
    </w:p>
    <w:p>
      <w:pPr>
        <w:ind w:left="-540" w:right="20" w:firstLine="643"/>
        <w:spacing w:after="0" w:line="282" w:lineRule="auto"/>
        <w:tabs>
          <w:tab w:leader="none" w:pos="9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one (1) business day after the date hereof, the Undersigned shall deliver in writing to the Company settlement instructions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to this Exchange Agreement for each of the Exchanging Investors.</w:t>
      </w:r>
    </w:p>
    <w:p>
      <w:pPr>
        <w:spacing w:after="0" w:line="161" w:lineRule="exact"/>
        <w:rPr>
          <w:rFonts w:ascii="Times New Roman" w:cs="Times New Roman" w:eastAsia="Times New Roman" w:hAnsi="Times New Roman"/>
          <w:sz w:val="18"/>
          <w:szCs w:val="18"/>
          <w:color w:val="auto"/>
        </w:rPr>
      </w:pPr>
    </w:p>
    <w:p>
      <w:pPr>
        <w:ind w:left="-540" w:firstLine="643"/>
        <w:spacing w:after="0" w:line="282" w:lineRule="auto"/>
        <w:tabs>
          <w:tab w:leader="none" w:pos="7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the Company may issue appropriate stop-transfer instructions to its transfer agent, if any, and may make appropriate notations to the same effect in its books and records to ensure compliance with the provisions of this Section 3.</w:t>
      </w:r>
    </w:p>
    <w:p>
      <w:pPr>
        <w:spacing w:after="0" w:line="161" w:lineRule="exact"/>
        <w:rPr>
          <w:rFonts w:ascii="Times New Roman" w:cs="Times New Roman" w:eastAsia="Times New Roman" w:hAnsi="Times New Roman"/>
          <w:sz w:val="18"/>
          <w:szCs w:val="18"/>
          <w:color w:val="auto"/>
        </w:rPr>
      </w:pPr>
    </w:p>
    <w:p>
      <w:pPr>
        <w:jc w:val="both"/>
        <w:ind w:left="-540" w:firstLine="643"/>
        <w:spacing w:after="0" w:line="254" w:lineRule="auto"/>
        <w:tabs>
          <w:tab w:leader="none" w:pos="8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and agrees that the Placement Agent has not acted as a financial advisor or fiduciary to the Undersigned or any Exchanging Investor and that the Placement Agent and its respective directors, officers, employees, representatives and controlling persons have no responsibility for making, and have not made, any independent investigation of the information contained herein or in the Company’s SEC filings and make no representation or warranty to the Undersigned or any Exchanging Investor, express or implied, with respect to the Company, the Exchanged Notes or the Shares or the accuracy, completeness or adequacy of the information provided to the Undersigned or any Exchanging Investor (if any) or any other publicly available information, nor shall any of the foregoing persons be liable for any loss or damages of any kind resulting from the use of the information contained therein or otherwise supplied to the Undersigned or any Exchanging Investor.</w:t>
      </w:r>
    </w:p>
    <w:p>
      <w:pPr>
        <w:spacing w:after="0" w:line="191" w:lineRule="exact"/>
        <w:rPr>
          <w:rFonts w:ascii="Times New Roman" w:cs="Times New Roman" w:eastAsia="Times New Roman" w:hAnsi="Times New Roman"/>
          <w:sz w:val="18"/>
          <w:szCs w:val="18"/>
          <w:color w:val="auto"/>
        </w:rPr>
      </w:pPr>
    </w:p>
    <w:p>
      <w:pPr>
        <w:jc w:val="both"/>
        <w:ind w:left="-540" w:firstLine="643"/>
        <w:spacing w:after="0" w:line="258" w:lineRule="auto"/>
        <w:tabs>
          <w:tab w:leader="none" w:pos="7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agents shall be entitled to deduct and withhold from any consideration payable pursuant to this Agreement such amounts as may be required to be deducted or withheld under applicable law, and shall be provided with a Form W-9 or the appropriate series of Form W-8, in order to establish whether any Exchanging Investor is entitled to an exemption from (or reduction in the rate of) withholding. To the extent any such amounts are withheld and remitted to the appropriate taxing authority, such amounts shall be treated for all purposes as having been paid to the Exchanging Investor to whom such amounts otherwise would have been paid.</w:t>
      </w:r>
    </w:p>
    <w:p>
      <w:pPr>
        <w:spacing w:after="0" w:line="3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3" w:name="page24"/>
    <w:bookmarkEnd w:id="23"/>
    <w:p>
      <w:pPr>
        <w:jc w:val="both"/>
        <w:ind w:left="-540" w:firstLine="643"/>
        <w:spacing w:after="0" w:line="253" w:lineRule="auto"/>
        <w:tabs>
          <w:tab w:leader="none" w:pos="9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and understands that at the time of the Closing, the Company may be in possession of material non-public information not known to the Undersigned or any Exchanging Investor that may impact the value of the Notes, including the Exchanged Notes, and the Shares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that the Company has not disclosed to the Undersigned or any Exchanging Investor. The Undersigned and each Exchanging Investor acknowledges and agrees that it has not relied upon the non-disclosure of any such Information for purposes of making its decision to participate in the Exchange. The Undersigned and each Exchanging Investor understands, based on its experience, the disadvantage to which the Undersigned and each Exchanging Investor is subject due to the disparity of information between the Company, on the one hand, and the Undersigned and each Exchanging Investor, on the other hand. Notwithstanding this, the Undersigned and each Exchanging Investor has deemed it appropriate to participate in the Exchange. The Undersigned and each Exchanging Investor agrees that the Company and its directors, officers, employees, agents, stockholders and affiliates shall have no liability to the Undersigned or any Exchanging Investor or their respective beneficiaries whatsoever due to or in connection with the Company’s use or non-disclosure of the Information or otherwise as a result of the Exchange, and the Undersigned and each Exchanging Investor hereby irrevocably waives any claim that it or any Exchanging Investor might have based on the failure of the Company to disclose the Information.</w:t>
      </w:r>
    </w:p>
    <w:p>
      <w:pPr>
        <w:spacing w:after="0" w:line="189" w:lineRule="exact"/>
        <w:rPr>
          <w:rFonts w:ascii="Times New Roman" w:cs="Times New Roman" w:eastAsia="Times New Roman" w:hAnsi="Times New Roman"/>
          <w:sz w:val="18"/>
          <w:szCs w:val="18"/>
          <w:color w:val="auto"/>
        </w:rPr>
      </w:pPr>
    </w:p>
    <w:p>
      <w:pPr>
        <w:jc w:val="both"/>
        <w:ind w:left="-540" w:firstLine="643"/>
        <w:spacing w:after="0" w:line="266" w:lineRule="auto"/>
        <w:tabs>
          <w:tab w:leader="none" w:pos="7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and understands that no federal, state, local or foreign agency has passed upon the merits or risks of an investment in the Shares or made any finding or determination concerning the fairness or advisability of this investment.</w:t>
      </w:r>
    </w:p>
    <w:p>
      <w:pPr>
        <w:spacing w:after="0" w:line="175" w:lineRule="exact"/>
        <w:rPr>
          <w:rFonts w:ascii="Times New Roman" w:cs="Times New Roman" w:eastAsia="Times New Roman" w:hAnsi="Times New Roman"/>
          <w:sz w:val="18"/>
          <w:szCs w:val="18"/>
          <w:color w:val="auto"/>
        </w:rPr>
      </w:pPr>
    </w:p>
    <w:p>
      <w:pPr>
        <w:jc w:val="both"/>
        <w:ind w:left="-540" w:firstLine="643"/>
        <w:spacing w:after="0" w:line="255" w:lineRule="auto"/>
        <w:tabs>
          <w:tab w:leader="none" w:pos="10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Undersigned and each Exchanging Investor have been conducted in material compliance with the applicable rules and regulations administered or conducted by the U.S. Department of Treasury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applicable rules and regulations of the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and the applicable Anti-Money Laundering (“</w:t>
      </w:r>
      <w:r>
        <w:rPr>
          <w:rFonts w:ascii="Times New Roman" w:cs="Times New Roman" w:eastAsia="Times New Roman" w:hAnsi="Times New Roman"/>
          <w:sz w:val="18"/>
          <w:szCs w:val="18"/>
          <w:b w:val="1"/>
          <w:bCs w:val="1"/>
          <w:color w:val="auto"/>
        </w:rPr>
        <w:t>AML</w:t>
      </w:r>
      <w:r>
        <w:rPr>
          <w:rFonts w:ascii="Times New Roman" w:cs="Times New Roman" w:eastAsia="Times New Roman" w:hAnsi="Times New Roman"/>
          <w:sz w:val="18"/>
          <w:szCs w:val="18"/>
          <w:color w:val="auto"/>
        </w:rPr>
        <w:t>”) rules in the Bank Secrecy Act. The Undersigned has performed due diligence necessary to reasonably determine that each Exchanging Investor is not named on the lists of denied parties or blocked persons administered by OFAC, resident in or organized under the laws of a country that is the subject of comprehensive economic sanctions and embargoes administered or conducted by OFAC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are not otherwise the subject of Sanctions and have not been found to be in violation or under suspicion of violating OFAC, FCPA or AML rules and regulations.</w:t>
      </w:r>
    </w:p>
    <w:p>
      <w:pPr>
        <w:spacing w:after="0" w:line="188" w:lineRule="exact"/>
        <w:rPr>
          <w:rFonts w:ascii="Times New Roman" w:cs="Times New Roman" w:eastAsia="Times New Roman" w:hAnsi="Times New Roman"/>
          <w:sz w:val="18"/>
          <w:szCs w:val="18"/>
          <w:color w:val="auto"/>
        </w:rPr>
      </w:pPr>
    </w:p>
    <w:p>
      <w:pPr>
        <w:jc w:val="both"/>
        <w:ind w:left="-540" w:firstLine="643"/>
        <w:spacing w:after="0" w:line="258" w:lineRule="auto"/>
        <w:tabs>
          <w:tab w:leader="none" w:pos="8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acknowledges and agrees that it has not disclosed, and will not disclose, to any third party any information regarding the Company or the Exchange, and that it has not transacted, and will not transact, in any securities of the Company, including, but not limited to, any hedging transactions, from the time the Holder was first contacted by the Company or the Placement Agent with respect to the Transactions until after the confidential information (as described in the confirmatory email received by the Holder from the Placement Agent (the “</w:t>
      </w:r>
      <w:r>
        <w:rPr>
          <w:rFonts w:ascii="Times New Roman" w:cs="Times New Roman" w:eastAsia="Times New Roman" w:hAnsi="Times New Roman"/>
          <w:sz w:val="18"/>
          <w:szCs w:val="18"/>
          <w:b w:val="1"/>
          <w:bCs w:val="1"/>
          <w:u w:val="single" w:color="auto"/>
          <w:color w:val="auto"/>
        </w:rPr>
        <w:t>Wall Cross Email</w:t>
      </w:r>
      <w:r>
        <w:rPr>
          <w:rFonts w:ascii="Times New Roman" w:cs="Times New Roman" w:eastAsia="Times New Roman" w:hAnsi="Times New Roman"/>
          <w:sz w:val="18"/>
          <w:szCs w:val="18"/>
          <w:color w:val="auto"/>
        </w:rPr>
        <w:t>”)) is made public.</w:t>
      </w:r>
    </w:p>
    <w:p>
      <w:pPr>
        <w:spacing w:after="0" w:line="183" w:lineRule="exact"/>
        <w:rPr>
          <w:sz w:val="20"/>
          <w:szCs w:val="20"/>
          <w:color w:val="auto"/>
        </w:rPr>
      </w:pPr>
    </w:p>
    <w:p>
      <w:pPr>
        <w:jc w:val="both"/>
        <w:ind w:left="-540" w:firstLine="643"/>
        <w:spacing w:after="0" w:line="261" w:lineRule="auto"/>
        <w:tabs>
          <w:tab w:leader="none" w:pos="10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exchanging any Exchanged Notes and acquiring the Shares as a fiduciary or agent for one or more accounts (including for purposes of this Section 3(aa), the Accounts which are Exchanging Investors), it represents that (i) it has sole investment discretion with respect to each such account, (ii) it has full power to make the foregoing representations, warranties and covenants on behalf of such account and (iii) it has contractual authority with respect to each such account.</w:t>
      </w:r>
    </w:p>
    <w:p>
      <w:pPr>
        <w:spacing w:after="0" w:line="3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 w:name="page25"/>
    <w:bookmarkEnd w:id="24"/>
    <w:p>
      <w:pPr>
        <w:jc w:val="both"/>
        <w:ind w:left="580" w:firstLine="643"/>
        <w:spacing w:after="0" w:line="254" w:lineRule="auto"/>
        <w:tabs>
          <w:tab w:leader="none" w:pos="20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and each Exchanging Investor understands and agrees that the Company, the Placement Agent and others will rely upon the truth and accuracy of the foregoing representations, warranties and covenants and agrees that if any of the representations and warranties deemed to have been made by it or the Exchanging Investors by their participation in the transactions contemplated by this Agreement and acquisition of the Shares are no longer accurate, the Undersigned and the applicable Exchanging Investor shall promptly notify the Company and the Placement Agent. The Undersigned and each Exchanging Investor understands and agrees that, unless and except to the extent the Undersigned or an Exchanging Investor notifies the Company in writing to the contrary before the Closing, each of the Undersigned’s and Exchanging Investors’ representations and warranties contained in this Agreement will be deemed to have been reaffirmed and confirmed as of the Closing.</w:t>
      </w:r>
    </w:p>
    <w:p>
      <w:pPr>
        <w:spacing w:after="0" w:line="191" w:lineRule="exact"/>
        <w:rPr>
          <w:rFonts w:ascii="Times New Roman" w:cs="Times New Roman" w:eastAsia="Times New Roman" w:hAnsi="Times New Roman"/>
          <w:sz w:val="18"/>
          <w:szCs w:val="18"/>
          <w:color w:val="auto"/>
        </w:rPr>
      </w:pPr>
    </w:p>
    <w:p>
      <w:pPr>
        <w:jc w:val="both"/>
        <w:ind w:firstLine="8"/>
        <w:spacing w:after="0" w:line="253" w:lineRule="auto"/>
        <w:tabs>
          <w:tab w:leader="none" w:pos="5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Obligations of the</w:t>
      </w:r>
      <w:r>
        <w:rPr>
          <w:rFonts w:ascii="Times New Roman" w:cs="Times New Roman" w:eastAsia="Times New Roman" w:hAnsi="Times New Roman"/>
          <w:sz w:val="18"/>
          <w:szCs w:val="18"/>
          <w:color w:val="auto"/>
        </w:rPr>
        <w:t xml:space="preserve"> Undersigned, the Exchanging </w:t>
      </w:r>
      <w:r>
        <w:rPr>
          <w:rFonts w:ascii="Times New Roman" w:cs="Times New Roman" w:eastAsia="Times New Roman" w:hAnsi="Times New Roman"/>
          <w:sz w:val="18"/>
          <w:szCs w:val="18"/>
          <w:u w:val="single" w:color="auto"/>
          <w:color w:val="auto"/>
        </w:rPr>
        <w:t>Investors and the Company</w:t>
      </w:r>
      <w:r>
        <w:rPr>
          <w:rFonts w:ascii="Times New Roman" w:cs="Times New Roman" w:eastAsia="Times New Roman" w:hAnsi="Times New Roman"/>
          <w:sz w:val="18"/>
          <w:szCs w:val="18"/>
          <w:color w:val="auto"/>
        </w:rPr>
        <w:t>. The obligations of the Undersigned and the Exchanging Investor under this Agreement are subject to the satisfaction at or prior to the Closing of the following conditions precedent: (a) the representations and warranties of the Company contained in Section 1 hereof shall be true and correct as of the Closing in all respects with the same effect as though such representations and warranties had been made as of the Closing and (b) no provision of any applicable law or any judgment, ruling, order, writ, injunction, award or decree of any governmental authority shall be in effect prohibiting or making illegal the consummation of the transactions contemplated by this Agreement.The obligations of the Company under this Agreement are subject to the satisfaction at or prior to the Closing of the following conditions precedent: (x) the representations and warranties of the Undersigned and the Exchanging Investors contained in Section 2 hereof shall be true and correct as of the Closing in all respects with the same effect as though such representations and warranties had been made as of the Closing and (y) no provision of any applicable law or any judgment, ruling, order, writ, injunction, award or decree of any governmental authority shall be in effect prohibiting or making illegal the consummation of the transactions contemplated by this Agreement.</w:t>
      </w:r>
    </w:p>
    <w:p>
      <w:pPr>
        <w:spacing w:after="0" w:line="194" w:lineRule="exact"/>
        <w:rPr>
          <w:rFonts w:ascii="Times New Roman" w:cs="Times New Roman" w:eastAsia="Times New Roman" w:hAnsi="Times New Roman"/>
          <w:sz w:val="18"/>
          <w:szCs w:val="18"/>
          <w:color w:val="auto"/>
        </w:rPr>
      </w:pPr>
    </w:p>
    <w:p>
      <w:pPr>
        <w:ind w:firstLine="8"/>
        <w:spacing w:after="0" w:line="282" w:lineRule="auto"/>
        <w:tabs>
          <w:tab w:leader="none" w:pos="7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Neither this Agreement nor any provisions hereof shall be modified, changed or discharged, except by an instrument in writing, signed by the Company and the Undersigned.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No person shall assign this Agreement nor any right, remedy, obligation or liability arising hereunder or by reason hereof or, in the case of the Exchanging Investors, any of the Exchanged Notes held by such Exchanging Investors, without the prior written consent of the Company (in the case of assignment Undersigned or any Exchanging Investor), or the applicable Exchanging Investor (in the case of assignment by the Company).</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8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COMPANY AND THE UNDERSIGNED (ON BEHALF OF ITSELF AND EACH EXCHANGING INVESTOR) HEREBY IRREVOCABLY WAIVES ANY AND ALL RIGHT TO TRIAL BY JURY WITH RESPECT TO ANY LEGAL PROCEEDING ARISING OUT OF THE TRANSACTIONS CONTEMPLATED BY THIS AGREEMENT.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9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its negotiation and any related disputes shall in all respects be governed by and construed in accordance with the laws of the State of New York, without giving effect to such state’s rules concerning conflicts of laws that might provide for any other choice of law.</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5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Company and the Undersigned (on behalf of itself and each Exchanging Investor): (a) agrees that any legal suit, action or proceeding arising out of or relating to this Agreement or the transactions contemplated hereby shall be instituted exclusively in the courts of the State of New York located in the City and County of New York or in the United States District Court for the Southern District of New York; (b) waives any objection that it may now or hereafter have to the venue of any such suit, action or proceeding; and (c) irrevocably consents to the jurisdiction of the aforesaid courts in any such suit, action or proceeding. Each of the Company and the Undersigned (on behalf of itself and each Exchanging Investor) agrees that a final judgment in any such action or proceeding shall be conclusive and may be enforced in other jurisdictions by suit on the judgment or in any other manner provided by law.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8"/>
        <w:spacing w:after="0" w:line="258" w:lineRule="auto"/>
        <w:tabs>
          <w:tab w:leader="none" w:pos="7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Each of the Company and the Undersigned (on behalf of itself and each Exchanging Investor)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8. Each of the Company and the Undersigned (on behalf of itself and each Exchanging Investor) irrevocably waives, to the fullest extent permitted by law, the defense of an inconvenient forum to the maintenance of such action or proceeding in any such court.</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6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of the Company and the Undersigned (on behalf of itself and each Exchanging Investor) irrevocably consents to service of process in the manner provided for notices in Section 11. Nothing in this Agreement will affect the right of the Company or the Undersigned (on behalf of itself and each Exchanging Investor) to serve process in any other manner permitted by law.</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7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to the Company provided for herein shall be in writing and shall be deemed to have been duly given if delivered personally, sent by prepaid overnight courier (providing written proof of delivery) or sent by confirmed facsimile transmission or electronic mail and will be deemed given on the date so delivered (or, if such day is not a business day, on the first subsequent business day) to the following addresses, or in the case of the Undersigned and each Exchanging Investor, the address provided on its signature page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to this Exchange Agreement (or such other address as the Company or the Undersigned shall have specified by notice in writing to the other):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Helix Energy Solutions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3505 West Sam Houston Parkway North, Suite 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77043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Erik Staffeldt; Ken Neikirk; Brent Arriaga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estaffeldt@helixesg.com; kneikirk@helixesg.com; barriaga@helixesg.com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Baker Botts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910 Louisiana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Travis J. Wofford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travis.wofford@bakerbotts.com</w:t>
      </w:r>
    </w:p>
    <w:p>
      <w:pPr>
        <w:spacing w:after="0" w:line="207" w:lineRule="exact"/>
        <w:rPr>
          <w:sz w:val="20"/>
          <w:szCs w:val="20"/>
          <w:color w:val="auto"/>
        </w:rPr>
      </w:pPr>
    </w:p>
    <w:p>
      <w:pPr>
        <w:jc w:val="both"/>
        <w:ind w:firstLine="8"/>
        <w:spacing w:after="0" w:line="256" w:lineRule="auto"/>
        <w:tabs>
          <w:tab w:leader="none" w:pos="7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provisions of this Agreement shall be binding upon and accrue to the benefit of the Company, the Undersigned and each Exchanging Investor and their respective heirs, legal representatives, successors and assigns. This Agreement constitutes the entire agreement between the Company, the Undersigned and each Exchanging Investor with respect to the subject matters hereof. This Agreement may be executed by one or more of the parties hereto in any number of separate counterparts (including by facsimile or other electronic means, including telecopy, email or otherwise), and all of said counterparts taken together shall be deemed to constitute one and the same instrument. Delivery of an executed signature page of this Agreement by facsimile or other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or “tif” format) shall be effective as delivery of a manually executed counterpart hereof.</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8"/>
        <w:spacing w:after="0" w:line="266" w:lineRule="auto"/>
        <w:tabs>
          <w:tab w:leader="none" w:pos="7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Changes</w:t>
      </w:r>
      <w:r>
        <w:rPr>
          <w:rFonts w:ascii="Times New Roman" w:cs="Times New Roman" w:eastAsia="Times New Roman" w:hAnsi="Times New Roman"/>
          <w:sz w:val="18"/>
          <w:szCs w:val="18"/>
          <w:color w:val="auto"/>
        </w:rPr>
        <w:t>. After the date of this Agreement, each of the Company and the Investor hereby covenants and agrees to notify the other upon the occurrence of any event prior to the Closing of the Exchange pursuant to this Agreement that would cause any representation, warranty or covenant of the Company or the Investor, as the case may be, contained in this Agreement to be false or incorrect.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7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Placement Agent</w:t>
      </w:r>
      <w:r>
        <w:rPr>
          <w:rFonts w:ascii="Times New Roman" w:cs="Times New Roman" w:eastAsia="Times New Roman" w:hAnsi="Times New Roman"/>
          <w:sz w:val="18"/>
          <w:szCs w:val="18"/>
          <w:color w:val="auto"/>
        </w:rPr>
        <w:t>. Placement Agent may rely on each representation and warranty of the Company and the Investor made herein or pursuant to the terms hereof with the same force and effect as if such representation or warranty were made directly to such Placement Agent. Placement Agent shall be a third-party beneficiary of this Agreement to the extent provided in this Section 14.</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9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(in whole or in part)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8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the Company and the Investor contained in this Agreement or made by or on behalf of the Exchanging Investors pursuant to this Agreement shall survive the consummation of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8"/>
        <w:spacing w:after="0" w:line="255" w:lineRule="auto"/>
        <w:tabs>
          <w:tab w:leader="none" w:pos="7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transactions contemplated hereby abandoned (a) by mutual agreement of the Company and the Investor in writing or (b) by either the Company or the Investor if the conditions to such party’s obligations set forth herein have not been satisfied (unless waived by the party entitled to the benefit thereof), and the Closing has not occurred on or before December 31, 2023 without liability of either the Company or the Investor or the Exchanging Investors,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Company nor the Investor shall be released from liability hereunder if the Agreement is terminated and the transactions abandoned by reason of the failure of such person, as the case may be, to have performed its obligations hereunder. Except as provided above, if this Agreement is terminated and the transactions contemplated hereby are not concluded as described above, the Agreement will become void and of no further force and effect.</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7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r>
        <w:rPr>
          <w:rFonts w:ascii="Times New Roman" w:cs="Times New Roman" w:eastAsia="Times New Roman" w:hAnsi="Times New Roman"/>
          <w:sz w:val="18"/>
          <w:szCs w:val="18"/>
          <w:color w:val="auto"/>
        </w:rPr>
        <w:t>. The Company and its agents shall be entitled to deduct and withhold from any consideration payable pursuant to this Agreement such amounts as may be required (as determined by the Company in good faith) to be deducted or withheld under applicable law. Without limiting the generality of the foregoing, in the event that any Exchanging Investor:</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8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 (as defined in Section 7701(a)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such Exchanging Investor shall deliver to the Company, at least two (2) business days prior to Closing, an accurately completed and duly executed IRS Form W-9 certifying that such Exchanging Investor is exempt from backup withholding or</w:t>
      </w:r>
    </w:p>
    <w:p>
      <w:pPr>
        <w:spacing w:after="0" w:line="174" w:lineRule="exact"/>
        <w:rPr>
          <w:rFonts w:ascii="Times New Roman" w:cs="Times New Roman" w:eastAsia="Times New Roman" w:hAnsi="Times New Roman"/>
          <w:sz w:val="18"/>
          <w:szCs w:val="18"/>
          <w:color w:val="auto"/>
        </w:rPr>
      </w:pPr>
    </w:p>
    <w:p>
      <w:pPr>
        <w:ind w:firstLine="656"/>
        <w:spacing w:after="0" w:line="282" w:lineRule="auto"/>
        <w:tabs>
          <w:tab w:leader="none" w:pos="9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“United States person” (as defined in Section 7701(a) of the Code), such Exchanging Investor shall deliver to the Company, at least two (2) business days prior to Closing, either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an Exchanging Investor that is the beneficial owner of the Notes, (A) a completed and duly executed IRS Form W-8BEN, IRS Form W-8ECI or W-8BEN-E, as applicable, attesting to such Exchanging Investor’s foreign status and certain other information, including information establishing any exemption from withholding under Sections 1471 through 1474 of the Code (the “</w:t>
      </w:r>
      <w:r>
        <w:rPr>
          <w:rFonts w:ascii="Times New Roman" w:cs="Times New Roman" w:eastAsia="Times New Roman" w:hAnsi="Times New Roman"/>
          <w:sz w:val="18"/>
          <w:szCs w:val="18"/>
          <w:b w:val="1"/>
          <w:bCs w:val="1"/>
          <w:color w:val="auto"/>
        </w:rPr>
        <w:t>Foreign Attestations</w:t>
      </w:r>
      <w:r>
        <w:rPr>
          <w:rFonts w:ascii="Times New Roman" w:cs="Times New Roman" w:eastAsia="Times New Roman" w:hAnsi="Times New Roman"/>
          <w:sz w:val="18"/>
          <w:szCs w:val="18"/>
          <w:color w:val="auto"/>
        </w:rPr>
        <w:t xml:space="preserve">”) and (B) a Form of Tax Certificate, if applicable,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left="660" w:firstLine="644"/>
        <w:spacing w:after="0" w:line="258" w:lineRule="auto"/>
        <w:tabs>
          <w:tab w:leader="none" w:pos="15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such an Exchanging Investor that is not the beneficial owner of the Notes, (A) a completed and duly executed IRS Form W-8IMY accompanied by one of the following forms from each of its partners/members: (x) an IRS Form W-8BEN, IRS Form W-8ECI or IRS Form W-8BEN-E, as applicable, attesting to the Foreign Attestations or an IRS Form W-9, or (y) an IRS Form W-8IMY accompanied by an IRS Form W-8BEN, IRS Form W-8ECI or IRS Form W-8BEN-E, as applicable, attesting to the Foreign Attestations or an IRS Form W-9, and (z) a Form of Tax Certificate, if applicable,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any amounts are withheld and remitted to the appropriate taxing authority (including, for the avoidance of doubt, due to the failure of an Exchanging Investor to comply with the obligations set forth in this Section 19), such amounts shall be treated for all purposes of this Agreement as having been paid to the applicable Exchanging Investor to whom such amounts otherwise would have been paid. If the Company or its agents had a duty to withhold taxes or other amounts under applicable law in connection with any payment or delivery made to the applicable Exchanging Investor under this Agreement due to the failure of such Exchanging Investor to provide the properly completed tax forms under this Section 19, but the Company or its agent failed to withhold and such taxes or other amounts were assessed against and paid by the Company or its agent, then such Exchanging Investor will indemnify and hold harmless the Company or its agent, as applicable, from and against such taxes or other amounts (including interest and penalties). Any forms, certificates and other documents required to be delivered to the Company pursuant to this Section 19 shall be delivered via electronic mail to each of the individuals at the Company named in Section 12 at least two (2) business days prior to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HELIX ENERGY SOLUTIONS GROUP, INC.</w:t>
      </w:r>
    </w:p>
    <w:p>
      <w:pPr>
        <w:spacing w:after="0" w:line="24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-127635</wp:posOffset>
            </wp:positionV>
            <wp:extent cx="33604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agreement between the Company and the Investor by signing in the space provided below for that purpose.</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capacity as described in the first paragraph hereof</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-127635</wp:posOffset>
            </wp:positionV>
            <wp:extent cx="3360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Exchanging Investor Information</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680" w:type="dxa"/>
            <w:vAlign w:val="bottom"/>
            <w:tcBorders>
              <w:top w:val="single" w:sz="8" w:color="auto"/>
              <w:left w:val="single" w:sz="8" w:color="auto"/>
            </w:tcBorders>
            <w:shd w:val="clear" w:color="auto" w:fill="8EAADB"/>
          </w:tcPr>
          <w:p>
            <w:pPr>
              <w:spacing w:after="0"/>
              <w:rPr>
                <w:sz w:val="17"/>
                <w:szCs w:val="17"/>
                <w:color w:val="auto"/>
              </w:rPr>
            </w:pPr>
          </w:p>
        </w:tc>
        <w:tc>
          <w:tcPr>
            <w:tcW w:w="1500" w:type="dxa"/>
            <w:vAlign w:val="bottom"/>
            <w:tcBorders>
              <w:top w:val="single" w:sz="8" w:color="auto"/>
            </w:tcBorders>
            <w:shd w:val="clear" w:color="auto" w:fill="8EAADB"/>
          </w:tcPr>
          <w:p>
            <w:pPr>
              <w:spacing w:after="0"/>
              <w:rPr>
                <w:sz w:val="17"/>
                <w:szCs w:val="17"/>
                <w:color w:val="auto"/>
              </w:rPr>
            </w:pPr>
          </w:p>
        </w:tc>
        <w:tc>
          <w:tcPr>
            <w:tcW w:w="660" w:type="dxa"/>
            <w:vAlign w:val="bottom"/>
            <w:tcBorders>
              <w:top w:val="single" w:sz="8" w:color="auto"/>
              <w:right w:val="single" w:sz="8" w:color="auto"/>
            </w:tcBorders>
            <w:shd w:val="clear" w:color="auto" w:fill="8EAADB"/>
          </w:tcPr>
          <w:p>
            <w:pPr>
              <w:spacing w:after="0"/>
              <w:rPr>
                <w:sz w:val="17"/>
                <w:szCs w:val="17"/>
                <w:color w:val="auto"/>
              </w:rPr>
            </w:pPr>
          </w:p>
        </w:tc>
        <w:tc>
          <w:tcPr>
            <w:tcW w:w="580" w:type="dxa"/>
            <w:vAlign w:val="bottom"/>
            <w:tcBorders>
              <w:top w:val="single" w:sz="8" w:color="auto"/>
            </w:tcBorders>
            <w:shd w:val="clear" w:color="auto" w:fill="8EAADB"/>
          </w:tcPr>
          <w:p>
            <w:pPr>
              <w:spacing w:after="0"/>
              <w:rPr>
                <w:sz w:val="17"/>
                <w:szCs w:val="17"/>
                <w:color w:val="auto"/>
              </w:rPr>
            </w:pPr>
          </w:p>
        </w:tc>
        <w:tc>
          <w:tcPr>
            <w:tcW w:w="100" w:type="dxa"/>
            <w:vAlign w:val="bottom"/>
            <w:tcBorders>
              <w:top w:val="single" w:sz="8" w:color="auto"/>
            </w:tcBorders>
            <w:shd w:val="clear" w:color="auto" w:fill="8EAADB"/>
          </w:tcPr>
          <w:p>
            <w:pPr>
              <w:spacing w:after="0"/>
              <w:rPr>
                <w:sz w:val="17"/>
                <w:szCs w:val="17"/>
                <w:color w:val="auto"/>
              </w:rPr>
            </w:pPr>
          </w:p>
        </w:tc>
        <w:tc>
          <w:tcPr>
            <w:tcW w:w="1440" w:type="dxa"/>
            <w:vAlign w:val="bottom"/>
            <w:tcBorders>
              <w:top w:val="single" w:sz="8" w:color="auto"/>
            </w:tcBorders>
            <w:gridSpan w:val="3"/>
            <w:shd w:val="clear" w:color="auto" w:fill="8EAADB"/>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Aggregate Principal</w:t>
            </w:r>
          </w:p>
        </w:tc>
        <w:tc>
          <w:tcPr>
            <w:tcW w:w="700" w:type="dxa"/>
            <w:vAlign w:val="bottom"/>
            <w:tcBorders>
              <w:top w:val="single" w:sz="8" w:color="auto"/>
              <w:right w:val="single" w:sz="8" w:color="auto"/>
            </w:tcBorders>
            <w:gridSpan w:val="2"/>
            <w:shd w:val="clear" w:color="auto" w:fill="8EAADB"/>
          </w:tcPr>
          <w:p>
            <w:pPr>
              <w:spacing w:after="0"/>
              <w:rPr>
                <w:sz w:val="17"/>
                <w:szCs w:val="17"/>
                <w:color w:val="auto"/>
              </w:rPr>
            </w:pPr>
          </w:p>
        </w:tc>
        <w:tc>
          <w:tcPr>
            <w:tcW w:w="660" w:type="dxa"/>
            <w:vAlign w:val="bottom"/>
            <w:tcBorders>
              <w:top w:val="single" w:sz="8" w:color="auto"/>
            </w:tcBorders>
            <w:shd w:val="clear" w:color="auto" w:fill="8EAADB"/>
          </w:tcPr>
          <w:p>
            <w:pPr>
              <w:spacing w:after="0"/>
              <w:rPr>
                <w:sz w:val="17"/>
                <w:szCs w:val="17"/>
                <w:color w:val="auto"/>
              </w:rPr>
            </w:pPr>
          </w:p>
        </w:tc>
        <w:tc>
          <w:tcPr>
            <w:tcW w:w="2120" w:type="dxa"/>
            <w:vAlign w:val="bottom"/>
            <w:tcBorders>
              <w:top w:val="single" w:sz="8" w:color="auto"/>
              <w:right w:val="single" w:sz="8" w:color="auto"/>
            </w:tcBorders>
            <w:gridSpan w:val="2"/>
            <w:shd w:val="clear" w:color="auto" w:fill="8EAADB"/>
          </w:tcPr>
          <w:p>
            <w:pPr>
              <w:spacing w:after="0" w:line="202" w:lineRule="exact"/>
              <w:rPr>
                <w:sz w:val="20"/>
                <w:szCs w:val="20"/>
                <w:color w:val="auto"/>
              </w:rPr>
            </w:pPr>
            <w:r>
              <w:rPr>
                <w:rFonts w:ascii="Times New Roman" w:cs="Times New Roman" w:eastAsia="Times New Roman" w:hAnsi="Times New Roman"/>
                <w:sz w:val="18"/>
                <w:szCs w:val="18"/>
                <w:color w:val="auto"/>
              </w:rPr>
              <w:t>Cash Consideration</w:t>
            </w:r>
          </w:p>
        </w:tc>
        <w:tc>
          <w:tcPr>
            <w:tcW w:w="2800" w:type="dxa"/>
            <w:vAlign w:val="bottom"/>
            <w:tcBorders>
              <w:top w:val="single" w:sz="8" w:color="auto"/>
              <w:right w:val="single" w:sz="8" w:color="auto"/>
            </w:tcBorders>
            <w:gridSpan w:val="3"/>
            <w:shd w:val="clear" w:color="auto" w:fill="8EAADB"/>
          </w:tcPr>
          <w:p>
            <w:pPr>
              <w:ind w:left="1140"/>
              <w:spacing w:after="0" w:line="202" w:lineRule="exact"/>
              <w:rPr>
                <w:sz w:val="20"/>
                <w:szCs w:val="20"/>
                <w:color w:val="auto"/>
              </w:rPr>
            </w:pPr>
            <w:r>
              <w:rPr>
                <w:rFonts w:ascii="Times New Roman" w:cs="Times New Roman" w:eastAsia="Times New Roman" w:hAnsi="Times New Roman"/>
                <w:sz w:val="18"/>
                <w:szCs w:val="18"/>
                <w:color w:val="auto"/>
              </w:rPr>
              <w:t>Shares</w:t>
            </w:r>
          </w:p>
        </w:tc>
      </w:tr>
      <w:tr>
        <w:trPr>
          <w:trHeight w:val="20"/>
        </w:trPr>
        <w:tc>
          <w:tcPr>
            <w:tcW w:w="680" w:type="dxa"/>
            <w:vAlign w:val="bottom"/>
            <w:tcBorders>
              <w:left w:val="single" w:sz="8" w:color="auto"/>
            </w:tcBorders>
            <w:shd w:val="clear" w:color="auto" w:fill="8EAADB"/>
          </w:tcPr>
          <w:p>
            <w:pPr>
              <w:spacing w:after="0" w:line="20" w:lineRule="exact"/>
              <w:rPr>
                <w:sz w:val="1"/>
                <w:szCs w:val="1"/>
                <w:color w:val="auto"/>
              </w:rPr>
            </w:pPr>
          </w:p>
        </w:tc>
        <w:tc>
          <w:tcPr>
            <w:tcW w:w="2160" w:type="dxa"/>
            <w:vAlign w:val="bottom"/>
            <w:tcBorders>
              <w:right w:val="single" w:sz="8" w:color="auto"/>
            </w:tcBorders>
            <w:gridSpan w:val="2"/>
            <w:shd w:val="clear" w:color="auto" w:fill="8EAADB"/>
          </w:tcPr>
          <w:p>
            <w:pPr>
              <w:spacing w:after="0" w:line="20" w:lineRule="exact"/>
              <w:rPr>
                <w:sz w:val="1"/>
                <w:szCs w:val="1"/>
                <w:color w:val="auto"/>
              </w:rPr>
            </w:pPr>
          </w:p>
        </w:tc>
        <w:tc>
          <w:tcPr>
            <w:tcW w:w="580" w:type="dxa"/>
            <w:vAlign w:val="bottom"/>
            <w:shd w:val="clear" w:color="auto" w:fill="8EAADB"/>
          </w:tcPr>
          <w:p>
            <w:pPr>
              <w:spacing w:after="0" w:line="20" w:lineRule="exact"/>
              <w:rPr>
                <w:sz w:val="1"/>
                <w:szCs w:val="1"/>
                <w:color w:val="auto"/>
              </w:rPr>
            </w:pPr>
          </w:p>
        </w:tc>
        <w:tc>
          <w:tcPr>
            <w:tcW w:w="100" w:type="dxa"/>
            <w:vAlign w:val="bottom"/>
            <w:shd w:val="clear" w:color="auto" w:fill="8EAADB"/>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8EAADB"/>
          </w:tcPr>
          <w:p>
            <w:pPr>
              <w:spacing w:after="0" w:line="20" w:lineRule="exact"/>
              <w:rPr>
                <w:sz w:val="1"/>
                <w:szCs w:val="1"/>
                <w:color w:val="auto"/>
              </w:rPr>
            </w:pPr>
          </w:p>
        </w:tc>
        <w:tc>
          <w:tcPr>
            <w:tcW w:w="620" w:type="dxa"/>
            <w:vAlign w:val="bottom"/>
            <w:tcBorders>
              <w:right w:val="single" w:sz="8" w:color="auto"/>
            </w:tcBorders>
            <w:shd w:val="clear" w:color="auto" w:fill="8EAADB"/>
          </w:tcPr>
          <w:p>
            <w:pPr>
              <w:spacing w:after="0" w:line="20" w:lineRule="exact"/>
              <w:rPr>
                <w:sz w:val="1"/>
                <w:szCs w:val="1"/>
                <w:color w:val="auto"/>
              </w:rPr>
            </w:pPr>
          </w:p>
        </w:tc>
        <w:tc>
          <w:tcPr>
            <w:tcW w:w="660" w:type="dxa"/>
            <w:vAlign w:val="bottom"/>
            <w:shd w:val="clear" w:color="auto" w:fill="8EAADB"/>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8EAADB"/>
          </w:tcPr>
          <w:p>
            <w:pPr>
              <w:spacing w:after="0" w:line="20" w:lineRule="exact"/>
              <w:rPr>
                <w:sz w:val="1"/>
                <w:szCs w:val="1"/>
                <w:color w:val="auto"/>
              </w:rPr>
            </w:pPr>
          </w:p>
        </w:tc>
        <w:tc>
          <w:tcPr>
            <w:tcW w:w="1140" w:type="dxa"/>
            <w:vAlign w:val="bottom"/>
            <w:shd w:val="clear" w:color="auto" w:fill="8EAADB"/>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8EAADB"/>
          </w:tcPr>
          <w:p>
            <w:pPr>
              <w:spacing w:after="0" w:line="20" w:lineRule="exact"/>
              <w:rPr>
                <w:sz w:val="1"/>
                <w:szCs w:val="1"/>
                <w:color w:val="auto"/>
              </w:rPr>
            </w:pPr>
          </w:p>
        </w:tc>
      </w:tr>
      <w:tr>
        <w:trPr>
          <w:trHeight w:val="196"/>
        </w:trPr>
        <w:tc>
          <w:tcPr>
            <w:tcW w:w="680" w:type="dxa"/>
            <w:vAlign w:val="bottom"/>
            <w:tcBorders>
              <w:left w:val="single" w:sz="8" w:color="auto"/>
            </w:tcBorders>
            <w:shd w:val="clear" w:color="auto" w:fill="8EAADB"/>
          </w:tcPr>
          <w:p>
            <w:pPr>
              <w:spacing w:after="0"/>
              <w:rPr>
                <w:sz w:val="17"/>
                <w:szCs w:val="17"/>
                <w:color w:val="auto"/>
              </w:rPr>
            </w:pPr>
          </w:p>
        </w:tc>
        <w:tc>
          <w:tcPr>
            <w:tcW w:w="1500" w:type="dxa"/>
            <w:vAlign w:val="bottom"/>
            <w:shd w:val="clear" w:color="auto" w:fill="8EAADB"/>
          </w:tcPr>
          <w:p>
            <w:pPr>
              <w:spacing w:after="0" w:line="196" w:lineRule="exact"/>
              <w:rPr>
                <w:sz w:val="20"/>
                <w:szCs w:val="20"/>
                <w:color w:val="auto"/>
              </w:rPr>
            </w:pPr>
            <w:r>
              <w:rPr>
                <w:rFonts w:ascii="Times New Roman" w:cs="Times New Roman" w:eastAsia="Times New Roman" w:hAnsi="Times New Roman"/>
                <w:sz w:val="18"/>
                <w:szCs w:val="18"/>
                <w:color w:val="auto"/>
                <w:w w:val="98"/>
              </w:rPr>
              <w:t>Exchanging Investor</w:t>
            </w:r>
          </w:p>
        </w:tc>
        <w:tc>
          <w:tcPr>
            <w:tcW w:w="660" w:type="dxa"/>
            <w:vAlign w:val="bottom"/>
            <w:tcBorders>
              <w:right w:val="single" w:sz="8" w:color="auto"/>
            </w:tcBorders>
            <w:shd w:val="clear" w:color="auto" w:fill="8EAADB"/>
          </w:tcPr>
          <w:p>
            <w:pPr>
              <w:spacing w:after="0"/>
              <w:rPr>
                <w:sz w:val="17"/>
                <w:szCs w:val="17"/>
                <w:color w:val="auto"/>
              </w:rPr>
            </w:pPr>
          </w:p>
        </w:tc>
        <w:tc>
          <w:tcPr>
            <w:tcW w:w="2820" w:type="dxa"/>
            <w:vAlign w:val="bottom"/>
            <w:tcBorders>
              <w:right w:val="single" w:sz="8" w:color="auto"/>
            </w:tcBorders>
            <w:gridSpan w:val="7"/>
            <w:shd w:val="clear" w:color="auto" w:fill="8EAADB"/>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w w:val="99"/>
              </w:rPr>
              <w:t>Amount of Exchanged</w:t>
            </w:r>
          </w:p>
        </w:tc>
        <w:tc>
          <w:tcPr>
            <w:tcW w:w="660" w:type="dxa"/>
            <w:vAlign w:val="bottom"/>
            <w:shd w:val="clear" w:color="auto" w:fill="8EAADB"/>
          </w:tcPr>
          <w:p>
            <w:pPr>
              <w:spacing w:after="0"/>
              <w:rPr>
                <w:sz w:val="17"/>
                <w:szCs w:val="17"/>
                <w:color w:val="auto"/>
              </w:rPr>
            </w:pPr>
          </w:p>
        </w:tc>
        <w:tc>
          <w:tcPr>
            <w:tcW w:w="1420" w:type="dxa"/>
            <w:vAlign w:val="bottom"/>
            <w:shd w:val="clear" w:color="auto" w:fill="8EAADB"/>
          </w:tcPr>
          <w:p>
            <w:pPr>
              <w:spacing w:after="0"/>
              <w:rPr>
                <w:sz w:val="17"/>
                <w:szCs w:val="17"/>
                <w:color w:val="auto"/>
              </w:rPr>
            </w:pPr>
          </w:p>
        </w:tc>
        <w:tc>
          <w:tcPr>
            <w:tcW w:w="700" w:type="dxa"/>
            <w:vAlign w:val="bottom"/>
            <w:tcBorders>
              <w:right w:val="single" w:sz="8" w:color="auto"/>
            </w:tcBorders>
            <w:shd w:val="clear" w:color="auto" w:fill="8EAADB"/>
          </w:tcPr>
          <w:p>
            <w:pPr>
              <w:spacing w:after="0"/>
              <w:rPr>
                <w:sz w:val="17"/>
                <w:szCs w:val="17"/>
                <w:color w:val="auto"/>
              </w:rPr>
            </w:pPr>
          </w:p>
        </w:tc>
        <w:tc>
          <w:tcPr>
            <w:tcW w:w="1140" w:type="dxa"/>
            <w:vAlign w:val="bottom"/>
            <w:shd w:val="clear" w:color="auto" w:fill="8EAADB"/>
          </w:tcPr>
          <w:p>
            <w:pPr>
              <w:spacing w:after="0"/>
              <w:rPr>
                <w:sz w:val="17"/>
                <w:szCs w:val="17"/>
                <w:color w:val="auto"/>
              </w:rPr>
            </w:pPr>
          </w:p>
        </w:tc>
        <w:tc>
          <w:tcPr>
            <w:tcW w:w="480" w:type="dxa"/>
            <w:vAlign w:val="bottom"/>
            <w:shd w:val="clear" w:color="auto" w:fill="8EAADB"/>
          </w:tcPr>
          <w:p>
            <w:pPr>
              <w:spacing w:after="0"/>
              <w:rPr>
                <w:sz w:val="17"/>
                <w:szCs w:val="17"/>
                <w:color w:val="auto"/>
              </w:rPr>
            </w:pPr>
          </w:p>
        </w:tc>
        <w:tc>
          <w:tcPr>
            <w:tcW w:w="1180" w:type="dxa"/>
            <w:vAlign w:val="bottom"/>
            <w:tcBorders>
              <w:right w:val="single" w:sz="8" w:color="auto"/>
            </w:tcBorders>
            <w:shd w:val="clear" w:color="auto" w:fill="8EAADB"/>
          </w:tcPr>
          <w:p>
            <w:pPr>
              <w:spacing w:after="0"/>
              <w:rPr>
                <w:sz w:val="17"/>
                <w:szCs w:val="17"/>
                <w:color w:val="auto"/>
              </w:rPr>
            </w:pPr>
          </w:p>
        </w:tc>
      </w:tr>
      <w:tr>
        <w:trPr>
          <w:trHeight w:val="243"/>
        </w:trPr>
        <w:tc>
          <w:tcPr>
            <w:tcW w:w="680" w:type="dxa"/>
            <w:vAlign w:val="bottom"/>
            <w:tcBorders>
              <w:top w:val="single" w:sz="8" w:color="8EAADB"/>
              <w:left w:val="single" w:sz="8" w:color="auto"/>
              <w:bottom w:val="single" w:sz="8" w:color="auto"/>
            </w:tcBorders>
            <w:shd w:val="clear" w:color="auto" w:fill="8EAADB"/>
          </w:tcPr>
          <w:p>
            <w:pPr>
              <w:spacing w:after="0"/>
              <w:rPr>
                <w:sz w:val="21"/>
                <w:szCs w:val="21"/>
                <w:color w:val="auto"/>
              </w:rPr>
            </w:pPr>
          </w:p>
        </w:tc>
        <w:tc>
          <w:tcPr>
            <w:tcW w:w="1500" w:type="dxa"/>
            <w:vAlign w:val="bottom"/>
            <w:tcBorders>
              <w:top w:val="single" w:sz="8" w:color="auto"/>
              <w:bottom w:val="single" w:sz="8" w:color="auto"/>
            </w:tcBorders>
            <w:shd w:val="clear" w:color="auto" w:fill="8EAADB"/>
          </w:tcPr>
          <w:p>
            <w:pPr>
              <w:spacing w:after="0"/>
              <w:rPr>
                <w:sz w:val="21"/>
                <w:szCs w:val="21"/>
                <w:color w:val="auto"/>
              </w:rPr>
            </w:pPr>
          </w:p>
        </w:tc>
        <w:tc>
          <w:tcPr>
            <w:tcW w:w="660" w:type="dxa"/>
            <w:vAlign w:val="bottom"/>
            <w:tcBorders>
              <w:top w:val="single" w:sz="8" w:color="8EAADB"/>
              <w:bottom w:val="single" w:sz="8" w:color="auto"/>
              <w:right w:val="single" w:sz="8" w:color="auto"/>
            </w:tcBorders>
            <w:shd w:val="clear" w:color="auto" w:fill="8EAADB"/>
          </w:tcPr>
          <w:p>
            <w:pPr>
              <w:spacing w:after="0"/>
              <w:rPr>
                <w:sz w:val="21"/>
                <w:szCs w:val="21"/>
                <w:color w:val="auto"/>
              </w:rPr>
            </w:pPr>
          </w:p>
        </w:tc>
        <w:tc>
          <w:tcPr>
            <w:tcW w:w="580" w:type="dxa"/>
            <w:vAlign w:val="bottom"/>
            <w:tcBorders>
              <w:top w:val="single" w:sz="8" w:color="8EAADB"/>
              <w:bottom w:val="single" w:sz="8" w:color="auto"/>
            </w:tcBorders>
            <w:shd w:val="clear" w:color="auto" w:fill="8EAADB"/>
          </w:tcPr>
          <w:p>
            <w:pPr>
              <w:spacing w:after="0"/>
              <w:rPr>
                <w:sz w:val="21"/>
                <w:szCs w:val="21"/>
                <w:color w:val="auto"/>
              </w:rPr>
            </w:pPr>
          </w:p>
        </w:tc>
        <w:tc>
          <w:tcPr>
            <w:tcW w:w="100" w:type="dxa"/>
            <w:vAlign w:val="bottom"/>
            <w:tcBorders>
              <w:top w:val="single" w:sz="8" w:color="auto"/>
              <w:bottom w:val="single" w:sz="8" w:color="auto"/>
            </w:tcBorders>
            <w:shd w:val="clear" w:color="auto" w:fill="8EAADB"/>
          </w:tcPr>
          <w:p>
            <w:pPr>
              <w:spacing w:after="0"/>
              <w:rPr>
                <w:sz w:val="21"/>
                <w:szCs w:val="21"/>
                <w:color w:val="auto"/>
              </w:rPr>
            </w:pPr>
          </w:p>
        </w:tc>
        <w:tc>
          <w:tcPr>
            <w:tcW w:w="1520" w:type="dxa"/>
            <w:vAlign w:val="bottom"/>
            <w:tcBorders>
              <w:top w:val="single" w:sz="8" w:color="auto"/>
              <w:bottom w:val="single" w:sz="8" w:color="auto"/>
            </w:tcBorders>
            <w:gridSpan w:val="4"/>
            <w:shd w:val="clear" w:color="auto" w:fill="8EAADB"/>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Notes</w:t>
            </w:r>
          </w:p>
        </w:tc>
        <w:tc>
          <w:tcPr>
            <w:tcW w:w="620" w:type="dxa"/>
            <w:vAlign w:val="bottom"/>
            <w:tcBorders>
              <w:top w:val="single" w:sz="8" w:color="8EAADB"/>
              <w:bottom w:val="single" w:sz="8" w:color="auto"/>
              <w:right w:val="single" w:sz="8" w:color="auto"/>
            </w:tcBorders>
            <w:shd w:val="clear" w:color="auto" w:fill="8EAADB"/>
          </w:tcPr>
          <w:p>
            <w:pPr>
              <w:spacing w:after="0"/>
              <w:rPr>
                <w:sz w:val="21"/>
                <w:szCs w:val="21"/>
                <w:color w:val="auto"/>
              </w:rPr>
            </w:pPr>
          </w:p>
        </w:tc>
        <w:tc>
          <w:tcPr>
            <w:tcW w:w="660" w:type="dxa"/>
            <w:vAlign w:val="bottom"/>
            <w:tcBorders>
              <w:top w:val="single" w:sz="8" w:color="8EAADB"/>
              <w:bottom w:val="single" w:sz="8" w:color="auto"/>
            </w:tcBorders>
            <w:shd w:val="clear" w:color="auto" w:fill="8EAADB"/>
          </w:tcPr>
          <w:p>
            <w:pPr>
              <w:spacing w:after="0"/>
              <w:rPr>
                <w:sz w:val="21"/>
                <w:szCs w:val="21"/>
                <w:color w:val="auto"/>
              </w:rPr>
            </w:pPr>
          </w:p>
        </w:tc>
        <w:tc>
          <w:tcPr>
            <w:tcW w:w="1420" w:type="dxa"/>
            <w:vAlign w:val="bottom"/>
            <w:tcBorders>
              <w:top w:val="single" w:sz="8" w:color="8EAADB"/>
              <w:bottom w:val="single" w:sz="8" w:color="auto"/>
            </w:tcBorders>
            <w:shd w:val="clear" w:color="auto" w:fill="8EAADB"/>
          </w:tcPr>
          <w:p>
            <w:pPr>
              <w:spacing w:after="0"/>
              <w:rPr>
                <w:sz w:val="21"/>
                <w:szCs w:val="21"/>
                <w:color w:val="auto"/>
              </w:rPr>
            </w:pPr>
          </w:p>
        </w:tc>
        <w:tc>
          <w:tcPr>
            <w:tcW w:w="700" w:type="dxa"/>
            <w:vAlign w:val="bottom"/>
            <w:tcBorders>
              <w:top w:val="single" w:sz="8" w:color="8EAADB"/>
              <w:bottom w:val="single" w:sz="8" w:color="auto"/>
              <w:right w:val="single" w:sz="8" w:color="auto"/>
            </w:tcBorders>
            <w:shd w:val="clear" w:color="auto" w:fill="8EAADB"/>
          </w:tcPr>
          <w:p>
            <w:pPr>
              <w:spacing w:after="0"/>
              <w:rPr>
                <w:sz w:val="21"/>
                <w:szCs w:val="21"/>
                <w:color w:val="auto"/>
              </w:rPr>
            </w:pPr>
          </w:p>
        </w:tc>
        <w:tc>
          <w:tcPr>
            <w:tcW w:w="1140" w:type="dxa"/>
            <w:vAlign w:val="bottom"/>
            <w:tcBorders>
              <w:top w:val="single" w:sz="8" w:color="8EAADB"/>
              <w:bottom w:val="single" w:sz="8" w:color="auto"/>
            </w:tcBorders>
            <w:shd w:val="clear" w:color="auto" w:fill="8EAADB"/>
          </w:tcPr>
          <w:p>
            <w:pPr>
              <w:spacing w:after="0"/>
              <w:rPr>
                <w:sz w:val="21"/>
                <w:szCs w:val="21"/>
                <w:color w:val="auto"/>
              </w:rPr>
            </w:pPr>
          </w:p>
        </w:tc>
        <w:tc>
          <w:tcPr>
            <w:tcW w:w="480" w:type="dxa"/>
            <w:vAlign w:val="bottom"/>
            <w:tcBorders>
              <w:top w:val="single" w:sz="8" w:color="8EAADB"/>
              <w:bottom w:val="single" w:sz="8" w:color="auto"/>
            </w:tcBorders>
            <w:shd w:val="clear" w:color="auto" w:fill="8EAADB"/>
          </w:tcPr>
          <w:p>
            <w:pPr>
              <w:spacing w:after="0"/>
              <w:rPr>
                <w:sz w:val="21"/>
                <w:szCs w:val="21"/>
                <w:color w:val="auto"/>
              </w:rPr>
            </w:pPr>
          </w:p>
        </w:tc>
        <w:tc>
          <w:tcPr>
            <w:tcW w:w="1180" w:type="dxa"/>
            <w:vAlign w:val="bottom"/>
            <w:tcBorders>
              <w:top w:val="single" w:sz="8" w:color="8EAADB"/>
              <w:bottom w:val="single" w:sz="8" w:color="auto"/>
              <w:right w:val="single" w:sz="8" w:color="auto"/>
            </w:tcBorders>
            <w:shd w:val="clear" w:color="auto" w:fill="8EAADB"/>
          </w:tcPr>
          <w:p>
            <w:pPr>
              <w:spacing w:after="0"/>
              <w:rPr>
                <w:sz w:val="21"/>
                <w:szCs w:val="21"/>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r>
    </w:tbl>
    <w:p>
      <w:pPr>
        <w:spacing w:after="0" w:line="19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Cash Consideration deliverable at Closing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Consideration </w:t>
      </w:r>
      <w:r>
        <w:rPr>
          <w:rFonts w:ascii="Times New Roman" w:cs="Times New Roman" w:eastAsia="Times New Roman" w:hAnsi="Times New Roman"/>
          <w:sz w:val="18"/>
          <w:szCs w:val="18"/>
          <w:color w:val="auto"/>
        </w:rPr>
        <w:t>= the Total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Value</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Value </w:t>
      </w:r>
      <w:r>
        <w:rPr>
          <w:rFonts w:ascii="Times New Roman" w:cs="Times New Roman" w:eastAsia="Times New Roman" w:hAnsi="Times New Roman"/>
          <w:sz w:val="18"/>
          <w:szCs w:val="18"/>
          <w:color w:val="auto"/>
        </w:rPr>
        <w:t>= the product of (i) the Exchanged Note Value, plus $[the accrued and unpaid interest of one Exchanged Note to, but not including,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2023], multiplied by (ii) the Bond Factor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Shares Value </w:t>
      </w:r>
      <w:r>
        <w:rPr>
          <w:rFonts w:ascii="Times New Roman" w:cs="Times New Roman" w:eastAsia="Times New Roman" w:hAnsi="Times New Roman"/>
          <w:sz w:val="18"/>
          <w:szCs w:val="18"/>
          <w:color w:val="auto"/>
        </w:rPr>
        <w:t>= the product of (i) the number of Shares set forth above for such Exchanging Investor, multiplied by (ii) the Average VWAP</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Exchanged Note Value</w:t>
      </w:r>
      <w:r>
        <w:rPr>
          <w:rFonts w:ascii="Times New Roman" w:cs="Times New Roman" w:eastAsia="Times New Roman" w:hAnsi="Times New Roman"/>
          <w:sz w:val="18"/>
          <w:szCs w:val="18"/>
          <w:color w:val="auto"/>
        </w:rPr>
        <w:t xml:space="preserve">” = the sum of (i) $[Anchor Bond Price], plus (ii) the product (which may be a negative number) of (x) the Average VWAP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$[Anchor Stock Price], multiplied by (y) [Investor Delta], multiplied by (z) 143.3795.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-186690</wp:posOffset>
            </wp:positionV>
            <wp:extent cx="539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3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Bond Factor</w:t>
      </w:r>
      <w:r>
        <w:rPr>
          <w:rFonts w:ascii="Times New Roman" w:cs="Times New Roman" w:eastAsia="Times New Roman" w:hAnsi="Times New Roman"/>
          <w:sz w:val="18"/>
          <w:szCs w:val="18"/>
          <w:color w:val="auto"/>
        </w:rPr>
        <w:t>” = the quotient of (i) the Aggregate Principal Amount of Exchanged Notes set forth above for such Exchanging Investor, divided by (ii) $1,000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Average VWAP</w:t>
      </w:r>
      <w:r>
        <w:rPr>
          <w:rFonts w:ascii="Times New Roman" w:cs="Times New Roman" w:eastAsia="Times New Roman" w:hAnsi="Times New Roman"/>
          <w:sz w:val="18"/>
          <w:szCs w:val="18"/>
          <w:color w:val="auto"/>
        </w:rPr>
        <w:t>” = the arithmetic average of the Daily VWAPs during the Reference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above formula: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 day other than a Legal Holiday.</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xml:space="preserve">” on any date means the per share price of the Common Stock on such date, determined (i) on the basis of the closing per share sale price (or if no closing per share sale price is reported, the average of the bid and ask prices or, if more than one in either case, the average of the average bid and the average ask prices) on such date on the principal U.S. national or regional securities exchange on which shares of Common Stock are listed; or (ii) if shares of Common Stock are not listed on a U.S. national or regional securities exchange, as reported by OTC Markets Group Inc. or a similar 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absence of any such report or quotation, the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shall be the price determined by a nationally recognized independent investment banking firm retained by the Company for such purpose as most accurately reflecting the per share price that a fully informed buyer, acting on his own accord, would pay to a fully informed seller, acting on his own accord, in an arms-length transaction, for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Trading Day (as defined below) in the Reference Period, the per share volume-weighted average price of the Shares as displayed under the heading “Bloomberg VWAP” on Bloomberg page “HLX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Closing Sale Price (as defined above) on such day). The “Daily VWAP” will be determined without regard to pre- or after-hours trading or any other trading outside of the regular trading session trading hours.</w:t>
      </w:r>
    </w:p>
    <w:p>
      <w:pPr>
        <w:spacing w:after="0" w:line="17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Holiday</w:t>
      </w:r>
      <w:r>
        <w:rPr>
          <w:rFonts w:ascii="Times New Roman" w:cs="Times New Roman" w:eastAsia="Times New Roman" w:hAnsi="Times New Roman"/>
          <w:sz w:val="18"/>
          <w:szCs w:val="18"/>
          <w:color w:val="auto"/>
        </w:rPr>
        <w:t>” is a Saturday, a Sunday or a day on which banking institutions are not required to be open in the City of New York, in the State of New York. If a payment date is a Legal Holiday, payment may be made on the next succeeding day that is not a Legal Holiday, and no interest shall accrue on that payment for the intervening period.</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(i) a failure by the primary United States national or regional securities exchange or market on which shares of Common Stock or the relevant securities are listed or admitted to trading to open for trading during its regular trading session or (ii) the occurrence or existence prior to 1:00 p.m., New York City time, on any Scheduled Trading Day for shares of Common Stock or the relevant securities for more than one half-hour period in the aggregate during regular trading hours of any suspension or limitation imposed on trading (by reason of movements in price exceeding limits permitted by the relevant stock exchange or otherwise) in shares of Common Stock (or the relevant securities) or in any options contracts or future contracts relating to shares of Common Stock (or the relevant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means the period of [____] consecutive Trading Days commencing on the first Trading Day immediately after the date hereof.</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with respect to shares of Common Stock or any other security, a day that is scheduled to be a Trading Day on the primary United States national securities exchange or market on which shares of Common Stock or the relevant securities are listed or admitted for trading. If shares of Common Stock or the relevant securities are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Business Day.</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with respect to shares of Common Stock or any other security, a day during which (i) trading in shares of Common Stock or such other security generally occurs, and (ii) a Market Disruption Event has not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shares of Common Stock or such other security is not listed for trading or quotation on or by any exchange, bureau or other organization,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shall mean any Business Day.</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Exchanging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34290</wp:posOffset>
            </wp:positionV>
            <wp:extent cx="29914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for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0" w:lineRule="exact"/>
        <w:rPr>
          <w:sz w:val="20"/>
          <w:szCs w:val="20"/>
          <w:color w:val="auto"/>
        </w:rPr>
      </w:pPr>
    </w:p>
    <w:p>
      <w:pPr>
        <w:spacing w:after="0"/>
        <w:tabs>
          <w:tab w:leader="none" w:pos="680" w:val="left"/>
          <w:tab w:leader="none" w:pos="1780" w:val="left"/>
        </w:tabs>
        <w:rPr>
          <w:sz w:val="20"/>
          <w:szCs w:val="20"/>
          <w:color w:val="auto"/>
        </w:rPr>
      </w:pPr>
      <w:r>
        <w:rPr>
          <w:rFonts w:ascii="Times New Roman" w:cs="Times New Roman" w:eastAsia="Times New Roman" w:hAnsi="Times New Roman"/>
          <w:sz w:val="18"/>
          <w:szCs w:val="18"/>
          <w:color w:val="auto"/>
        </w:rPr>
        <w:t>DTC</w:t>
      </w:r>
      <w:r>
        <w:rPr>
          <w:sz w:val="20"/>
          <w:szCs w:val="20"/>
          <w:color w:val="auto"/>
        </w:rPr>
        <w:tab/>
      </w: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31" w:lineRule="exact"/>
        <w:rPr>
          <w:sz w:val="20"/>
          <w:szCs w:val="20"/>
          <w:color w:val="auto"/>
        </w:rPr>
      </w:pPr>
    </w:p>
    <w:p>
      <w:pPr>
        <w:spacing w:after="0"/>
        <w:tabs>
          <w:tab w:leader="none" w:pos="620" w:val="left"/>
          <w:tab w:leader="none" w:pos="1680" w:val="left"/>
        </w:tabs>
        <w:rPr>
          <w:sz w:val="20"/>
          <w:szCs w:val="20"/>
          <w:color w:val="auto"/>
        </w:rPr>
      </w:pPr>
      <w:r>
        <w:rPr>
          <w:rFonts w:ascii="Times New Roman" w:cs="Times New Roman" w:eastAsia="Times New Roman" w:hAnsi="Times New Roman"/>
          <w:sz w:val="18"/>
          <w:szCs w:val="18"/>
          <w:color w:val="auto"/>
        </w:rPr>
        <w:t>DTC</w:t>
        <w:tab/>
        <w:t>Participant</w:t>
        <w:tab/>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34290</wp:posOffset>
            </wp:positionV>
            <wp:extent cx="21342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for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0" w:lineRule="exact"/>
        <w:rPr>
          <w:sz w:val="20"/>
          <w:szCs w:val="20"/>
          <w:color w:val="auto"/>
        </w:rPr>
      </w:pPr>
    </w:p>
    <w:p>
      <w:pPr>
        <w:spacing w:after="0"/>
        <w:tabs>
          <w:tab w:leader="none" w:pos="680" w:val="left"/>
          <w:tab w:leader="none" w:pos="1780" w:val="left"/>
        </w:tabs>
        <w:rPr>
          <w:sz w:val="20"/>
          <w:szCs w:val="20"/>
          <w:color w:val="auto"/>
        </w:rPr>
      </w:pPr>
      <w:r>
        <w:rPr>
          <w:rFonts w:ascii="Times New Roman" w:cs="Times New Roman" w:eastAsia="Times New Roman" w:hAnsi="Times New Roman"/>
          <w:sz w:val="18"/>
          <w:szCs w:val="18"/>
          <w:color w:val="auto"/>
        </w:rPr>
        <w:t>DTC</w:t>
      </w:r>
      <w:r>
        <w:rPr>
          <w:sz w:val="20"/>
          <w:szCs w:val="20"/>
          <w:color w:val="auto"/>
        </w:rPr>
        <w:tab/>
      </w: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31" w:lineRule="exact"/>
        <w:rPr>
          <w:sz w:val="20"/>
          <w:szCs w:val="20"/>
          <w:color w:val="auto"/>
        </w:rPr>
      </w:pPr>
    </w:p>
    <w:p>
      <w:pPr>
        <w:spacing w:after="0"/>
        <w:tabs>
          <w:tab w:leader="none" w:pos="620" w:val="left"/>
          <w:tab w:leader="none" w:pos="1680" w:val="left"/>
        </w:tabs>
        <w:rPr>
          <w:sz w:val="20"/>
          <w:szCs w:val="20"/>
          <w:color w:val="auto"/>
        </w:rPr>
      </w:pPr>
      <w:r>
        <w:rPr>
          <w:rFonts w:ascii="Times New Roman" w:cs="Times New Roman" w:eastAsia="Times New Roman" w:hAnsi="Times New Roman"/>
          <w:sz w:val="18"/>
          <w:szCs w:val="18"/>
          <w:color w:val="auto"/>
        </w:rPr>
        <w:t>DTC</w:t>
        <w:tab/>
        <w:t>Participant</w:t>
        <w:tab/>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 at Bank/Broker: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21342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34290</wp:posOffset>
            </wp:positionV>
            <wp:extent cx="2134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Wire instructions for Cash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942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Address: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Routing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24942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34290</wp:posOffset>
            </wp:positionV>
            <wp:extent cx="24942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Exchanging Investor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3566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3566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34290</wp:posOffset>
            </wp:positionV>
            <wp:extent cx="24942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of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Exchange Procedures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TO INVESTOR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Attached are the Exchange Procedures for the settlement of the exchange of 6.75% Convertible Senior Notes due 2026, CUSIP 42330P AK3 (the “</w:t>
      </w:r>
      <w:r>
        <w:rPr>
          <w:rFonts w:ascii="Times New Roman" w:cs="Times New Roman" w:eastAsia="Times New Roman" w:hAnsi="Times New Roman"/>
          <w:sz w:val="18"/>
          <w:szCs w:val="18"/>
          <w:b w:val="1"/>
          <w:bCs w:val="1"/>
          <w:color w:val="auto"/>
        </w:rPr>
        <w:t>Exchanged Notes</w:t>
      </w:r>
      <w:r>
        <w:rPr>
          <w:rFonts w:ascii="Times New Roman" w:cs="Times New Roman" w:eastAsia="Times New Roman" w:hAnsi="Times New Roman"/>
          <w:sz w:val="18"/>
          <w:szCs w:val="18"/>
          <w:color w:val="auto"/>
        </w:rPr>
        <w:t>”) of Helix Energy Solutions Group, Inc., a Minnesota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the Cash Consideration and the Shares (as defined in and pursuant to the Exchange Agreement between you and the Company), which is expected to occur on or about December [●], 2023. To ensure timely settlement for the Shares, please follow the instructions as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instructions supersede any prior instructions you received. Your failure to comply with these instructions may delay your receipt of the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contact Edward Collins of J. Wood Capital Advisors LLC at 408-691-8384.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deliver Exchanged Notes: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You must post, </w:t>
      </w:r>
      <w:r>
        <w:rPr>
          <w:rFonts w:ascii="Times New Roman" w:cs="Times New Roman" w:eastAsia="Times New Roman" w:hAnsi="Times New Roman"/>
          <w:sz w:val="18"/>
          <w:szCs w:val="18"/>
          <w:b w:val="1"/>
          <w:bCs w:val="1"/>
          <w:color w:val="auto"/>
        </w:rPr>
        <w:t>no later than 9:00 a.m, New York City time</w:t>
      </w:r>
      <w:r>
        <w:rPr>
          <w:rFonts w:ascii="Times New Roman" w:cs="Times New Roman" w:eastAsia="Times New Roman" w:hAnsi="Times New Roman"/>
          <w:sz w:val="18"/>
          <w:szCs w:val="18"/>
          <w:color w:val="auto"/>
        </w:rPr>
        <w:t xml:space="preserve">, a withdrawal request for the Exchange Notes through the DTC via DWAC. </w:t>
      </w:r>
      <w:r>
        <w:rPr>
          <w:rFonts w:ascii="Times New Roman" w:cs="Times New Roman" w:eastAsia="Times New Roman" w:hAnsi="Times New Roman"/>
          <w:sz w:val="18"/>
          <w:szCs w:val="18"/>
          <w:b w:val="1"/>
          <w:bCs w:val="1"/>
          <w:color w:val="auto"/>
        </w:rPr>
        <w:t>It is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this instruction be submitted and the DWAC posted on December [●], 2023</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receive Exchange Consideration:</w:t>
      </w:r>
    </w:p>
    <w:p>
      <w:pPr>
        <w:spacing w:after="0" w:line="2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Receive Shares</w:t>
      </w:r>
      <w:r>
        <w:rPr>
          <w:rFonts w:ascii="Times New Roman" w:cs="Times New Roman" w:eastAsia="Times New Roman" w:hAnsi="Times New Roman"/>
          <w:sz w:val="18"/>
          <w:szCs w:val="18"/>
          <w:color w:val="auto"/>
        </w:rPr>
        <w:t>: You must direct your eligible DTC participant through which you wish to hold a beneficial interest in the Shares to be issued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exchange to post </w:t>
      </w:r>
      <w:r>
        <w:rPr>
          <w:rFonts w:ascii="Times New Roman" w:cs="Times New Roman" w:eastAsia="Times New Roman" w:hAnsi="Times New Roman"/>
          <w:sz w:val="18"/>
          <w:szCs w:val="18"/>
          <w:b w:val="1"/>
          <w:bCs w:val="1"/>
          <w:color w:val="auto"/>
        </w:rPr>
        <w:t>on December [●], 2023 no later than 9:00 a.m., New York City time</w:t>
      </w:r>
      <w:r>
        <w:rPr>
          <w:rFonts w:ascii="Times New Roman" w:cs="Times New Roman" w:eastAsia="Times New Roman" w:hAnsi="Times New Roman"/>
          <w:sz w:val="18"/>
          <w:szCs w:val="18"/>
          <w:color w:val="auto"/>
        </w:rPr>
        <w:t xml:space="preserve">, a one-sided deposit instruction through DTC via DWAC for the Shares deliverable in respect of the Exchanged Notes. </w:t>
      </w:r>
      <w:r>
        <w:rPr>
          <w:rFonts w:ascii="Times New Roman" w:cs="Times New Roman" w:eastAsia="Times New Roman" w:hAnsi="Times New Roman"/>
          <w:sz w:val="18"/>
          <w:szCs w:val="18"/>
          <w:b w:val="1"/>
          <w:bCs w:val="1"/>
          <w:color w:val="auto"/>
        </w:rPr>
        <w:t>It is important that this instruction be submitted and the DWAC posted on December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DTC Participant number of Equiniti Trust Company, the Transfer Agent and Registrar for the Common Stock, is: 2665.</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 Receive Cash Consideration: </w:t>
      </w:r>
      <w:r>
        <w:rPr>
          <w:rFonts w:ascii="Times New Roman" w:cs="Times New Roman" w:eastAsia="Times New Roman" w:hAnsi="Times New Roman"/>
          <w:sz w:val="18"/>
          <w:szCs w:val="18"/>
          <w:color w:val="auto"/>
        </w:rPr>
        <w:t>You must provide valid wire instructions to the Company and deliver the applicable principal amount of Exchanged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provided in the Exchange Agreement. You will then receive the Cash Consideration from the Company on the Closing Date.</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You must comply with both procedures described above in order to complete the Exchange and to receive the Cash Consideration and the Shares in respect of the Exchanged Notes.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 ● ], 2023, after the Company receives your delivery instructions as set forth above and a withdrawal request in respect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Exchanged Notes has been posted as specified above, and subject to the satisfaction of the conditions to Closing as set forth in the Exchange Agreement, the Company will deliver the applicable Exchange Consideration in respect of the Exchanged Notes in accordance with the delivery instructions above and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Interest Tax Certificate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Reference is made to the Purchase Agreement, dated as of December [●], 2023, by and between [●], for itself and on behalf of the beneficial owners listed on Exhibit A thereto, and Helix Energy Solutions Group, Inc., a Minnesota corporation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Unless otherwise defined herein, terms defined in the Agreement and used herein shall have the meanings given to them in the Agreement. [●] (the “</w:t>
      </w:r>
      <w:r>
        <w:rPr>
          <w:rFonts w:ascii="Times New Roman" w:cs="Times New Roman" w:eastAsia="Times New Roman" w:hAnsi="Times New Roman"/>
          <w:sz w:val="18"/>
          <w:szCs w:val="18"/>
          <w:b w:val="1"/>
          <w:bCs w:val="1"/>
          <w:color w:val="auto"/>
        </w:rPr>
        <w:t>Non-U.S.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providing this certificate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The Non-U.S. Holder hereby represents and warrants that:</w:t>
      </w:r>
    </w:p>
    <w:p>
      <w:pPr>
        <w:spacing w:after="0" w:line="180" w:lineRule="exact"/>
        <w:rPr>
          <w:sz w:val="20"/>
          <w:szCs w:val="20"/>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“United States person” as defined in Section 7701(a)(30)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is the sole record and beneficial owner of the Exchanged Notes in respect of which it is providing this certificate and has furnished the Company with either (x) an IRS Form W-8BEN or W-8BEN-E or (y) an IRS Form W-8IMY accompanied by one of the following forms from each of its partners/members that is claiming the portfolio interest exemption: (i) an IRS Form W-8BEN or W-8BEN-E or (ii) an IRS Form W-8IMY accompanied by an IRS Form W-8BEN or IRS Form W-8BEN-E.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(a) is not a “bank” for purposes of Section 881(c)(3)(A) of the Code, (b) is not subject to regulatory or other legal requirements as a bank in any jurisdiction, and (c) has not been treated as a bank for purposes of any tax, securities law or other filing or submission made to any Governmental Authority, any application made to a rating agency or qualification for any exemption from tax, securities law or other legal requirements.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“10-percent shareholder” of the Company within the meaning of Section 881(c)(3)(B)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receiving interest from a related person within the meaning of Section 881(c)(3)(C) of the Code.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office address is the address set forth in the applicable IRS Form W-8 provided to the Company by the Non-U.S. 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shall promptly notify the Company in writing in accordance with the Agreement if any of the representations and warranties made herein are no longer true and correct.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the foregoing representations numbered 2, 3 and 4, if the Non-U.S. Holder provided the Company with an IRS Form W-8IMY, then references to the “Non-U.S. Holder” shall be deemed to also include the Non-U.S. Holder’s direct or indirect partners/members.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1)"/>
      <w:numFmt w:val="lowerLetter"/>
      <w:start w:val="2"/>
    </w:lvl>
  </w:abstractNum>
  <w:abstractNum w:abstractNumId="3">
    <w:nsid w:val="DED7263"/>
    <w:multiLevelType w:val="hybridMultilevel"/>
    <w:lvl w:ilvl="0">
      <w:lvlJc w:val="left"/>
      <w:lvlText w:val="(%1)"/>
      <w:numFmt w:val="lowerLetter"/>
      <w:start w:val="1"/>
    </w:lvl>
    <w:lvl w:ilvl="1">
      <w:lvlJc w:val="left"/>
      <w:lvlText w:val="(%2)"/>
      <w:numFmt w:val="lowerRoman"/>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lvl w:ilvl="1">
      <w:lvlJc w:val="left"/>
      <w:lvlText w:val="o"/>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2"/>
    </w:lvl>
    <w:lvl w:ilvl="1">
      <w:lvlJc w:val="left"/>
      <w:lvlText w:val="(%2)"/>
      <w:numFmt w:val="lowerLetter"/>
      <w:start w:val="1"/>
    </w:lvl>
  </w:abstractNum>
  <w:abstractNum w:abstractNumId="9">
    <w:nsid w:val="25E45D32"/>
    <w:multiLevelType w:val="hybridMultilevel"/>
    <w:lvl w:ilvl="0">
      <w:lvlJc w:val="left"/>
      <w:lvlText w:val="%1"/>
      <w:numFmt w:val="decimal"/>
      <w:start w:val="1"/>
    </w:lvl>
    <w:lvl w:ilvl="1">
      <w:lvlJc w:val="left"/>
      <w:lvlText w:val="(%2)"/>
      <w:numFmt w:val="lowerLetter"/>
      <w:start w:val="3"/>
    </w:lvl>
  </w:abstractNum>
  <w:abstractNum w:abstractNumId="10">
    <w:nsid w:val="519B500D"/>
    <w:multiLevelType w:val="hybridMultilevel"/>
    <w:lvl w:ilvl="0">
      <w:lvlJc w:val="left"/>
      <w:lvlText w:val="%1."/>
      <w:numFmt w:val="decimal"/>
      <w:start w:val="3"/>
    </w:lvl>
    <w:lvl w:ilvl="1">
      <w:lvlJc w:val="left"/>
      <w:lvlText w:val="%2"/>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6"/>
    </w:lvl>
  </w:abstractNum>
  <w:abstractNum w:abstractNumId="13">
    <w:nsid w:val="7C83E458"/>
    <w:multiLevelType w:val="hybridMultilevel"/>
    <w:lvl w:ilvl="0">
      <w:lvlJc w:val="left"/>
      <w:lvlText w:val="(%1)"/>
      <w:numFmt w:val="lowerLetter"/>
      <w:start w:val="11"/>
    </w:lvl>
  </w:abstractNum>
  <w:abstractNum w:abstractNumId="14">
    <w:nsid w:val="257130A3"/>
    <w:multiLevelType w:val="hybridMultilevel"/>
    <w:lvl w:ilvl="0">
      <w:lvlJc w:val="left"/>
      <w:lvlText w:val="(%1)"/>
      <w:numFmt w:val="lowerLetter"/>
      <w:start w:val="16"/>
    </w:lvl>
  </w:abstractNum>
  <w:abstractNum w:abstractNumId="15">
    <w:nsid w:val="62BBD95A"/>
    <w:multiLevelType w:val="hybridMultilevel"/>
    <w:lvl w:ilvl="0">
      <w:lvlJc w:val="left"/>
      <w:lvlText w:val="(%1)"/>
      <w:numFmt w:val="lowerLetter"/>
      <w:start w:val="23"/>
    </w:lvl>
  </w:abstractNum>
  <w:abstractNum w:abstractNumId="16">
    <w:nsid w:val="436C6125"/>
    <w:multiLevelType w:val="hybridMultilevel"/>
    <w:lvl w:ilvl="0">
      <w:lvlJc w:val="left"/>
      <w:lvlText w:val="(%1)"/>
      <w:numFmt w:val="lowerLetter"/>
      <w:start w:val="27"/>
    </w:lvl>
  </w:abstractNum>
  <w:abstractNum w:abstractNumId="17">
    <w:nsid w:val="628C895D"/>
    <w:multiLevelType w:val="hybridMultilevel"/>
    <w:lvl w:ilvl="0">
      <w:lvlJc w:val="left"/>
      <w:lvlText w:val="%1"/>
      <w:numFmt w:val="decimal"/>
      <w:start w:val="1"/>
    </w:lvl>
    <w:lvl w:ilvl="1">
      <w:lvlJc w:val="left"/>
      <w:lvlText w:val="(%2)"/>
      <w:numFmt w:val="lowerLetter"/>
      <w:start w:val="28"/>
    </w:lvl>
  </w:abstractNum>
  <w:abstractNum w:abstractNumId="18">
    <w:nsid w:val="333AB105"/>
    <w:multiLevelType w:val="hybridMultilevel"/>
    <w:lvl w:ilvl="0">
      <w:lvlJc w:val="left"/>
      <w:lvlText w:val="%1."/>
      <w:numFmt w:val="decimal"/>
      <w:start w:val="4"/>
    </w:lvl>
    <w:lvl w:ilvl="1">
      <w:lvlJc w:val="left"/>
      <w:lvlText w:val="%2"/>
      <w:numFmt w:val="lowerLetter"/>
      <w:start w:val="1"/>
    </w:lvl>
  </w:abstractNum>
  <w:abstractNum w:abstractNumId="19">
    <w:nsid w:val="721DA317"/>
    <w:multiLevelType w:val="hybridMultilevel"/>
    <w:lvl w:ilvl="0">
      <w:lvlJc w:val="left"/>
      <w:lvlText w:val="%1."/>
      <w:numFmt w:val="decimal"/>
      <w:start w:val="10"/>
    </w:lvl>
  </w:abstractNum>
  <w:abstractNum w:abstractNumId="20">
    <w:nsid w:val="2443A858"/>
    <w:multiLevelType w:val="hybridMultilevel"/>
    <w:lvl w:ilvl="0">
      <w:lvlJc w:val="left"/>
      <w:lvlText w:val="%1."/>
      <w:numFmt w:val="decimal"/>
      <w:start w:val="13"/>
    </w:lvl>
  </w:abstractNum>
  <w:abstractNum w:abstractNumId="21">
    <w:nsid w:val="2D1D5AE9"/>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22">
    <w:nsid w:val="6763845E"/>
    <w:multiLevelType w:val="hybridMultilevel"/>
    <w:lvl w:ilvl="0">
      <w:lvlJc w:val="left"/>
      <w:lvlText w:val="(%1)"/>
      <w:numFmt w:val="lowerRoman"/>
      <w:start w:val="2"/>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2023-12-06T07:09:34Z</dcterms:created>
  <dcterms:modified xsi:type="dcterms:W3CDTF">2023-12-06T07:09:34Z</dcterms:modified>
</cp:coreProperties>
</file>