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5"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64"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spacing w:after="0" w:line="1"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57785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88" w:lineRule="exact"/>
        <w:rPr>
          <w:sz w:val="24"/>
          <w:szCs w:val="24"/>
          <w:color w:val="auto"/>
        </w:rPr>
      </w:pPr>
    </w:p>
    <w:tbl>
      <w:tblPr>
        <w:tblLayout w:type="fixed"/>
        <w:tblInd w:w="400" w:type="dxa"/>
        <w:tblCellMar>
          <w:top w:w="0" w:type="dxa"/>
          <w:left w:w="0" w:type="dxa"/>
          <w:bottom w:w="0" w:type="dxa"/>
          <w:right w:w="0" w:type="dxa"/>
        </w:tblCellMar>
      </w:tblPr>
      <w:tr>
        <w:trPr>
          <w:trHeight w:val="215"/>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83"/>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83"/>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2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70"/>
        </w:trPr>
        <w:tc>
          <w:tcPr>
            <w:tcW w:w="42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90"/>
        </w:trPr>
        <w:tc>
          <w:tcPr>
            <w:tcW w:w="4220" w:type="dxa"/>
            <w:vAlign w:val="bottom"/>
            <w:gridSpan w:val="3"/>
          </w:tcPr>
          <w:p>
            <w:pPr>
              <w:jc w:val="center"/>
              <w:ind w:right="420"/>
              <w:spacing w:after="0"/>
              <w:rPr>
                <w:sz w:val="20"/>
                <w:szCs w:val="20"/>
                <w:color w:val="auto"/>
              </w:rPr>
            </w:pPr>
            <w:r>
              <w:rPr>
                <w:rFonts w:ascii="Arial" w:cs="Arial" w:eastAsia="Arial" w:hAnsi="Arial"/>
                <w:sz w:val="16"/>
                <w:szCs w:val="16"/>
                <w:color w:val="auto"/>
              </w:rPr>
              <w:t>Common Stock, no par value</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color w:val="auto"/>
              </w:rPr>
              <w:t>HLX</w:t>
            </w: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2"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6" w:lineRule="exact"/>
        <w:rPr>
          <w:sz w:val="24"/>
          <w:szCs w:val="24"/>
          <w:color w:val="auto"/>
        </w:rPr>
      </w:pPr>
    </w:p>
    <w:p>
      <w:pPr>
        <w:jc w:val="both"/>
        <w:ind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3"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51"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5"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55"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5" w:right="839" w:bottom="1440" w:gutter="0" w:footer="0" w:header="0"/>
          <w:type w:val="continuous"/>
        </w:sectPr>
      </w:pPr>
    </w:p>
    <w:p>
      <w:pPr>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55"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As of October 20, 2022, 151,821,116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490855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62230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104775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0" w:type="dxa"/>
            <w:vAlign w:val="bottom"/>
            <w:gridSpan w:val="30"/>
          </w:tcPr>
          <w:p>
            <w:pPr>
              <w:spacing w:after="0"/>
              <w:rPr>
                <w:sz w:val="20"/>
                <w:szCs w:val="20"/>
                <w:color w:val="auto"/>
              </w:rPr>
            </w:pPr>
            <w:r>
              <w:rPr>
                <w:rFonts w:ascii="Arial" w:cs="Arial" w:eastAsia="Arial" w:hAnsi="Arial"/>
                <w:sz w:val="18"/>
                <w:szCs w:val="18"/>
                <w:color w:val="0000EE"/>
              </w:rPr>
              <w:t>Table of Contents</w:t>
            </w:r>
          </w:p>
        </w:tc>
        <w:tc>
          <w:tcPr>
            <w:tcW w:w="720" w:type="dxa"/>
            <w:vAlign w:val="bottom"/>
          </w:tcPr>
          <w:p>
            <w:pPr>
              <w:spacing w:after="0"/>
              <w:rPr>
                <w:sz w:val="17"/>
                <w:szCs w:val="17"/>
                <w:color w:val="auto"/>
              </w:rPr>
            </w:pPr>
          </w:p>
        </w:tc>
      </w:tr>
      <w:tr>
        <w:trPr>
          <w:trHeight w:val="560"/>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1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r>
      <w:tr>
        <w:trPr>
          <w:trHeight w:val="378"/>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680" w:type="dxa"/>
            <w:vAlign w:val="bottom"/>
            <w:gridSpan w:val="1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60" w:type="dxa"/>
            <w:vAlign w:val="bottom"/>
            <w:gridSpan w:val="25"/>
          </w:tcPr>
          <w:p>
            <w:pPr>
              <w:spacing w:after="0"/>
              <w:rPr>
                <w:sz w:val="20"/>
                <w:szCs w:val="20"/>
                <w:color w:val="auto"/>
              </w:rPr>
            </w:pPr>
            <w:r>
              <w:rPr>
                <w:rFonts w:ascii="Arial" w:cs="Arial" w:eastAsia="Arial" w:hAnsi="Arial"/>
                <w:sz w:val="18"/>
                <w:szCs w:val="18"/>
                <w:color w:val="0000EE"/>
              </w:rPr>
              <w:t>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60" w:type="dxa"/>
            <w:vAlign w:val="bottom"/>
            <w:gridSpan w:val="25"/>
          </w:tcPr>
          <w:p>
            <w:pPr>
              <w:spacing w:after="0" w:line="182" w:lineRule="exact"/>
              <w:rPr>
                <w:sz w:val="20"/>
                <w:szCs w:val="20"/>
                <w:color w:val="auto"/>
              </w:rPr>
            </w:pPr>
            <w:r>
              <w:rPr>
                <w:rFonts w:ascii="Arial" w:cs="Arial" w:eastAsia="Arial" w:hAnsi="Arial"/>
                <w:sz w:val="18"/>
                <w:szCs w:val="18"/>
                <w:color w:val="0000EE"/>
              </w:rPr>
              <w:t>Condensed Consolidated Balance Sheets – September 30, 2022 (Unaudited) and December 31,</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2021</w:t>
            </w:r>
          </w:p>
        </w:tc>
        <w:tc>
          <w:tcPr>
            <w:tcW w:w="2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Condensed Consolidated Statements of Operations (Unaudited) – Three and nine months ended</w:t>
            </w:r>
          </w:p>
        </w:tc>
        <w:tc>
          <w:tcPr>
            <w:tcW w:w="26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60" w:type="dxa"/>
            <w:vAlign w:val="bottom"/>
            <w:gridSpan w:val="25"/>
          </w:tcPr>
          <w:p>
            <w:pPr>
              <w:spacing w:after="0" w:line="182" w:lineRule="exact"/>
              <w:rPr>
                <w:sz w:val="20"/>
                <w:szCs w:val="20"/>
                <w:color w:val="auto"/>
              </w:rPr>
            </w:pPr>
            <w:r>
              <w:rPr>
                <w:rFonts w:ascii="Arial" w:cs="Arial" w:eastAsia="Arial" w:hAnsi="Arial"/>
                <w:sz w:val="18"/>
                <w:szCs w:val="18"/>
                <w:color w:val="0000EE"/>
              </w:rPr>
              <w:t>September 30, 2022 and 2021</w:t>
            </w:r>
          </w:p>
        </w:tc>
        <w:tc>
          <w:tcPr>
            <w:tcW w:w="72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Condensed Consolidated Statements of Comprehensive Loss (Unaudited) – Three and nine</w:t>
            </w:r>
          </w:p>
        </w:tc>
        <w:tc>
          <w:tcPr>
            <w:tcW w:w="64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20" w:type="dxa"/>
            <w:vAlign w:val="bottom"/>
            <w:tcBorders>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months ended September 30, 2022 and 2021</w:t>
            </w:r>
          </w:p>
        </w:tc>
        <w:tc>
          <w:tcPr>
            <w:tcW w:w="4340" w:type="dxa"/>
            <w:vAlign w:val="bottom"/>
            <w:gridSpan w:val="11"/>
          </w:tcPr>
          <w:p>
            <w:pPr>
              <w:spacing w:after="0"/>
              <w:rPr>
                <w:sz w:val="15"/>
                <w:szCs w:val="15"/>
                <w:color w:val="auto"/>
              </w:rPr>
            </w:pPr>
          </w:p>
        </w:tc>
        <w:tc>
          <w:tcPr>
            <w:tcW w:w="720" w:type="dxa"/>
            <w:vAlign w:val="bottom"/>
          </w:tcPr>
          <w:p>
            <w:pPr>
              <w:spacing w:after="0"/>
              <w:rPr>
                <w:sz w:val="15"/>
                <w:szCs w:val="15"/>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Condensed Consolidated Statements of Shareholders’ Equity (Unaudited) – Three months ended</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60" w:type="dxa"/>
            <w:vAlign w:val="bottom"/>
            <w:gridSpan w:val="25"/>
          </w:tcPr>
          <w:p>
            <w:pPr>
              <w:spacing w:after="0" w:line="182" w:lineRule="exact"/>
              <w:rPr>
                <w:sz w:val="20"/>
                <w:szCs w:val="20"/>
                <w:color w:val="auto"/>
              </w:rPr>
            </w:pPr>
            <w:r>
              <w:rPr>
                <w:rFonts w:ascii="Arial" w:cs="Arial" w:eastAsia="Arial" w:hAnsi="Arial"/>
                <w:sz w:val="18"/>
                <w:szCs w:val="18"/>
                <w:color w:val="0000EE"/>
              </w:rPr>
              <w:t>September 30, 2022 and 2021</w:t>
            </w:r>
          </w:p>
        </w:tc>
        <w:tc>
          <w:tcPr>
            <w:tcW w:w="72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Condensed Consolidated Statements of Shareholders’ Equity (Unaudited) – Nine months ended</w:t>
            </w:r>
          </w:p>
        </w:tc>
        <w:tc>
          <w:tcPr>
            <w:tcW w:w="32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60" w:type="dxa"/>
            <w:vAlign w:val="bottom"/>
            <w:gridSpan w:val="25"/>
          </w:tcPr>
          <w:p>
            <w:pPr>
              <w:spacing w:after="0" w:line="182" w:lineRule="exact"/>
              <w:rPr>
                <w:sz w:val="20"/>
                <w:szCs w:val="20"/>
                <w:color w:val="auto"/>
              </w:rPr>
            </w:pPr>
            <w:r>
              <w:rPr>
                <w:rFonts w:ascii="Arial" w:cs="Arial" w:eastAsia="Arial" w:hAnsi="Arial"/>
                <w:sz w:val="18"/>
                <w:szCs w:val="18"/>
                <w:color w:val="0000EE"/>
              </w:rPr>
              <w:t>September 30, 2022 and 2021</w:t>
            </w:r>
          </w:p>
        </w:tc>
        <w:tc>
          <w:tcPr>
            <w:tcW w:w="72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Condensed Consolidated Statements of Cash Flows (Unaudited) – Nine months ended</w:t>
            </w:r>
          </w:p>
        </w:tc>
        <w:tc>
          <w:tcPr>
            <w:tcW w:w="104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60" w:type="dxa"/>
            <w:vAlign w:val="bottom"/>
            <w:gridSpan w:val="25"/>
          </w:tcPr>
          <w:p>
            <w:pPr>
              <w:spacing w:after="0" w:line="182" w:lineRule="exact"/>
              <w:rPr>
                <w:sz w:val="20"/>
                <w:szCs w:val="20"/>
                <w:color w:val="auto"/>
              </w:rPr>
            </w:pPr>
            <w:r>
              <w:rPr>
                <w:rFonts w:ascii="Arial" w:cs="Arial" w:eastAsia="Arial" w:hAnsi="Arial"/>
                <w:sz w:val="18"/>
                <w:szCs w:val="18"/>
                <w:color w:val="0000EE"/>
              </w:rPr>
              <w:t>September 30, 2022 and 2021</w:t>
            </w:r>
          </w:p>
        </w:tc>
        <w:tc>
          <w:tcPr>
            <w:tcW w:w="72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50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88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960" w:type="dxa"/>
            <w:vAlign w:val="bottom"/>
            <w:gridSpan w:val="25"/>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Controls and Procedures</w:t>
            </w:r>
          </w:p>
        </w:tc>
        <w:tc>
          <w:tcPr>
            <w:tcW w:w="326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OTHER INFORMATION</w:t>
            </w:r>
          </w:p>
        </w:tc>
        <w:tc>
          <w:tcPr>
            <w:tcW w:w="5980" w:type="dxa"/>
            <w:vAlign w:val="bottom"/>
            <w:gridSpan w:val="1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60" w:type="dxa"/>
            <w:vAlign w:val="bottom"/>
            <w:gridSpan w:val="25"/>
          </w:tcPr>
          <w:p>
            <w:pPr>
              <w:spacing w:after="0"/>
              <w:rPr>
                <w:sz w:val="20"/>
                <w:szCs w:val="20"/>
                <w:color w:val="auto"/>
              </w:rPr>
            </w:pPr>
            <w:r>
              <w:rPr>
                <w:rFonts w:ascii="Arial" w:cs="Arial" w:eastAsia="Arial" w:hAnsi="Arial"/>
                <w:sz w:val="18"/>
                <w:szCs w:val="18"/>
                <w:color w:val="0000EE"/>
              </w:rPr>
              <w:t>Legal Proceedings</w:t>
            </w: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12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Risk Factors</w:t>
            </w:r>
          </w:p>
        </w:tc>
        <w:tc>
          <w:tcPr>
            <w:tcW w:w="6960" w:type="dxa"/>
            <w:vAlign w:val="bottom"/>
            <w:gridSpan w:val="20"/>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960" w:type="dxa"/>
            <w:vAlign w:val="bottom"/>
            <w:gridSpan w:val="25"/>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Defaults Upon Senior Securities</w:t>
            </w:r>
          </w:p>
        </w:tc>
        <w:tc>
          <w:tcPr>
            <w:tcW w:w="312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Mine Safety Disclosures</w:t>
            </w:r>
          </w:p>
        </w:tc>
        <w:tc>
          <w:tcPr>
            <w:tcW w:w="542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604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7960" w:type="dxa"/>
            <w:vAlign w:val="bottom"/>
            <w:gridSpan w:val="25"/>
          </w:tcPr>
          <w:p>
            <w:pPr>
              <w:spacing w:after="0"/>
              <w:rPr>
                <w:sz w:val="20"/>
                <w:szCs w:val="20"/>
                <w:color w:val="auto"/>
              </w:rPr>
            </w:pPr>
            <w:r>
              <w:rPr>
                <w:rFonts w:ascii="Arial" w:cs="Arial" w:eastAsia="Arial" w:hAnsi="Arial"/>
                <w:sz w:val="18"/>
                <w:szCs w:val="18"/>
                <w:color w:val="0000EE"/>
              </w:rPr>
              <w:t>Exhibits</w:t>
            </w: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00" w:type="dxa"/>
            <w:vAlign w:val="bottom"/>
            <w:gridSpan w:val="2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Signatures</w:t>
            </w:r>
          </w:p>
        </w:tc>
        <w:tc>
          <w:tcPr>
            <w:tcW w:w="7100" w:type="dxa"/>
            <w:vAlign w:val="bottom"/>
            <w:gridSpan w:val="21"/>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196"/>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2960"/>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162,268</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253,515</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2,506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73,612</w:t>
            </w:r>
          </w:p>
        </w:tc>
      </w:tr>
      <w:tr>
        <w:trPr>
          <w:trHeight w:val="202"/>
        </w:trPr>
        <w:tc>
          <w:tcPr>
            <w:tcW w:w="6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Accounts receivable, net of allowance for credit losses of $2,187 and $1,477,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228,043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144,137</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83,301</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58,274</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476,118</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529,538</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2,945,654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2,938,154</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(1,337,814)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(1,280,509)</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1,607,840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1,657,645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209,351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62,188</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34,655</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2,355,497</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70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131,898</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87,959</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112,321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91,712</w:t>
            </w:r>
          </w:p>
        </w:tc>
      </w:tr>
      <w:tr>
        <w:trPr>
          <w:trHeight w:val="202"/>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38,154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42,873</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48,102</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55,739</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330,475</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278,283</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225,427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262,137</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166,916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50,198</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97,373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86,966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53,452</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873,643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678,559</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6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no par, 240,000 shares authorized, 151,808 and 151,124 shares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1,297,296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1,292,479</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320,579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411,072</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(136,021)</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(56,082)</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1,481,854</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1,647,469</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2,355,497</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2,326,028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20" w:type="dxa"/>
            <w:vAlign w:val="bottom"/>
            <w:gridSpan w:val="9"/>
          </w:tcPr>
          <w:p>
            <w:pPr>
              <w:jc w:val="center"/>
              <w:ind w:left="7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20" w:type="dxa"/>
            <w:vAlign w:val="bottom"/>
            <w:gridSpan w:val="9"/>
          </w:tcPr>
          <w:p>
            <w:pPr>
              <w:jc w:val="center"/>
              <w:ind w:left="75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60" w:type="dxa"/>
            <w:vAlign w:val="bottom"/>
            <w:gridSpan w:val="4"/>
          </w:tcPr>
          <w:p>
            <w:pPr>
              <w:jc w:val="center"/>
              <w:ind w:left="243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120" w:type="dxa"/>
            <w:vAlign w:val="bottom"/>
            <w:gridSpan w:val="7"/>
          </w:tcPr>
          <w:p>
            <w:pPr>
              <w:jc w:val="center"/>
              <w:ind w:left="115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180,716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585,284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506,072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233,332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177,716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566,032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485,318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39,215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19,252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Gain (loss) on disposition of assets, net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Acquisition and integration costs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(23,563)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(13,346)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(53,966)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(41,950)</w:t>
            </w:r>
          </w:p>
        </w:tc>
        <w:tc>
          <w:tcPr>
            <w:tcW w:w="0" w:type="dxa"/>
            <w:vAlign w:val="bottom"/>
          </w:tcPr>
          <w:p>
            <w:pPr>
              <w:spacing w:after="0"/>
              <w:rPr>
                <w:sz w:val="1"/>
                <w:szCs w:val="1"/>
                <w:color w:val="auto"/>
              </w:rPr>
            </w:pPr>
          </w:p>
        </w:tc>
      </w:tr>
      <w:tr>
        <w:trPr>
          <w:trHeight w:val="196"/>
        </w:trPr>
        <w:tc>
          <w:tcPr>
            <w:tcW w:w="4960" w:type="dxa"/>
            <w:vAlign w:val="bottom"/>
            <w:gridSpan w:val="3"/>
          </w:tcPr>
          <w:p>
            <w:pPr>
              <w:spacing w:after="0" w:line="196" w:lineRule="exact"/>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12,226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(10,331)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(39,727)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Equity in earnings of investment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(5,928)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(14,617)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Loss on extinguishment of long-term debt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(20,271)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(37,623)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196"/>
        </w:trPr>
        <w:tc>
          <w:tcPr>
            <w:tcW w:w="4960" w:type="dxa"/>
            <w:vAlign w:val="bottom"/>
            <w:gridSpan w:val="3"/>
          </w:tcPr>
          <w:p>
            <w:pPr>
              <w:spacing w:after="0" w:line="196" w:lineRule="exact"/>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(12,263)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(20,101)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(80,419)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(38,686)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10,074</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196"/>
        </w:trPr>
        <w:tc>
          <w:tcPr>
            <w:tcW w:w="4960" w:type="dxa"/>
            <w:vAlign w:val="bottom"/>
            <w:gridSpan w:val="3"/>
          </w:tcPr>
          <w:p>
            <w:pPr>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(19,043)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(90,493)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(35,776)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loss attributable to redeemable noncontrolling interests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6"/>
        </w:trPr>
        <w:tc>
          <w:tcPr>
            <w:tcW w:w="4960" w:type="dxa"/>
            <w:vAlign w:val="bottom"/>
            <w:gridSpan w:val="3"/>
          </w:tcPr>
          <w:p>
            <w:pPr>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(19,043)</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(90,493)</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(35,630)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3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Loss per share of common stock:</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(0.12)</w:t>
            </w:r>
          </w:p>
        </w:tc>
        <w:tc>
          <w:tcPr>
            <w:tcW w:w="4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(0.60)</w:t>
            </w:r>
          </w:p>
        </w:tc>
        <w:tc>
          <w:tcPr>
            <w:tcW w:w="4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gridSpan w:val="2"/>
          </w:tcPr>
          <w:p>
            <w:pPr>
              <w:ind w:left="100"/>
              <w:spacing w:after="0" w:line="183"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(0.60)</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151,331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151,226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151,331</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150,088</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151,226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150,018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6500" w:type="dxa"/>
            <w:vAlign w:val="bottom"/>
            <w:gridSpan w:val="9"/>
          </w:tcPr>
          <w:p>
            <w:pPr>
              <w:jc w:val="center"/>
              <w:ind w:left="7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580" w:type="dxa"/>
            <w:vAlign w:val="bottom"/>
            <w:gridSpan w:val="11"/>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880" w:type="dxa"/>
            <w:vAlign w:val="bottom"/>
            <w:gridSpan w:val="4"/>
          </w:tcPr>
          <w:p>
            <w:pPr>
              <w:jc w:val="center"/>
              <w:ind w:left="241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488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82"/>
        </w:trPr>
        <w:tc>
          <w:tcPr>
            <w:tcW w:w="1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12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1280" w:type="dxa"/>
            <w:vAlign w:val="bottom"/>
            <w:tcBorders>
              <w:bottom w:val="single" w:sz="8" w:color="CCEEFF"/>
            </w:tcBorders>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(19,043)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(90,493)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(35,776)</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8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 loss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(33,453)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(13,447)</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(79,939)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(6,478)</w:t>
            </w:r>
          </w:p>
        </w:tc>
      </w:tr>
      <w:tr>
        <w:trPr>
          <w:trHeight w:val="196"/>
        </w:trPr>
        <w:tc>
          <w:tcPr>
            <w:tcW w:w="48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Other comprehensive loss, net of tax</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(33,453)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(13,447)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(79,939)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(6,478)</w:t>
            </w:r>
          </w:p>
        </w:tc>
      </w:tr>
      <w:tr>
        <w:trPr>
          <w:trHeight w:val="196"/>
        </w:trPr>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(52,216)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(170,432)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(42,254)</w:t>
            </w:r>
          </w:p>
        </w:tc>
      </w:tr>
      <w:tr>
        <w:trPr>
          <w:trHeight w:val="202"/>
        </w:trPr>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rPr>
              <w:t>Less comprehensive loss attributable to redeemable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860" w:type="dxa"/>
            <w:vAlign w:val="bottom"/>
            <w:gridSpan w:val="2"/>
          </w:tcPr>
          <w:p>
            <w:pPr>
              <w:spacing w:after="0" w:line="203" w:lineRule="exact"/>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8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03"/>
        </w:trPr>
        <w:tc>
          <w:tcPr>
            <w:tcW w:w="48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Foreign currency translation gain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182"/>
        </w:trPr>
        <w:tc>
          <w:tcPr>
            <w:tcW w:w="4860" w:type="dxa"/>
            <w:vAlign w:val="bottom"/>
            <w:tcBorders>
              <w:top w:val="single" w:sz="8" w:color="CCEEFF"/>
            </w:tcBorders>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rPr>
              <w:t>Comprehensive loss attributable to redeemable</w:t>
            </w: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203"/>
        </w:trPr>
        <w:tc>
          <w:tcPr>
            <w:tcW w:w="486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r>
      <w:tr>
        <w:trPr>
          <w:trHeight w:val="196"/>
        </w:trPr>
        <w:tc>
          <w:tcPr>
            <w:tcW w:w="486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loss attributable to common shareholders</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(52,216)</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(32,490)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(170,432)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(42,156)</w:t>
            </w:r>
          </w:p>
        </w:tc>
      </w:tr>
      <w:tr>
        <w:trPr>
          <w:trHeight w:val="20"/>
        </w:trPr>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6240" w:type="dxa"/>
            <w:vAlign w:val="bottom"/>
            <w:gridSpan w:val="12"/>
          </w:tcPr>
          <w:p>
            <w:pPr>
              <w:jc w:val="center"/>
              <w:ind w:right="5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120" w:type="dxa"/>
            <w:vAlign w:val="bottom"/>
            <w:gridSpan w:val="13"/>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Retained</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Noncontrolling</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108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7"/>
                <w:szCs w:val="17"/>
                <w:color w:val="auto"/>
              </w:rPr>
            </w:pPr>
          </w:p>
        </w:tc>
        <w:tc>
          <w:tcPr>
            <w:tcW w:w="1280" w:type="dxa"/>
            <w:vAlign w:val="bottom"/>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2022</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151,714</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$ 1,295,016</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$ 339,342</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(102,568)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1,531,790</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(18,763)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9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(33,453)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(33,453)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Activity in company stock</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Arial" w:cs="Arial" w:eastAsia="Arial" w:hAnsi="Arial"/>
                <w:sz w:val="18"/>
                <w:szCs w:val="18"/>
                <w:color w:val="auto"/>
              </w:rPr>
              <w:t>plans, net and other</w:t>
            </w:r>
          </w:p>
        </w:tc>
        <w:tc>
          <w:tcPr>
            <w:tcW w:w="9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94</w:t>
            </w:r>
          </w:p>
        </w:tc>
        <w:tc>
          <w:tcPr>
            <w:tcW w:w="1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274</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274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9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160" w:type="dxa"/>
            <w:vAlign w:val="bottom"/>
            <w:gridSpan w:val="2"/>
          </w:tcPr>
          <w:p>
            <w:pPr>
              <w:spacing w:after="0" w:line="182" w:lineRule="exact"/>
              <w:rPr>
                <w:sz w:val="20"/>
                <w:szCs w:val="20"/>
                <w:color w:val="auto"/>
              </w:rPr>
            </w:pPr>
            <w:r>
              <w:rPr>
                <w:rFonts w:ascii="Arial" w:cs="Arial" w:eastAsia="Arial" w:hAnsi="Arial"/>
                <w:sz w:val="18"/>
                <w:szCs w:val="18"/>
                <w:color w:val="auto"/>
              </w:rPr>
              <w:t>Balance,</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151,808</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$ 1,297,296</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$ 320,579</w:t>
            </w:r>
          </w:p>
        </w:tc>
        <w:tc>
          <w:tcPr>
            <w:tcW w:w="2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(136,021)</w:t>
            </w: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1,481,854</w:t>
            </w:r>
          </w:p>
        </w:tc>
        <w:tc>
          <w:tcPr>
            <w:tcW w:w="320" w:type="dxa"/>
            <w:vAlign w:val="bottom"/>
            <w:gridSpan w:val="3"/>
            <w:vMerge w:val="restart"/>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rPr>
              <w:t>September 30, 2022</w:t>
            </w:r>
          </w:p>
        </w:tc>
        <w:tc>
          <w:tcPr>
            <w:tcW w:w="9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Retained</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Noncontrolling</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108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7"/>
                <w:szCs w:val="17"/>
                <w:color w:val="auto"/>
              </w:rPr>
            </w:pPr>
          </w:p>
        </w:tc>
        <w:tc>
          <w:tcPr>
            <w:tcW w:w="1280" w:type="dxa"/>
            <w:vAlign w:val="bottom"/>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c>
          <w:tcPr>
            <w:tcW w:w="0" w:type="dxa"/>
            <w:vAlign w:val="bottom"/>
          </w:tcPr>
          <w:p>
            <w:pPr>
              <w:spacing w:after="0"/>
              <w:rPr>
                <w:sz w:val="1"/>
                <w:szCs w:val="1"/>
                <w:color w:val="auto"/>
              </w:rPr>
            </w:pPr>
          </w:p>
        </w:tc>
      </w:tr>
      <w:tr>
        <w:trPr>
          <w:trHeight w:val="196"/>
        </w:trPr>
        <w:tc>
          <w:tcPr>
            <w:tcW w:w="2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2021</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150,787</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$ 1,288,603</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$ 456,108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(44,651)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1,700,060</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(19,043)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(19,043)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9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(13,447)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(13,447)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Activity in company stock</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line="203" w:lineRule="exact"/>
              <w:rPr>
                <w:sz w:val="20"/>
                <w:szCs w:val="20"/>
                <w:color w:val="auto"/>
              </w:rPr>
            </w:pPr>
            <w:r>
              <w:rPr>
                <w:rFonts w:ascii="Arial" w:cs="Arial" w:eastAsia="Arial" w:hAnsi="Arial"/>
                <w:sz w:val="18"/>
                <w:szCs w:val="18"/>
                <w:color w:val="auto"/>
              </w:rPr>
              <w:t>plans, net and other</w:t>
            </w:r>
          </w:p>
        </w:tc>
        <w:tc>
          <w:tcPr>
            <w:tcW w:w="9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89</w:t>
            </w:r>
          </w:p>
        </w:tc>
        <w:tc>
          <w:tcPr>
            <w:tcW w:w="1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262</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9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1,832</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160" w:type="dxa"/>
            <w:vAlign w:val="bottom"/>
            <w:gridSpan w:val="2"/>
          </w:tcPr>
          <w:p>
            <w:pPr>
              <w:spacing w:after="0" w:line="182" w:lineRule="exact"/>
              <w:rPr>
                <w:sz w:val="20"/>
                <w:szCs w:val="20"/>
                <w:color w:val="auto"/>
              </w:rPr>
            </w:pPr>
            <w:r>
              <w:rPr>
                <w:rFonts w:ascii="Arial" w:cs="Arial" w:eastAsia="Arial" w:hAnsi="Arial"/>
                <w:sz w:val="18"/>
                <w:szCs w:val="18"/>
                <w:color w:val="auto"/>
              </w:rPr>
              <w:t>Balance,</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150,876</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$ 1,290,697</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$ 437,065</w:t>
            </w:r>
          </w:p>
        </w:tc>
        <w:tc>
          <w:tcPr>
            <w:tcW w:w="2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(58,098)</w:t>
            </w: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1,669,664</w:t>
            </w:r>
          </w:p>
        </w:tc>
        <w:tc>
          <w:tcPr>
            <w:tcW w:w="320" w:type="dxa"/>
            <w:vAlign w:val="bottom"/>
            <w:gridSpan w:val="3"/>
            <w:vMerge w:val="restart"/>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rPr>
              <w:t>September 30, 2021</w:t>
            </w:r>
          </w:p>
        </w:tc>
        <w:tc>
          <w:tcPr>
            <w:tcW w:w="9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220" w:type="dxa"/>
            <w:vAlign w:val="bottom"/>
            <w:gridSpan w:val="12"/>
          </w:tcPr>
          <w:p>
            <w:pPr>
              <w:jc w:val="center"/>
              <w:ind w:right="5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120" w:type="dxa"/>
            <w:vAlign w:val="bottom"/>
            <w:gridSpan w:val="13"/>
          </w:tcPr>
          <w:p>
            <w:pPr>
              <w:jc w:val="center"/>
              <w:ind w:left="17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Retained</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Noncontrolling</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108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7"/>
                <w:szCs w:val="17"/>
                <w:color w:val="auto"/>
              </w:rPr>
            </w:pPr>
          </w:p>
        </w:tc>
        <w:tc>
          <w:tcPr>
            <w:tcW w:w="1280" w:type="dxa"/>
            <w:vAlign w:val="bottom"/>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c>
          <w:tcPr>
            <w:tcW w:w="0" w:type="dxa"/>
            <w:vAlign w:val="bottom"/>
          </w:tcPr>
          <w:p>
            <w:pPr>
              <w:spacing w:after="0"/>
              <w:rPr>
                <w:sz w:val="1"/>
                <w:szCs w:val="1"/>
                <w:color w:val="auto"/>
              </w:rPr>
            </w:pPr>
          </w:p>
        </w:tc>
      </w:tr>
      <w:tr>
        <w:trPr>
          <w:trHeight w:val="182"/>
        </w:trPr>
        <w:tc>
          <w:tcPr>
            <w:tcW w:w="2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31, 2021</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151,124</w:t>
            </w: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$ 1,292,479</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$ 411,072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(56,082)</w:t>
            </w:r>
          </w:p>
        </w:tc>
        <w:tc>
          <w:tcPr>
            <w:tcW w:w="4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1,647,469</w:t>
            </w:r>
          </w:p>
        </w:tc>
        <w:tc>
          <w:tcPr>
            <w:tcW w:w="3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(90,493)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(90,493)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translation adjustments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(79,939)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(79,939)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Activity in company stock</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line="203" w:lineRule="exact"/>
              <w:rPr>
                <w:sz w:val="20"/>
                <w:szCs w:val="20"/>
                <w:color w:val="auto"/>
              </w:rPr>
            </w:pPr>
            <w:r>
              <w:rPr>
                <w:rFonts w:ascii="Arial" w:cs="Arial" w:eastAsia="Arial" w:hAnsi="Arial"/>
                <w:sz w:val="18"/>
                <w:szCs w:val="18"/>
                <w:color w:val="auto"/>
              </w:rPr>
              <w:t>plans, net and other</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684</w:t>
            </w:r>
          </w:p>
        </w:tc>
        <w:tc>
          <w:tcPr>
            <w:tcW w:w="1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(673)</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5,490</w:t>
            </w:r>
          </w:p>
        </w:tc>
        <w:tc>
          <w:tcPr>
            <w:tcW w:w="2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180" w:type="dxa"/>
            <w:vAlign w:val="bottom"/>
            <w:gridSpan w:val="2"/>
          </w:tcPr>
          <w:p>
            <w:pPr>
              <w:spacing w:after="0" w:line="182" w:lineRule="exact"/>
              <w:rPr>
                <w:sz w:val="20"/>
                <w:szCs w:val="20"/>
                <w:color w:val="auto"/>
              </w:rPr>
            </w:pPr>
            <w:r>
              <w:rPr>
                <w:rFonts w:ascii="Arial" w:cs="Arial" w:eastAsia="Arial" w:hAnsi="Arial"/>
                <w:sz w:val="18"/>
                <w:szCs w:val="18"/>
                <w:color w:val="auto"/>
              </w:rPr>
              <w:t>Balance,</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151,808</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$ 1,297,296</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$ 320,579</w:t>
            </w:r>
          </w:p>
        </w:tc>
        <w:tc>
          <w:tcPr>
            <w:tcW w:w="2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(136,021)</w:t>
            </w:r>
          </w:p>
        </w:tc>
        <w:tc>
          <w:tcPr>
            <w:tcW w:w="4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1,481,854</w:t>
            </w:r>
          </w:p>
        </w:tc>
        <w:tc>
          <w:tcPr>
            <w:tcW w:w="320" w:type="dxa"/>
            <w:vAlign w:val="bottom"/>
            <w:gridSpan w:val="2"/>
            <w:vMerge w:val="restart"/>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180" w:type="dxa"/>
            <w:vAlign w:val="bottom"/>
            <w:gridSpan w:val="2"/>
          </w:tcPr>
          <w:p>
            <w:pPr>
              <w:spacing w:after="0" w:line="190" w:lineRule="exact"/>
              <w:rPr>
                <w:sz w:val="20"/>
                <w:szCs w:val="20"/>
                <w:color w:val="auto"/>
              </w:rPr>
            </w:pPr>
            <w:r>
              <w:rPr>
                <w:rFonts w:ascii="Arial" w:cs="Arial" w:eastAsia="Arial" w:hAnsi="Arial"/>
                <w:sz w:val="18"/>
                <w:szCs w:val="18"/>
                <w:color w:val="auto"/>
              </w:rPr>
              <w:t>September 30, 2022</w:t>
            </w:r>
          </w:p>
        </w:tc>
        <w:tc>
          <w:tcPr>
            <w:tcW w:w="9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7"/>
              </w:rPr>
              <w:t>Total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Redeemable</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Retained</w:t>
            </w: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Shareholders’</w:t>
            </w:r>
          </w:p>
        </w:tc>
        <w:tc>
          <w:tcPr>
            <w:tcW w:w="20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Noncontrolling</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0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108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7"/>
                <w:szCs w:val="17"/>
                <w:color w:val="auto"/>
              </w:rPr>
            </w:pPr>
          </w:p>
        </w:tc>
        <w:tc>
          <w:tcPr>
            <w:tcW w:w="1280" w:type="dxa"/>
            <w:vAlign w:val="bottom"/>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w w:val="98"/>
              </w:rPr>
              <w:t>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0"/>
              <w:spacing w:after="0" w:line="196" w:lineRule="exact"/>
              <w:rPr>
                <w:sz w:val="20"/>
                <w:szCs w:val="20"/>
                <w:color w:val="auto"/>
              </w:rPr>
            </w:pPr>
            <w:r>
              <w:rPr>
                <w:rFonts w:ascii="Arial" w:cs="Arial" w:eastAsia="Arial" w:hAnsi="Arial"/>
                <w:sz w:val="18"/>
                <w:szCs w:val="18"/>
                <w:b w:val="1"/>
                <w:bCs w:val="1"/>
                <w:color w:val="auto"/>
              </w:rPr>
              <w:t>Interests</w:t>
            </w:r>
          </w:p>
        </w:tc>
        <w:tc>
          <w:tcPr>
            <w:tcW w:w="0" w:type="dxa"/>
            <w:vAlign w:val="bottom"/>
          </w:tcPr>
          <w:p>
            <w:pPr>
              <w:spacing w:after="0"/>
              <w:rPr>
                <w:sz w:val="1"/>
                <w:szCs w:val="1"/>
                <w:color w:val="auto"/>
              </w:rPr>
            </w:pPr>
          </w:p>
        </w:tc>
      </w:tr>
      <w:tr>
        <w:trPr>
          <w:trHeight w:val="182"/>
        </w:trPr>
        <w:tc>
          <w:tcPr>
            <w:tcW w:w="2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31, 2020</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150,341</w:t>
            </w: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$ 1,327,592</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$ 464,524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(51,620)</w:t>
            </w:r>
          </w:p>
        </w:tc>
        <w:tc>
          <w:tcPr>
            <w:tcW w:w="4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1,740,496</w:t>
            </w:r>
          </w:p>
        </w:tc>
        <w:tc>
          <w:tcPr>
            <w:tcW w:w="32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(35,630)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Cumulative-effect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upon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adoption of ASU No.</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2020-06</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(41,456)</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6,682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(34,774)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line="203" w:lineRule="exact"/>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(6,478)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(6,478)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Accretion of redeemable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2"/>
        </w:trPr>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Acquisition of redeemable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line="203" w:lineRule="exact"/>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Activity in company stock</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plans, net and other</w:t>
            </w: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535</w:t>
            </w:r>
          </w:p>
        </w:tc>
        <w:tc>
          <w:tcPr>
            <w:tcW w:w="1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(1,052)</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5,613</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1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150,876</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$ 1,290,697</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$ 437,065</w:t>
            </w:r>
          </w:p>
        </w:tc>
        <w:tc>
          <w:tcPr>
            <w:tcW w:w="2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(58,098)</w:t>
            </w:r>
          </w:p>
        </w:tc>
        <w:tc>
          <w:tcPr>
            <w:tcW w:w="4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1,669,664</w:t>
            </w:r>
          </w:p>
        </w:tc>
        <w:tc>
          <w:tcPr>
            <w:tcW w:w="3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18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September 30, 2021</w:t>
            </w:r>
          </w:p>
        </w:tc>
        <w:tc>
          <w:tcPr>
            <w:tcW w:w="900" w:type="dxa"/>
            <w:vAlign w:val="bottom"/>
            <w:gridSpan w:val="2"/>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940" w:type="dxa"/>
            <w:vAlign w:val="bottom"/>
            <w:gridSpan w:val="4"/>
          </w:tcPr>
          <w:p>
            <w:pPr>
              <w:jc w:val="center"/>
              <w:ind w:left="35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40" w:type="dxa"/>
            <w:vAlign w:val="bottom"/>
          </w:tcPr>
          <w:p>
            <w:pPr>
              <w:jc w:val="center"/>
              <w:ind w:left="20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4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(90,493)</w:t>
            </w:r>
          </w:p>
        </w:tc>
        <w:tc>
          <w:tcPr>
            <w:tcW w:w="76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102,590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106,226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5,630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2,876</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Equity in earnings of investment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(8,262)</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disposition of assets, net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Loss on extinguishment of long-term debt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foreign currency loss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38,374</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(50,268)</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(19,888)</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Income tax payable, net of income tax receivable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1,818</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47,266</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gridSpan w:val="2"/>
          </w:tcPr>
          <w:p>
            <w:pPr>
              <w:ind w:left="320"/>
              <w:spacing w:after="0" w:line="202" w:lineRule="exact"/>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(32,655)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Alliance acquisition, net of cash acquired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(112,625)</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Distribution from equity investment, 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7,840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Proceeds from sale of assets</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gridSpan w:val="2"/>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(109,775)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Repayment of convertible senior notes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Repayment of Term Loan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Repayment of Nordea Q5000 Loan</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Repayment of MARAD Debt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(7,937)</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Debt issuance costs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Acquisition of redeemable noncontrolling interests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Payments related to tax withholding for share-based compensation</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Proceeds from issuance of ESPP shares</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(44,437)</w:t>
            </w:r>
          </w:p>
        </w:tc>
        <w:tc>
          <w:tcPr>
            <w:tcW w:w="2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(95,659)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Effect of exchange rate changes on cash and cash equivalents and restricted</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(9,537)</w:t>
            </w:r>
          </w:p>
        </w:tc>
        <w:tc>
          <w:tcPr>
            <w:tcW w:w="2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(162,353)</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and restricted cash:</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Balance, beginning of year</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327,127</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291,320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Balance, end of period</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164,774</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spacing w:after="0" w:line="203" w:lineRule="exact"/>
        <w:rPr>
          <w:sz w:val="20"/>
          <w:szCs w:val="20"/>
          <w:color w:val="auto"/>
        </w:rPr>
      </w:pPr>
    </w:p>
    <w:p>
      <w:pPr>
        <w:ind w:right="480" w:firstLine="648"/>
        <w:spacing w:after="0" w:line="238" w:lineRule="auto"/>
        <w:rPr>
          <w:sz w:val="20"/>
          <w:szCs w:val="20"/>
          <w:color w:val="auto"/>
        </w:rPr>
      </w:pPr>
      <w:r>
        <w:rPr>
          <w:rFonts w:ascii="Arial" w:cs="Arial" w:eastAsia="Arial" w:hAnsi="Arial"/>
          <w:sz w:val="18"/>
          <w:szCs w:val="18"/>
          <w:color w:val="auto"/>
        </w:rPr>
        <w:t>On July 1, 2022, we completed our acquisition of all of the equity interests of the Alliance group of companies (collectively “Alliance”). The condensed consolidated financial statements prior to July 1, 2022 reflect only the historical results of Helix. The condensed consolidated financial statements since the completion of the Alliance acquisition have included the results of Helix Alliance using the acquisition method of accounting. See Note 3 for additional information regarding the Alliance acquisition.</w:t>
      </w:r>
    </w:p>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 and nine-month periods ended September 30, 2022 are not necessarily indicative of the results that may be expected for the year ending December 31, 2022. Our balance sheet as of December 31, 2021 included herein has been derived from the audited balance sheet as of December 31, 2021 included in our 2021 Annual Report on Form 10-K (our “2021 Form 10-K”). These unaudited condensed consolidated financial statements should be read in conjunction with the audited annual consolidated financial statements and notes thereto included in our 2021 Form 10-K.</w:t>
      </w:r>
    </w:p>
    <w:p>
      <w:pPr>
        <w:spacing w:after="0" w:line="206"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97"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We do not expect any recently issued accounting standards to have a material impact on our financial position, results of operations or cash flows when they become effective.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34" w:lineRule="exact"/>
        <w:rPr>
          <w:sz w:val="20"/>
          <w:szCs w:val="20"/>
          <w:color w:val="auto"/>
        </w:rPr>
      </w:pPr>
    </w:p>
    <w:p>
      <w:pPr>
        <w:jc w:val="both"/>
        <w:ind w:right="280" w:firstLine="648"/>
        <w:spacing w:after="0"/>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and robotics operations. Our services are centered on a three-legged business model:</w:t>
      </w:r>
    </w:p>
    <w:p>
      <w:pPr>
        <w:spacing w:after="0" w:line="185" w:lineRule="exact"/>
        <w:rPr>
          <w:sz w:val="20"/>
          <w:szCs w:val="20"/>
          <w:color w:val="auto"/>
        </w:rPr>
      </w:pPr>
    </w:p>
    <w:p>
      <w:pPr>
        <w:jc w:val="both"/>
        <w:ind w:left="680" w:right="440" w:hanging="321"/>
        <w:spacing w:after="0" w:line="24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efficiently enhance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lives of existing oil and gas reserves; we also offer an alternative to take over end-of-life reserves in preparation for their abandonment;</w:t>
      </w:r>
    </w:p>
    <w:p>
      <w:pPr>
        <w:spacing w:after="0" w:line="1" w:lineRule="exact"/>
        <w:rPr>
          <w:rFonts w:ascii="Arial" w:cs="Arial" w:eastAsia="Arial" w:hAnsi="Arial"/>
          <w:sz w:val="18"/>
          <w:szCs w:val="18"/>
          <w:color w:val="auto"/>
        </w:rPr>
      </w:pPr>
    </w:p>
    <w:p>
      <w:pPr>
        <w:ind w:left="680" w:right="180" w:hanging="321"/>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have historical success as a full-field abandonment contractor and believe that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push for plug and abandonment (“P&amp;A”) and transition to renewable energy will facilitate the continued growth of abandonment backlog; and</w:t>
      </w:r>
    </w:p>
    <w:p>
      <w:pPr>
        <w:spacing w:after="0" w:line="2" w:lineRule="exact"/>
        <w:rPr>
          <w:rFonts w:ascii="Arial" w:cs="Arial" w:eastAsia="Arial" w:hAnsi="Arial"/>
          <w:sz w:val="18"/>
          <w:szCs w:val="18"/>
          <w:color w:val="auto"/>
        </w:rPr>
      </w:pPr>
    </w:p>
    <w:p>
      <w:pPr>
        <w:ind w:left="680" w:right="20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Renewable energy support </w:t>
      </w:r>
      <w:r>
        <w:rPr>
          <w:rFonts w:ascii="Arial" w:cs="Arial" w:eastAsia="Arial" w:hAnsi="Arial"/>
          <w:sz w:val="18"/>
          <w:szCs w:val="18"/>
          <w:color w:val="auto"/>
        </w:rPr>
        <w:t>— we are an established global leader in jet trenching and continue to seek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support services to offshore wind farm developments, including boulder removal and unexploded ordnance clearance.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We provide services primarily in deepwater in the Gulf of Mexico, Brazil, North Sea, Asia Pacific and West Africa regions. We have expanded our service capabilities to shallow waters in the Gulf of Mexico with the Alliance acquisition on July 1, 2022 (Note 3). Our North Sea operations and our Gulf of Mexico shelf operations related to our Alliance acquisition are subject to seasonal changes in demand, which generally peaks in the summer months and declines in the winter months. Our services are segregated into four reportable business segments: Well Intervention, Robotics, Production Facilities and our new reporting segment, Shallow Water Abandonment, which was formed in the third quarter 2022 comprising the Helix Alliance business (Note 11).</w:t>
      </w:r>
    </w:p>
    <w:p>
      <w:pPr>
        <w:spacing w:after="0" w:line="203"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 xml:space="preserve">Our Well Intervention segment provides services enabling our customers to safely access offshore wells for the purpose of performing production enhancement or decommissioning operations, thereby avoiding drilling new wells by extending the useful lives of existing wells and preserving the environment by preventing uncontrolled releases of oil and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monohull vessels, the </w:t>
      </w:r>
      <w:r>
        <w:rPr>
          <w:rFonts w:ascii="Arial" w:cs="Arial" w:eastAsia="Arial" w:hAnsi="Arial"/>
          <w:sz w:val="18"/>
          <w:szCs w:val="18"/>
          <w:i w:val="1"/>
          <w:iCs w:val="1"/>
          <w:color w:val="auto"/>
        </w:rPr>
        <w:t>Siem H</w:t>
      </w:r>
      <w:r>
        <w:rPr>
          <w:rFonts w:ascii="Arial" w:cs="Arial" w:eastAsia="Arial" w:hAnsi="Arial"/>
          <w:sz w:val="18"/>
          <w:szCs w:val="18"/>
          <w:color w:val="auto"/>
        </w:rPr>
        <w:t xml:space="preserve">elix </w:t>
      </w:r>
      <w:r>
        <w:rPr>
          <w:rFonts w:ascii="Arial" w:cs="Arial" w:eastAsia="Arial" w:hAnsi="Arial"/>
          <w:sz w:val="18"/>
          <w:szCs w:val="18"/>
          <w:i w:val="1"/>
          <w:iCs w:val="1"/>
          <w:color w:val="auto"/>
        </w:rPr>
        <w:t>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20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Robotics segment provides offshore construction, trenching, seabed clearance, and inspection, repair and maintenance (“IRM”) services to both the oil and gas and the renewable energy markets globally, thereby assisting the delivery of affordable and reliable energy and supporting the responsible transition away from a carbon-based economy. Additionally, our Robotics services are used in and complement our well intervention services. Our Robotics segment mainly includes remotely operated vehicles (“ROVs”), trenchers and robotics support vessels under term charters as well as spot vessels as needed.</w:t>
      </w:r>
    </w:p>
    <w:p>
      <w:pPr>
        <w:spacing w:after="0" w:line="187"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Helix Producer I</w:t>
      </w:r>
      <w:r>
        <w:rPr>
          <w:rFonts w:ascii="Arial" w:cs="Arial" w:eastAsia="Arial" w:hAnsi="Arial"/>
          <w:sz w:val="18"/>
          <w:szCs w:val="18"/>
          <w:color w:val="auto"/>
        </w:rPr>
        <w:t xml:space="preserve">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a ship-shaped dynamically positioned floating production vessel, the Helix Fast Response System (the “HFRS”), which combines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Q5000 </w:t>
      </w:r>
      <w:r>
        <w:rPr>
          <w:rFonts w:ascii="Arial" w:cs="Arial" w:eastAsia="Arial" w:hAnsi="Arial"/>
          <w:sz w:val="18"/>
          <w:szCs w:val="18"/>
          <w:color w:val="auto"/>
        </w:rPr>
        <w:t>with certain well control equipment that can be deployed to respond to a well control incident, and our ownership of</w:t>
      </w:r>
      <w:r>
        <w:rPr>
          <w:rFonts w:ascii="Arial" w:cs="Arial" w:eastAsia="Arial" w:hAnsi="Arial"/>
          <w:sz w:val="18"/>
          <w:szCs w:val="18"/>
          <w:i w:val="1"/>
          <w:iCs w:val="1"/>
          <w:color w:val="auto"/>
        </w:rPr>
        <w:t xml:space="preserve"> </w:t>
      </w:r>
      <w:r>
        <w:rPr>
          <w:rFonts w:ascii="Arial" w:cs="Arial" w:eastAsia="Arial" w:hAnsi="Arial"/>
          <w:sz w:val="18"/>
          <w:szCs w:val="18"/>
          <w:color w:val="auto"/>
        </w:rPr>
        <w:t>Droshky oil and gas properties. We also have a 20% ownership interest in Independence Hub, LLC (“Independence Hub”) that we account for using the equity method of accounting. In May 2022, we received a net cash distribution of $7.8 million from the sale of the “Independence Hub” platform owned by Independence Hub. In August 2022, we acquired from MP Gulf of Mexico, LLC (“MP GOM”), a joint venture controlled by Murphy Exploration &amp; Production Company – USA, all of MP GOM’s 62.5% interest in Mississippi Canyon Block 734, comprised of three wells and related subsea infrastructure (collectively known as the Thunder Hawk Field), in exchange for the assumption of MP GOM’s abandonment obligations (Note 12). All of our current Production Facilities activities are located in the Gulf of Mexico.</w:t>
      </w:r>
    </w:p>
    <w:p>
      <w:pPr>
        <w:spacing w:after="0" w:line="20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Our Shallow Water Abandonment segment provides services in support of the upstream and midstream ‎industries in the Gulf of Mexico shelf, including offshore oil field decommissioning and ‎reclamation, project management, engineered solutions, intervention, maintenance, repair, heavy lift and commercial diving services. Our Shallow Water Abandonment segment includes a diversified fleet of marine assets including liftboats, offshore supply vessels (“OSVs”), dive support vessels (“DSVs”), a heavy lift derrick barge, a crew boat, P&amp;A systems, coiled tubing systems and other miscellaneous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Alliance Acquisition</w:t>
      </w:r>
    </w:p>
    <w:p>
      <w:pPr>
        <w:spacing w:after="0" w:line="234"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On July 1, 2022, we completed our acquisition of all of the equity interests of Alliance. The Alliance acquisition extends our energy transition strategy by adding shallow-water capabilities into what we expect to be a growing offshore decommissioning market.</w:t>
      </w:r>
    </w:p>
    <w:p>
      <w:pPr>
        <w:spacing w:after="0" w:line="20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aggregate preliminary purchase price of the Alliance acquisition was $145.7 million, consisting of $119.0 million with cash on hand and the estimated fair value of $26.7 million of contingent consideration related to the post-closing earn-out consideration. The earn-out is payable in 2024 to the seller in the Alliance transaction in either cash or shares of our common stock pursuant to the terms of the Equity Purchase Agreement (the “Equity Purchase Agreement”) dated May 16, 2022 by and among Helix Alliance Decom, LLC, the seller and Helix. The earn-out is not capped and is calculated based on certain financial metrics of the Helix Alliance business for 2022 and 2023 relative to amounts as set forth in the Equity Purchase Agreement.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The Alliance acquisition has been accounted for using the acquisition method of accounting in accordance with Accounting Standards Codification (“ASC”) Topic 805, Business Combinations. The purchase price consideration has been allocated to the assets acquired and liabilities assumed of Alliance based upon preliminary estimate of their fair values as of the acquisition date. Fair values of the assets acquired and liabilities assumed are measured in accordance with ASC Topic 820, Fair Value Measurement, using discounted cash flows and other applicable valuation techniques. For certain assets and liabilities, those fair values are consistent with historical carrying values.</w:t>
      </w:r>
    </w:p>
    <w:p>
      <w:pPr>
        <w:spacing w:after="0" w:line="205"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The following table summarizes the purchase consideration and the preliminary purchase price allocation to estimated fair values of the identifiable assets acquired and liabilities assumed as of the acquisition date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July 1, 2022</w:t>
            </w:r>
          </w:p>
        </w:tc>
        <w:tc>
          <w:tcPr>
            <w:tcW w:w="0" w:type="dxa"/>
            <w:vAlign w:val="bottom"/>
          </w:tcPr>
          <w:p>
            <w:pPr>
              <w:spacing w:after="0"/>
              <w:rPr>
                <w:sz w:val="1"/>
                <w:szCs w:val="1"/>
                <w:color w:val="auto"/>
              </w:rPr>
            </w:pPr>
          </w:p>
        </w:tc>
      </w:tr>
      <w:tr>
        <w:trPr>
          <w:trHeight w:val="196"/>
        </w:trPr>
        <w:tc>
          <w:tcPr>
            <w:tcW w:w="5860" w:type="dxa"/>
            <w:vAlign w:val="bottom"/>
            <w:gridSpan w:val="3"/>
          </w:tcPr>
          <w:p>
            <w:pPr>
              <w:spacing w:after="0" w:line="196" w:lineRule="exact"/>
              <w:rPr>
                <w:sz w:val="20"/>
                <w:szCs w:val="20"/>
                <w:color w:val="auto"/>
              </w:rPr>
            </w:pPr>
            <w:r>
              <w:rPr>
                <w:rFonts w:ascii="Arial" w:cs="Arial" w:eastAsia="Arial" w:hAnsi="Arial"/>
                <w:sz w:val="18"/>
                <w:szCs w:val="18"/>
                <w:color w:val="auto"/>
              </w:rPr>
              <w:t>Cash consideration</w:t>
            </w:r>
          </w:p>
        </w:tc>
        <w:tc>
          <w:tcPr>
            <w:tcW w:w="23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118,961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2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40" w:type="dxa"/>
            <w:vAlign w:val="bottom"/>
            <w:tcBorders>
              <w:bottom w:val="single" w:sz="8" w:color="CCEEFF"/>
            </w:tcBorders>
            <w:gridSpan w:val="2"/>
          </w:tcPr>
          <w:p>
            <w:pPr>
              <w:ind w:left="100"/>
              <w:spacing w:after="0" w:line="196" w:lineRule="exact"/>
              <w:rPr>
                <w:sz w:val="20"/>
                <w:szCs w:val="20"/>
                <w:color w:val="auto"/>
              </w:rPr>
            </w:pPr>
            <w:r>
              <w:rPr>
                <w:rFonts w:ascii="Arial" w:cs="Arial" w:eastAsia="Arial" w:hAnsi="Arial"/>
                <w:sz w:val="18"/>
                <w:szCs w:val="18"/>
                <w:color w:val="auto"/>
              </w:rPr>
              <w:t>Total fair value of consideration transferred</w:t>
            </w:r>
          </w:p>
        </w:tc>
        <w:tc>
          <w:tcPr>
            <w:tcW w:w="2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Assets acquired:</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5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3"/>
                <w:szCs w:val="23"/>
                <w:color w:val="auto"/>
                <w:vertAlign w:val="superscript"/>
              </w:rPr>
              <w:t>(1)</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43,378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Property and equipment</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118,619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right-of-use assets</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Intangible assets</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assets</w:t>
            </w:r>
          </w:p>
        </w:tc>
        <w:tc>
          <w:tcPr>
            <w:tcW w:w="2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196"/>
        </w:trPr>
        <w:tc>
          <w:tcPr>
            <w:tcW w:w="5860" w:type="dxa"/>
            <w:vAlign w:val="bottom"/>
            <w:gridSpan w:val="3"/>
          </w:tcPr>
          <w:p>
            <w:pPr>
              <w:spacing w:after="0" w:line="196" w:lineRule="exact"/>
              <w:rPr>
                <w:sz w:val="20"/>
                <w:szCs w:val="20"/>
                <w:color w:val="auto"/>
              </w:rPr>
            </w:pPr>
            <w:r>
              <w:rPr>
                <w:rFonts w:ascii="Arial" w:cs="Arial" w:eastAsia="Arial" w:hAnsi="Arial"/>
                <w:sz w:val="18"/>
                <w:szCs w:val="18"/>
                <w:color w:val="auto"/>
              </w:rPr>
              <w:t>Total assets acquired</w:t>
            </w:r>
          </w:p>
        </w:tc>
        <w:tc>
          <w:tcPr>
            <w:tcW w:w="236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177,950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5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lease liabilities</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Deferred tax liabilities</w:t>
            </w:r>
          </w:p>
        </w:tc>
        <w:tc>
          <w:tcPr>
            <w:tcW w:w="23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196"/>
        </w:trPr>
        <w:tc>
          <w:tcPr>
            <w:tcW w:w="5860" w:type="dxa"/>
            <w:vAlign w:val="bottom"/>
            <w:gridSpan w:val="3"/>
          </w:tcPr>
          <w:p>
            <w:pPr>
              <w:spacing w:after="0" w:line="196" w:lineRule="exact"/>
              <w:rPr>
                <w:sz w:val="20"/>
                <w:szCs w:val="20"/>
                <w:color w:val="auto"/>
              </w:rPr>
            </w:pPr>
            <w:r>
              <w:rPr>
                <w:rFonts w:ascii="Arial" w:cs="Arial" w:eastAsia="Arial" w:hAnsi="Arial"/>
                <w:sz w:val="18"/>
                <w:szCs w:val="18"/>
                <w:color w:val="auto"/>
              </w:rPr>
              <w:t>Total liabilities assumed</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32,289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Net assets acquired</w:t>
            </w:r>
          </w:p>
        </w:tc>
        <w:tc>
          <w:tcPr>
            <w:tcW w:w="23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80" w:hanging="652"/>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gross contractual accounts receivable totaled $44.2 million. The fair value of accounts receivable reflects our best estimate at the acquisition date of contractual cash flows not expected to be collected.</w:t>
      </w:r>
    </w:p>
    <w:p>
      <w:pPr>
        <w:spacing w:after="0" w:line="197"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The purchase price allocation is subject to revision as acquisition-date fair value analyses are completed and if additional information about facts and circumstances that existed at the acquisition date becomes available. The purchase price consideration, as well as the estimated fair values of the assets acquired and liabilities assumed, will be finalized as soon as practicable, but no later than one year from the closing of the Alliance acquisition.</w:t>
      </w:r>
    </w:p>
    <w:p>
      <w:pPr>
        <w:spacing w:after="0" w:line="20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Acquisition and integration costs consist of legal and professional fees as well as costs incurred to integrate Alliance’s operations and systems and to align its financial processes and procedures with those of Helix. Those costs are expensed as incurred and are presented separately from “Selling, general and administrative expenses” in the accompanying condensed consolidated statements of operations. Also presented separately are the changes in fair value of the contingent earn-out consideration (Note 16).</w:t>
      </w:r>
    </w:p>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pro forma summary below presents the results of operations as if the Alliance acquisition had occurred on January 1, 2021 and includes transaction accounting adjustments such as incremental depreciation and amortization expense from acquired tangible and intangible assets, elimination of interest expense on Alliance’s long-term debt that was paid off, acquisition and integration cost accruals, and tax-related effects. The pro forma summary uses estimates and assumptions based on information available at the time. Management believes the estimates and assumptions to be reasonable; however, actual results may have differed significantly from this pro forma financial information. The pro forma information does not reflect any cost savings, operating synergies or revenue enhancements that might have been achieved from combining the operations. The unaudited pro forma summary is provided for illustrative purposes only and does not purport to represent Helix’s actual consolidated results of operations had the acquisition been completed as of the date presented, nor should it be considered indicative of Helix’s future consolidated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4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8480" w:type="dxa"/>
            <w:vAlign w:val="bottom"/>
            <w:gridSpan w:val="13"/>
          </w:tcPr>
          <w:p>
            <w:pPr>
              <w:ind w:left="660"/>
              <w:spacing w:after="0"/>
              <w:rPr>
                <w:sz w:val="20"/>
                <w:szCs w:val="20"/>
                <w:color w:val="auto"/>
              </w:rPr>
            </w:pPr>
            <w:r>
              <w:rPr>
                <w:rFonts w:ascii="Arial" w:cs="Arial" w:eastAsia="Arial" w:hAnsi="Arial"/>
                <w:sz w:val="18"/>
                <w:szCs w:val="18"/>
                <w:color w:val="auto"/>
              </w:rPr>
              <w:t>The following table summarizes the pro forma results of Helix and Alliance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20" w:type="dxa"/>
            <w:vAlign w:val="bottom"/>
            <w:gridSpan w:val="8"/>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320" w:type="dxa"/>
            <w:vAlign w:val="bottom"/>
            <w:tcBorders>
              <w:bottom w:val="single" w:sz="8" w:color="auto"/>
            </w:tcBorders>
            <w:gridSpan w:val="8"/>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44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228,574</w:t>
            </w:r>
          </w:p>
        </w:tc>
        <w:tc>
          <w:tcPr>
            <w:tcW w:w="2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665,021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591,179</w:t>
            </w:r>
          </w:p>
        </w:tc>
        <w:tc>
          <w:tcPr>
            <w:tcW w:w="0" w:type="dxa"/>
            <w:vAlign w:val="bottom"/>
          </w:tcPr>
          <w:p>
            <w:pPr>
              <w:spacing w:after="0"/>
              <w:rPr>
                <w:sz w:val="1"/>
                <w:szCs w:val="1"/>
                <w:color w:val="auto"/>
              </w:rPr>
            </w:pPr>
          </w:p>
        </w:tc>
      </w:tr>
      <w:tr>
        <w:trPr>
          <w:trHeight w:val="217"/>
        </w:trPr>
        <w:tc>
          <w:tcPr>
            <w:tcW w:w="44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(8,828)</w:t>
            </w:r>
          </w:p>
        </w:tc>
        <w:tc>
          <w:tcPr>
            <w:tcW w:w="1240" w:type="dxa"/>
            <w:vAlign w:val="bottom"/>
            <w:gridSpan w:val="6"/>
          </w:tcPr>
          <w:p>
            <w:pPr>
              <w:jc w:val="right"/>
              <w:spacing w:after="0"/>
              <w:rPr>
                <w:sz w:val="20"/>
                <w:szCs w:val="20"/>
                <w:color w:val="auto"/>
              </w:rPr>
            </w:pPr>
            <w:r>
              <w:rPr>
                <w:rFonts w:ascii="Arial" w:cs="Arial" w:eastAsia="Arial" w:hAnsi="Arial"/>
                <w:sz w:val="18"/>
                <w:szCs w:val="18"/>
                <w:color w:val="auto"/>
              </w:rPr>
              <w:t>(81,069)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(29,620)</w:t>
            </w:r>
          </w:p>
        </w:tc>
        <w:tc>
          <w:tcPr>
            <w:tcW w:w="0" w:type="dxa"/>
            <w:vAlign w:val="bottom"/>
          </w:tcPr>
          <w:p>
            <w:pPr>
              <w:spacing w:after="0"/>
              <w:rPr>
                <w:sz w:val="1"/>
                <w:szCs w:val="1"/>
                <w:color w:val="auto"/>
              </w:rPr>
            </w:pPr>
          </w:p>
        </w:tc>
      </w:tr>
      <w:tr>
        <w:trPr>
          <w:trHeight w:val="418"/>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Note 4 — Details of Certain Accounts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140" w:type="dxa"/>
            <w:vAlign w:val="bottom"/>
            <w:gridSpan w:val="6"/>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Contract assets (Note 8)</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746</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3"/>
        </w:trPr>
        <w:tc>
          <w:tcPr>
            <w:tcW w:w="4420" w:type="dxa"/>
            <w:vAlign w:val="bottom"/>
            <w:gridSpan w:val="3"/>
          </w:tcPr>
          <w:p>
            <w:pPr>
              <w:spacing w:after="0" w:line="202" w:lineRule="exact"/>
              <w:rPr>
                <w:sz w:val="20"/>
                <w:szCs w:val="20"/>
                <w:color w:val="auto"/>
              </w:rPr>
            </w:pPr>
            <w:r>
              <w:rPr>
                <w:rFonts w:ascii="Arial" w:cs="Arial" w:eastAsia="Arial" w:hAnsi="Arial"/>
                <w:sz w:val="18"/>
                <w:szCs w:val="18"/>
                <w:color w:val="auto"/>
              </w:rPr>
              <w:t>Prepaids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30,371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18,228</w:t>
            </w:r>
          </w:p>
        </w:tc>
        <w:tc>
          <w:tcPr>
            <w:tcW w:w="0" w:type="dxa"/>
            <w:vAlign w:val="bottom"/>
          </w:tcPr>
          <w:p>
            <w:pPr>
              <w:spacing w:after="0"/>
              <w:rPr>
                <w:sz w:val="1"/>
                <w:szCs w:val="1"/>
                <w:color w:val="auto"/>
              </w:rPr>
            </w:pPr>
          </w:p>
        </w:tc>
      </w:tr>
      <w:tr>
        <w:trPr>
          <w:trHeight w:val="203"/>
        </w:trPr>
        <w:tc>
          <w:tcPr>
            <w:tcW w:w="44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Deferred costs (Note 8)</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13,634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03"/>
        </w:trPr>
        <w:tc>
          <w:tcPr>
            <w:tcW w:w="4420" w:type="dxa"/>
            <w:vAlign w:val="bottom"/>
            <w:gridSpan w:val="3"/>
          </w:tcPr>
          <w:p>
            <w:pPr>
              <w:spacing w:after="0" w:line="202" w:lineRule="exact"/>
              <w:rPr>
                <w:sz w:val="20"/>
                <w:szCs w:val="20"/>
                <w:color w:val="auto"/>
              </w:rPr>
            </w:pPr>
            <w:r>
              <w:rPr>
                <w:rFonts w:ascii="Arial" w:cs="Arial" w:eastAsia="Arial" w:hAnsi="Arial"/>
                <w:sz w:val="18"/>
                <w:szCs w:val="18"/>
                <w:color w:val="auto"/>
              </w:rPr>
              <w:t>Income tax receivable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3"/>
        </w:trPr>
        <w:tc>
          <w:tcPr>
            <w:tcW w:w="44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receivable (Note 12)</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30,052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03"/>
        </w:trPr>
        <w:tc>
          <w:tcPr>
            <w:tcW w:w="442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8,498</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83,301</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58,274</w:t>
            </w:r>
          </w:p>
        </w:tc>
        <w:tc>
          <w:tcPr>
            <w:tcW w:w="0" w:type="dxa"/>
            <w:vAlign w:val="bottom"/>
          </w:tcPr>
          <w:p>
            <w:pPr>
              <w:spacing w:after="0"/>
              <w:rPr>
                <w:sz w:val="1"/>
                <w:szCs w:val="1"/>
                <w:color w:val="auto"/>
              </w:rPr>
            </w:pPr>
          </w:p>
        </w:tc>
      </w:tr>
      <w:tr>
        <w:trPr>
          <w:trHeight w:val="20"/>
        </w:trPr>
        <w:tc>
          <w:tcPr>
            <w:tcW w:w="5280" w:type="dxa"/>
            <w:vAlign w:val="bottom"/>
            <w:gridSpan w:val="5"/>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80" w:type="dxa"/>
            <w:vAlign w:val="bottom"/>
            <w:gridSpan w:val="5"/>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Deferred recertification and dry dock costs, net</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37,732</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16,291</w:t>
            </w:r>
          </w:p>
        </w:tc>
        <w:tc>
          <w:tcPr>
            <w:tcW w:w="0" w:type="dxa"/>
            <w:vAlign w:val="bottom"/>
          </w:tcPr>
          <w:p>
            <w:pPr>
              <w:spacing w:after="0"/>
              <w:rPr>
                <w:sz w:val="1"/>
                <w:szCs w:val="1"/>
                <w:color w:val="auto"/>
              </w:rPr>
            </w:pPr>
          </w:p>
        </w:tc>
      </w:tr>
      <w:tr>
        <w:trPr>
          <w:trHeight w:val="202"/>
        </w:trPr>
        <w:tc>
          <w:tcPr>
            <w:tcW w:w="442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8)</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4,873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3"/>
        </w:trPr>
        <w:tc>
          <w:tcPr>
            <w:tcW w:w="44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12,544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442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4,335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03"/>
        </w:trPr>
        <w:tc>
          <w:tcPr>
            <w:tcW w:w="44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2,704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196"/>
        </w:trPr>
        <w:tc>
          <w:tcPr>
            <w:tcW w:w="442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62,188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34,655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6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17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39,548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28,657</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2,116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6,746</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Deferred revenue (Note 8)</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20,840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8,272</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retirement obligations (Note 12)</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30,961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29,658</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17,242</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18,379</w:t>
            </w: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112,321</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91,712</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8)</w:t>
            </w:r>
          </w:p>
        </w:tc>
        <w:tc>
          <w:tcPr>
            <w:tcW w:w="28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Asset retirement obligations (Note 12)</w:t>
            </w:r>
          </w:p>
        </w:tc>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23,763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(Note 16)</w:t>
            </w:r>
          </w:p>
        </w:tc>
        <w:tc>
          <w:tcPr>
            <w:tcW w:w="2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29,364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28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53,452</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860" w:type="dxa"/>
            <w:vAlign w:val="bottom"/>
            <w:vMerge w:val="restart"/>
          </w:tcPr>
          <w:p>
            <w:pPr>
              <w:jc w:val="right"/>
              <w:ind w:right="165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9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34"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 xml:space="preserve">We charter vessels and lease facilities and equipment under non-cancelable contracts that expire on various dates through 2031. The majority of the increases in our operating leases during the nine-month period ended September 30, 2022 are related to the vessel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Canyon III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Shelia Bordelon </w:t>
      </w:r>
      <w:r>
        <w:rPr>
          <w:rFonts w:ascii="Arial" w:cs="Arial" w:eastAsia="Arial" w:hAnsi="Arial"/>
          <w:sz w:val="18"/>
          <w:szCs w:val="18"/>
          <w:color w:val="auto"/>
        </w:rPr>
        <w:t>(Note 13). We also sublease some of our facilities under non-cancelable sublease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16,088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44,348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45,391</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4,298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14,035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11,417</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6,258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22,121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13,233</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(967)</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29,388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24,603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79,574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69,074</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September 30, 2022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56,405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6,334</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57,040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5,753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62,793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47,724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35,200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867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36,067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30,569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7,589</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234,527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20,019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(36,767)</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(2,761)</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(39,528)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197,760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17,258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42,621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155,139</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11,777</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166,916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197,760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17,258</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December 31, 2021 are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55,573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5,601</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34,580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4,844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92,623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22,688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(5,633)</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(3,741)</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51,035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35,955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14,243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86,990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18,947</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61"/>
        </w:trPr>
        <w:tc>
          <w:tcPr>
            <w:tcW w:w="8440" w:type="dxa"/>
            <w:vAlign w:val="bottom"/>
            <w:gridSpan w:val="4"/>
          </w:tcPr>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tc>
        <w:tc>
          <w:tcPr>
            <w:tcW w:w="148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128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 years</w:t>
            </w:r>
          </w:p>
        </w:tc>
      </w:tr>
      <w:tr>
        <w:trPr>
          <w:trHeight w:val="217"/>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7.83 %</w:t>
            </w:r>
          </w:p>
        </w:tc>
        <w:tc>
          <w:tcPr>
            <w:tcW w:w="260" w:type="dxa"/>
            <w:vAlign w:val="bottom"/>
          </w:tcPr>
          <w:p>
            <w:pPr>
              <w:spacing w:after="0"/>
              <w:rPr>
                <w:sz w:val="18"/>
                <w:szCs w:val="18"/>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7.57 %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43,342</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46,141</w:t>
            </w: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143,357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5,975</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September 30, 2022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MARAD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Notes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6"/>
        </w:trPr>
        <w:tc>
          <w:tcPr>
            <w:tcW w:w="3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6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38,333</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8,749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8,749</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9,644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209,644</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r>
      <w:tr>
        <w:trPr>
          <w:trHeight w:val="196"/>
        </w:trPr>
        <w:tc>
          <w:tcPr>
            <w:tcW w:w="38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Gross debt</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40,913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270,913</w:t>
            </w:r>
          </w:p>
        </w:tc>
      </w:tr>
      <w:tr>
        <w:trPr>
          <w:trHeight w:val="203"/>
        </w:trPr>
        <w:tc>
          <w:tcPr>
            <w:tcW w:w="38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(4,958)</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(2,195)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(7,332)</w:t>
            </w:r>
          </w:p>
        </w:tc>
      </w:tr>
      <w:tr>
        <w:trPr>
          <w:trHeight w:val="196"/>
        </w:trPr>
        <w:tc>
          <w:tcPr>
            <w:tcW w:w="38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29,821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195,042</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38,718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263,581</w:t>
            </w:r>
          </w:p>
        </w:tc>
      </w:tr>
      <w:tr>
        <w:trPr>
          <w:trHeight w:val="203"/>
        </w:trPr>
        <w:tc>
          <w:tcPr>
            <w:tcW w:w="3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(29,821)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(8,333)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(38,154)</w:t>
            </w:r>
          </w:p>
        </w:tc>
      </w:tr>
      <w:tr>
        <w:trPr>
          <w:trHeight w:val="196"/>
        </w:trPr>
        <w:tc>
          <w:tcPr>
            <w:tcW w:w="382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195,042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30,385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225,427</w:t>
            </w: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94" w:lineRule="exact"/>
        <w:rPr>
          <w:sz w:val="20"/>
          <w:szCs w:val="20"/>
          <w:color w:val="auto"/>
        </w:rPr>
      </w:pPr>
    </w:p>
    <w:p>
      <w:pPr>
        <w:ind w:left="660" w:right="1100" w:hanging="652"/>
        <w:spacing w:after="0" w:line="47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over the term of the applicable debt agreement. Below is a summary of certain components of our indebtedness: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on July 1, 2022 we entered into a first amendment to the credit agreement (collectively, the “Amended ABL Facility”). The Amended ABL Facility provides for an $100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$50 million, subject to certain conditions.</w:t>
      </w:r>
    </w:p>
    <w:p>
      <w:pPr>
        <w:spacing w:after="0" w:line="205"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$65 million and $35 million, respectively. The Amended ABL Facility provides funding based on a borrowing base calculation that includes eligible U.S. and U.K. customer accounts receivable and cash, and provides for a $10 million sub-limit for the issuance of letters of credit. As of September 30, 2022, we had no borrowings under the Amended ABL Facility, and our available borrowing capacity under that facility, based on the borrowing base, totaled $81.8 million, net of $2.2 million of letters of credit issued under that facility.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We and certain of our U.S. and U.K. subsidiaries including Helix Alliance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205" w:lineRule="exact"/>
        <w:rPr>
          <w:sz w:val="20"/>
          <w:szCs w:val="20"/>
          <w:color w:val="auto"/>
        </w:rPr>
      </w:pPr>
    </w:p>
    <w:p>
      <w:pPr>
        <w:ind w:right="100" w:firstLine="648"/>
        <w:spacing w:after="0" w:line="248" w:lineRule="auto"/>
        <w:rPr>
          <w:sz w:val="20"/>
          <w:szCs w:val="20"/>
          <w:color w:val="auto"/>
        </w:rPr>
      </w:pPr>
      <w:r>
        <w:rPr>
          <w:rFonts w:ascii="Arial" w:cs="Arial" w:eastAsia="Arial" w:hAnsi="Arial"/>
          <w:sz w:val="17"/>
          <w:szCs w:val="17"/>
          <w:color w:val="auto"/>
        </w:rPr>
        <w:t>U.S. borrowings under the Amended ABL Facility bear interest at the Term SOFR (also known as CME Term SOFR as administered by CME Group, Inc.) rate plus a margin of 1.50% to 2.00% or at a base rate plus a margin of 0.50% to</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205"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$10 million. The Amended ABL Facility also requires us to maintain a pro forma minimum excess availability of $20 million for the 91 days prior to the maturity of each of our outstanding convertible senior notes.</w:t>
      </w:r>
    </w:p>
    <w:p>
      <w:pPr>
        <w:spacing w:after="0" w:line="208"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$50 million, (ii) establishes an excess availability requirement for the portion of any post-closing earn-out consideration related to our acquisition of Alliance that will be paid in cash (Note 3), and (iii) provides for potential pricing adjustments based on specific metrics and performance targets determined by us and Bank of America, as agent with respect to the Amended ABL Facility, related to environmental, social and governance (“ESG”) changes implemented by us in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2022 (“2022 Notes”)</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fully redeemed the $35 million remaining principal amount of the 2022 Notes plus accrued interest by delivering cash upon maturity on May 1, 2022. The effective interest rate for the 2022 Notes was 4.8%. For the nine month periods ended September 30, 2022, total interest expense related to the 2022 Notes was $0.6 million, primarily from coupon interest expense. For the three- and nine-month periods ended September 30, 2021, total interest expense related to the 2022 Notes was $ 0.4 million and $1.3 million, respectively, with coupon interest expense of $0.4 million and $1.1 million, respectively, and the amortization of issuance costs of $0.2 million for the nine-month period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2023 (“2023 Notes”)</w:t>
      </w:r>
    </w:p>
    <w:p>
      <w:pPr>
        <w:spacing w:after="0" w:line="234"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2023 Notes bear interest at a coupon interest rate of 4.125% per annum payable semi-annually in arrears on March 15 and September 15 of each year until maturity. The 2023 Notes mature on September 15, 2023 unless earlier converted, redeemed or repurchased by us. The 2023 Notes are convertible by their holders at any time beginning March 15, 2023 at an initial conversion rate of 105.6133 shares of our common stock per $1,000 principal amount, which currently represents 3,168,399 potentially convertible shares at an initial conversion price of approximately $9.47 per share of common stock. Upon conversion, we have the right to satisfy our conversion obligation by delivering cash, shares of our common stock or any combination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Prior to March 15, 2023, holders of the 2023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2023 Notes is equal to or less than 97% of the conversion value of the notes during the five consecutive business days immediately after any ten consecutive trading day period (trading price condition). Holders of the 2023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47.5260 shares of our common stock per $1,000 principal amount.</w:t>
      </w:r>
    </w:p>
    <w:p>
      <w:pPr>
        <w:spacing w:after="0" w:line="20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Prior to March 15, 2021, the 2023 Notes were not redeemable. On or after March 15, 2021, we may redeem all or any portion of the 2023 Notes if the price of our common stock has been at least 130% of the conversion price for at least 20 trading days during any 30 consecutive trading day period preceding our redemption notice. Any redemption would be payable in cash equal to 100% of the principal amount to be redeemed plus accrued and unpaid interest and a “make-whole premium” calculated as the present value of all remaining scheduled interest payments. Holders of the 2023 Notes may convert any of their notes if we call the notes for redemption. Holders of the 2023 Notes may also require us to repurchase the notes following a “fundamental change,” which includes a change of control or a termination of trading of our common stock (as defined in the indenture governing the 2023 Notes).</w:t>
      </w:r>
    </w:p>
    <w:p>
      <w:pPr>
        <w:spacing w:after="0" w:line="20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indenture governing the 2023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2023 Notes together with any accrued interest will become immediately due and payable.</w:t>
      </w:r>
    </w:p>
    <w:p>
      <w:pPr>
        <w:spacing w:after="0" w:line="205"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effective interest rate for the 2023 Notes is 4.8%. For the three- and nine-month periods ended September 30, 2022, total interest expense related to the 2023 Notes was $0.4 million and $1.1 million, respectively, with coupon interest expense of $0.3 million and $0.9 million, respectively, and the amortization of debt issuance costs of $0.1 million for the nine-month period ended September 30, 2022. For the three- and nine-month periods ended September 30, 2021, total interest expense related to the 2023 Notes was $0.3 million and $ 1.0 million, respectively, with coupon interest expense of $0.3 million and $0.9 million, respectively, and the amortization of issuance costs of $0.1 million for the nine-month period ended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2026 (“2026 Notes”)</w:t>
      </w:r>
    </w:p>
    <w:p>
      <w:pPr>
        <w:spacing w:after="0" w:line="234" w:lineRule="exact"/>
        <w:rPr>
          <w:sz w:val="20"/>
          <w:szCs w:val="20"/>
          <w:color w:val="auto"/>
        </w:rPr>
      </w:pPr>
    </w:p>
    <w:p>
      <w:pPr>
        <w:ind w:right="120" w:firstLine="648"/>
        <w:spacing w:after="0" w:line="234" w:lineRule="auto"/>
        <w:rPr>
          <w:sz w:val="20"/>
          <w:szCs w:val="20"/>
          <w:color w:val="auto"/>
        </w:rPr>
      </w:pPr>
      <w:r>
        <w:rPr>
          <w:rFonts w:ascii="Arial" w:cs="Arial" w:eastAsia="Arial" w:hAnsi="Arial"/>
          <w:sz w:val="18"/>
          <w:szCs w:val="18"/>
          <w:color w:val="auto"/>
        </w:rPr>
        <w:t>The 2026 Notes bear interest at a coupon interest rate of 6.75% per annum payable semi-annually in arrears on February 15 and August 15 of each year, beginning February 15, 2021 until maturity. The 2026 Notes mature on February 15, 2026 unless earlier converted, redeemed or repurchased by us. The 2026 Notes are convertible by their holders at any time beginning November 17, 2025 at an initial conversion rate of 143.3795 shares of our common stock per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$1,000 principal amount, which currently represents 28,675,900 potentially convertible shares at an initial conversion price of approximately $ 6.97 per share of common stock. Upon conversion, we have the right to satisfy our conversion obligation by delivering cash, shares of our common stock or any combination thereof.</w:t>
      </w:r>
    </w:p>
    <w:p>
      <w:pPr>
        <w:spacing w:after="0" w:line="203"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Prior to August 15, 2023, the 2026 Notes are not redeemable. On or after August 15, 2023, we may redeem all or any portion of the 2026 Notes if the price of our common stock has been at least 130% of the conversion price for at least 20 trading days during any 30 consecutive trading day period preceding our redemption notice. Any redemption would be payable in cash equal to 100% of the principal amount plus accrued and unpaid interest and a “make-whole premium” calculated as the present value of all remaining scheduled interest payments. Holders of the 2026 Notes may convert any of their notes if we call the notes for redemption. Holders of the 2026 Notes may also require us to repurchase the notes following a “fundamental change,” which includes a change of control or a termination of trading of our common stock (as defined in the indenture governing the 2026 Notes).</w:t>
      </w:r>
    </w:p>
    <w:p>
      <w:pPr>
        <w:spacing w:after="0" w:line="208"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spacing w:after="0" w:line="205" w:lineRule="exact"/>
        <w:rPr>
          <w:sz w:val="20"/>
          <w:szCs w:val="20"/>
          <w:color w:val="auto"/>
        </w:rPr>
      </w:pPr>
    </w:p>
    <w:p>
      <w:pPr>
        <w:jc w:val="both"/>
        <w:ind w:right="100" w:firstLine="648"/>
        <w:spacing w:after="0" w:line="237" w:lineRule="auto"/>
        <w:rPr>
          <w:sz w:val="20"/>
          <w:szCs w:val="20"/>
          <w:color w:val="auto"/>
        </w:rPr>
      </w:pPr>
      <w:r>
        <w:rPr>
          <w:rFonts w:ascii="Arial" w:cs="Arial" w:eastAsia="Arial" w:hAnsi="Arial"/>
          <w:sz w:val="18"/>
          <w:szCs w:val="18"/>
          <w:color w:val="auto"/>
        </w:rPr>
        <w:t>The effective interest rate for the 2026 Notes is 7.6%. For the three- and nine-month periods ended September 30, 2022, total interest expense related to the 2026 Notes was $3.7 million and $11.1 million, respectively, with coupon interest expense of $3.4 million and $10.1 million, respectively, and the amortization of debt issuance costs of $0.3 million and $1.0 million, respectively. For the three- and nine-month periods ended September 30, 2021, total interest expense related to the 2026 Notes was $3.7 million and $11.0 million, respectively, with coupon interest expense of $3.4 million and $10.1 million, respectively, and the amortization of debt issuance costs of $0.3 million and $0.9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Capped Calls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option counterparties. The 2026 Capped Calls are for an aggregate of 28,675,900 shares of our common stock, which corresponds to the shares into which the 2026 Notes are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strike and cap prices are subject to certain adjustments. The 2026 Capped Calls are intended to offset some or all of the potential dilution to Helix common shares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2026 Capped Calls are subject to either adjustment or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are recorded at their aggregate cost of $10.6 million as a reduction to common stock in the shareholders’ equity section of our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matures in February 2027 and bears interest at a rate of 4.93%. The agreements relating to the bonds and the terms and conditions of our obligations to MARAD in respect of the MARAD Debt are typical for U.S. government-guaranteed ship financing transactions, including customary restrictions on incurring additional liens on the </w:t>
      </w:r>
      <w:r>
        <w:rPr>
          <w:rFonts w:ascii="Arial" w:cs="Arial" w:eastAsia="Arial" w:hAnsi="Arial"/>
          <w:sz w:val="18"/>
          <w:szCs w:val="18"/>
          <w:i w:val="1"/>
          <w:iCs w:val="1"/>
          <w:color w:val="auto"/>
        </w:rPr>
        <w:t xml:space="preserve">Q4000 </w:t>
      </w:r>
      <w:r>
        <w:rPr>
          <w:rFonts w:ascii="Arial" w:cs="Arial" w:eastAsia="Arial" w:hAnsi="Arial"/>
          <w:sz w:val="18"/>
          <w:szCs w:val="18"/>
          <w:color w:val="auto"/>
        </w:rPr>
        <w:t>and trading restrictions with respect to the vessel as well as working capital requirements.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34" w:lineRule="exact"/>
        <w:rPr>
          <w:sz w:val="20"/>
          <w:szCs w:val="20"/>
          <w:color w:val="auto"/>
        </w:rPr>
      </w:pPr>
    </w:p>
    <w:p>
      <w:pPr>
        <w:ind w:right="480" w:firstLine="648"/>
        <w:spacing w:after="0" w:line="238" w:lineRule="auto"/>
        <w:rPr>
          <w:sz w:val="20"/>
          <w:szCs w:val="20"/>
          <w:color w:val="auto"/>
        </w:rPr>
      </w:pPr>
      <w:r>
        <w:rPr>
          <w:rFonts w:ascii="Arial" w:cs="Arial" w:eastAsia="Arial" w:hAnsi="Arial"/>
          <w:sz w:val="18"/>
          <w:szCs w:val="18"/>
          <w:color w:val="auto"/>
        </w:rPr>
        <w:t>In accordance with the Amended ABL Facility, the 2023 Notes, the 2026 Notes and the MARAD Debt,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September 30, 2022, we were in compliance with these covenants.</w:t>
      </w:r>
    </w:p>
    <w:p>
      <w:pPr>
        <w:spacing w:after="0" w:line="20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previously had a credit agreement (and the amendments made thereafter, collectively the “Credit Agreement”) with a group of lenders led by Bank of America. The Credit Agreement was comprised of a term loan (the “Term Loan”) and a revolving credit facility (the “Revolving Credit Facility”) with a maximum availability of $175 million and had a maturity date of December 31, 2021. Concurrent with our entering into the ABL Facility on September 30, 2021, the Credit Agreement was terminated, the $ 28 million remaining balance of the Term Loan was repaid in full and the letters of credit issued under the Revolving Credit Facility were transferred to the ABL Facility. We had no borrowings under the Revolving Credit Facility.</w:t>
      </w:r>
    </w:p>
    <w:p>
      <w:pPr>
        <w:spacing w:after="0" w:line="205"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 xml:space="preserve">We previously had a credit agreement with a syndicated bank lending group for a term loan (the “Nordea Q5000 Loan”) to finance the construction of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loan was secured by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its charter earnings. In January 2021, we repaid the remaining principal amount of $53.6 million.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6,097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15,264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18,152</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17,900</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34"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20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For the three- and nine-month periods ended September 30, 2022, we recognized income tax expense of $6.5 million and $10.1 million, respectively, resulting in effective tax rates of (53.0)% and (12.5)%, respectively. For these periods our aggregate tax expense was greater than the aggregate tax benefit of our losses primarily due to non-creditable foreign income and deemed profit taxes as well as unbenefited tax losses, resulting in negative effective tax rates. Furthermore, our mix of earnings was impacted by the acquisition of Alliance, resulting in increased U.S. earnings and tax expense as compared to the same periods in 2021. For the three- and nine-month periods ended September 30, 2021, we recognized income tax benefit of $1.1 million and $2.9 million, respectively, resulting in effective tax rates of 5.3% and 7.5%, respectively. These variances were primarily attributable to the earnings mix between our higher and lower tax rate jurisdictions as well as losses for which no financial statement benefits have been recognized.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 from Contracts with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Our revenues are primarily derived from short-term and long-term service contracts with customers. Our service contracts generally contain either provisions for specific time, material and equipment charges that are billed in accordance with the terms of such contracts (dayrate contracts) or lump sum payment provisions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Well</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Production</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Intercompany</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Intervention</w:t>
            </w: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Robotics</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Abandonment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Facilities</w:t>
            </w: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Eliminations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106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30, 2022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111,378</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26,695</w:t>
            </w:r>
          </w:p>
        </w:tc>
        <w:tc>
          <w:tcPr>
            <w:tcW w:w="220" w:type="dxa"/>
            <w:vAlign w:val="bottom"/>
          </w:tcPr>
          <w:p>
            <w:pPr>
              <w:spacing w:after="0"/>
              <w:rPr>
                <w:sz w:val="17"/>
                <w:szCs w:val="17"/>
                <w:color w:val="auto"/>
              </w:rPr>
            </w:pP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$ 205,339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29,487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18,448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(13,274)</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143,925</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56,182</w:t>
            </w:r>
          </w:p>
        </w:tc>
        <w:tc>
          <w:tcPr>
            <w:tcW w:w="2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67,401</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18,448</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(13,409)</w:t>
            </w:r>
          </w:p>
        </w:tc>
        <w:tc>
          <w:tcPr>
            <w:tcW w:w="20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$ 272,547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92,954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30,186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$ 123,140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38,360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12,437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18,552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(11,773)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57,576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131,314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42,623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18,552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$ 180,716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288,772</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73,684</w:t>
            </w:r>
          </w:p>
        </w:tc>
        <w:tc>
          <w:tcPr>
            <w:tcW w:w="220" w:type="dxa"/>
            <w:vAlign w:val="bottom"/>
          </w:tcPr>
          <w:p>
            <w:pPr>
              <w:spacing w:after="0"/>
              <w:rPr>
                <w:sz w:val="17"/>
                <w:szCs w:val="17"/>
                <w:color w:val="auto"/>
              </w:rPr>
            </w:pP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(770)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$ 429,087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69,699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54,420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(35,733)</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156,197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356,583</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143,383</w:t>
            </w:r>
          </w:p>
        </w:tc>
        <w:tc>
          <w:tcPr>
            <w:tcW w:w="2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67,401</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54,420</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(36,503)</w:t>
            </w:r>
          </w:p>
        </w:tc>
        <w:tc>
          <w:tcPr>
            <w:tcW w:w="20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$ 585,284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Nine months ended September 30, 2021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218,840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60,605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$ 279,445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178,547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35,825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49,217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(36,962)</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226,627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397,387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96,430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49,217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$ 506,072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are recognized when our right to consideration becomes unconditional.</w:t>
      </w:r>
    </w:p>
    <w:p>
      <w:pPr>
        <w:spacing w:after="0" w:line="212" w:lineRule="exact"/>
        <w:rPr>
          <w:sz w:val="20"/>
          <w:szCs w:val="20"/>
          <w:color w:val="auto"/>
        </w:rPr>
      </w:pPr>
    </w:p>
    <w:p>
      <w:pPr>
        <w:ind w:right="80" w:firstLine="648"/>
        <w:spacing w:after="0" w:line="253" w:lineRule="auto"/>
        <w:rPr>
          <w:sz w:val="20"/>
          <w:szCs w:val="20"/>
          <w:color w:val="auto"/>
        </w:rPr>
      </w:pPr>
      <w:r>
        <w:rPr>
          <w:rFonts w:ascii="Arial" w:cs="Arial" w:eastAsia="Arial" w:hAnsi="Arial"/>
          <w:sz w:val="17"/>
          <w:szCs w:val="17"/>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4). Contract assets were $0.7 million at September 30, 2022 and $0.6 million at December 31, 2021. We had no credit losses on our contract assets for the three- and nine-month periods ended September 30, 2022 and 2021.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obligations to provide future services to a customer for which we have already received, or</w:t>
      </w:r>
    </w:p>
    <w:p>
      <w:pPr>
        <w:spacing w:after="0" w:line="234" w:lineRule="auto"/>
        <w:rPr>
          <w:sz w:val="20"/>
          <w:szCs w:val="20"/>
          <w:color w:val="auto"/>
        </w:rPr>
      </w:pPr>
      <w:r>
        <w:rPr>
          <w:rFonts w:ascii="Arial" w:cs="Arial" w:eastAsia="Arial" w:hAnsi="Arial"/>
          <w:sz w:val="18"/>
          <w:szCs w:val="18"/>
          <w:color w:val="auto"/>
        </w:rPr>
        <w:t>have the unconditional right to receive, the consideration for those services from the customer. Contract liabilities may</w:t>
      </w:r>
    </w:p>
    <w:p>
      <w:pPr>
        <w:spacing w:after="0" w:line="235" w:lineRule="auto"/>
        <w:rPr>
          <w:sz w:val="20"/>
          <w:szCs w:val="20"/>
          <w:color w:val="auto"/>
        </w:rPr>
      </w:pPr>
      <w:r>
        <w:rPr>
          <w:rFonts w:ascii="Arial" w:cs="Arial" w:eastAsia="Arial" w:hAnsi="Arial"/>
          <w:sz w:val="18"/>
          <w:szCs w:val="18"/>
          <w:color w:val="auto"/>
        </w:rPr>
        <w:t>consist of (i) advance payments received from customers, including upfront mobilization fees allocated to a single</w:t>
      </w:r>
    </w:p>
    <w:p>
      <w:pPr>
        <w:spacing w:after="0" w:line="235" w:lineRule="auto"/>
        <w:rPr>
          <w:sz w:val="20"/>
          <w:szCs w:val="20"/>
          <w:color w:val="auto"/>
        </w:rPr>
      </w:pPr>
      <w:r>
        <w:rPr>
          <w:rFonts w:ascii="Arial" w:cs="Arial" w:eastAsia="Arial" w:hAnsi="Arial"/>
          <w:sz w:val="18"/>
          <w:szCs w:val="18"/>
          <w:color w:val="auto"/>
        </w:rPr>
        <w:t>performance obligation and recognized ratably over the contract term and/or (ii) amounts billed to the customer in excess of</w:t>
      </w:r>
    </w:p>
    <w:p>
      <w:pPr>
        <w:spacing w:after="0" w:line="235" w:lineRule="auto"/>
        <w:rPr>
          <w:sz w:val="20"/>
          <w:szCs w:val="20"/>
          <w:color w:val="auto"/>
        </w:rPr>
      </w:pPr>
      <w:r>
        <w:rPr>
          <w:rFonts w:ascii="Arial" w:cs="Arial" w:eastAsia="Arial" w:hAnsi="Arial"/>
          <w:sz w:val="18"/>
          <w:szCs w:val="18"/>
          <w:color w:val="auto"/>
        </w:rPr>
        <w:t>revenue recognized for lump sum contracts when the cost-to-cost method of revenue recognition is utilized. Contract</w:t>
      </w:r>
    </w:p>
    <w:p>
      <w:pPr>
        <w:spacing w:after="0" w:line="235" w:lineRule="auto"/>
        <w:rPr>
          <w:sz w:val="20"/>
          <w:szCs w:val="20"/>
          <w:color w:val="auto"/>
        </w:rPr>
      </w:pPr>
      <w:r>
        <w:rPr>
          <w:rFonts w:ascii="Arial" w:cs="Arial" w:eastAsia="Arial" w:hAnsi="Arial"/>
          <w:sz w:val="18"/>
          <w:szCs w:val="18"/>
          <w:color w:val="auto"/>
        </w:rPr>
        <w:t>liabilities are reflected as “Deferred revenue,” a component of “Accrued liabilities” and “Other non-current liabilities” in the</w:t>
      </w:r>
    </w:p>
    <w:p>
      <w:pPr>
        <w:spacing w:after="0" w:line="234" w:lineRule="auto"/>
        <w:rPr>
          <w:sz w:val="20"/>
          <w:szCs w:val="20"/>
          <w:color w:val="auto"/>
        </w:rPr>
      </w:pPr>
      <w:r>
        <w:rPr>
          <w:rFonts w:ascii="Arial" w:cs="Arial" w:eastAsia="Arial" w:hAnsi="Arial"/>
          <w:sz w:val="18"/>
          <w:szCs w:val="18"/>
          <w:color w:val="auto"/>
        </w:rPr>
        <w:t>accompanying condensed consolidated balance sheets (Note 4). Contract liabilities totaled $20.8 million at September 30,</w:t>
      </w:r>
    </w:p>
    <w:p>
      <w:pPr>
        <w:spacing w:after="0" w:line="235" w:lineRule="auto"/>
        <w:rPr>
          <w:sz w:val="20"/>
          <w:szCs w:val="20"/>
          <w:color w:val="auto"/>
        </w:rPr>
      </w:pPr>
      <w:r>
        <w:rPr>
          <w:rFonts w:ascii="Arial" w:cs="Arial" w:eastAsia="Arial" w:hAnsi="Arial"/>
          <w:sz w:val="18"/>
          <w:szCs w:val="18"/>
          <w:color w:val="auto"/>
        </w:rPr>
        <w:t>2022 and $8.7 million at December 31, 2021. Revenue recognized for the three- and nine-month periods ended</w:t>
      </w:r>
    </w:p>
    <w:p>
      <w:pPr>
        <w:spacing w:after="0" w:line="235" w:lineRule="auto"/>
        <w:rPr>
          <w:sz w:val="20"/>
          <w:szCs w:val="20"/>
          <w:color w:val="auto"/>
        </w:rPr>
      </w:pPr>
      <w:r>
        <w:rPr>
          <w:rFonts w:ascii="Arial" w:cs="Arial" w:eastAsia="Arial" w:hAnsi="Arial"/>
          <w:sz w:val="18"/>
          <w:szCs w:val="18"/>
          <w:color w:val="auto"/>
        </w:rPr>
        <w:t>September 30, 2022 included $2.7 million and $7.0 million, respectively, that were included in the contract liability balance at</w:t>
      </w:r>
    </w:p>
    <w:p>
      <w:pPr>
        <w:spacing w:after="0" w:line="235" w:lineRule="auto"/>
        <w:rPr>
          <w:sz w:val="20"/>
          <w:szCs w:val="20"/>
          <w:color w:val="auto"/>
        </w:rPr>
      </w:pPr>
      <w:r>
        <w:rPr>
          <w:rFonts w:ascii="Arial" w:cs="Arial" w:eastAsia="Arial" w:hAnsi="Arial"/>
          <w:sz w:val="18"/>
          <w:szCs w:val="18"/>
          <w:color w:val="auto"/>
        </w:rPr>
        <w:t>the beginning of each period. Revenue recognized for the three- and nine-month periods ended September 30, 2021</w:t>
      </w:r>
    </w:p>
    <w:p>
      <w:pPr>
        <w:spacing w:after="0" w:line="235" w:lineRule="auto"/>
        <w:rPr>
          <w:sz w:val="20"/>
          <w:szCs w:val="20"/>
          <w:color w:val="auto"/>
        </w:rPr>
      </w:pPr>
      <w:r>
        <w:rPr>
          <w:rFonts w:ascii="Arial" w:cs="Arial" w:eastAsia="Arial" w:hAnsi="Arial"/>
          <w:sz w:val="18"/>
          <w:szCs w:val="18"/>
          <w:color w:val="auto"/>
        </w:rPr>
        <w:t>included $4.0 million and $6.7 million, respectively, that were included in the contract liability balance at the beginning of</w:t>
      </w:r>
    </w:p>
    <w:p>
      <w:pPr>
        <w:spacing w:after="0"/>
        <w:rPr>
          <w:sz w:val="20"/>
          <w:szCs w:val="20"/>
          <w:color w:val="auto"/>
        </w:rPr>
      </w:pPr>
      <w:r>
        <w:rPr>
          <w:rFonts w:ascii="Arial" w:cs="Arial" w:eastAsia="Arial" w:hAnsi="Arial"/>
          <w:sz w:val="18"/>
          <w:szCs w:val="18"/>
          <w:color w:val="auto"/>
        </w:rPr>
        <w:t>each period.</w:t>
      </w:r>
    </w:p>
    <w:p>
      <w:pPr>
        <w:spacing w:after="0" w:line="212"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We report the net contract asset or contract liability position on a contract-by-contract basis at the end of each reporting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4" w:lineRule="exact"/>
        <w:rPr>
          <w:sz w:val="20"/>
          <w:szCs w:val="20"/>
          <w:color w:val="auto"/>
        </w:rPr>
      </w:pPr>
    </w:p>
    <w:p>
      <w:pPr>
        <w:ind w:right="240" w:firstLine="648"/>
        <w:spacing w:after="0" w:line="237" w:lineRule="auto"/>
        <w:rPr>
          <w:sz w:val="20"/>
          <w:szCs w:val="20"/>
          <w:color w:val="auto"/>
        </w:rPr>
      </w:pPr>
      <w:r>
        <w:rPr>
          <w:rFonts w:ascii="Arial" w:cs="Arial" w:eastAsia="Arial" w:hAnsi="Arial"/>
          <w:sz w:val="18"/>
          <w:szCs w:val="18"/>
          <w:color w:val="auto"/>
        </w:rPr>
        <w:t>As of September 30, 2022, $758.4 million related to unsatisfied performance obligations was expected to be recognized as revenue in the future, with $162.0 million, $426.4 million and $170.0 million in 2022, 2023 and 2024,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September 30, 2022.</w:t>
      </w:r>
    </w:p>
    <w:p>
      <w:pPr>
        <w:spacing w:after="0" w:line="205"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the three- and nine-month periods ended September 30, 2022 and 2021, revenues recognized from performance obligations satisfied (or partially satisfied) in previous periods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w:t>
      </w:r>
    </w:p>
    <w:p>
      <w:pPr>
        <w:spacing w:after="0" w:line="234" w:lineRule="auto"/>
        <w:rPr>
          <w:sz w:val="20"/>
          <w:szCs w:val="20"/>
          <w:color w:val="auto"/>
        </w:rPr>
      </w:pPr>
      <w:r>
        <w:rPr>
          <w:rFonts w:ascii="Arial" w:cs="Arial" w:eastAsia="Arial" w:hAnsi="Arial"/>
          <w:sz w:val="18"/>
          <w:szCs w:val="18"/>
          <w:color w:val="auto"/>
        </w:rPr>
        <w:t>costs primarily relate to costs incurred for mobilization of personnel and equipment at the beginning of a contract and costs</w:t>
      </w:r>
    </w:p>
    <w:p>
      <w:pPr>
        <w:spacing w:after="0" w:line="235" w:lineRule="auto"/>
        <w:rPr>
          <w:sz w:val="20"/>
          <w:szCs w:val="20"/>
          <w:color w:val="auto"/>
        </w:rPr>
      </w:pPr>
      <w:r>
        <w:rPr>
          <w:rFonts w:ascii="Arial" w:cs="Arial" w:eastAsia="Arial" w:hAnsi="Arial"/>
          <w:sz w:val="18"/>
          <w:szCs w:val="18"/>
          <w:color w:val="auto"/>
        </w:rPr>
        <w:t>incurred for demobilization at the end of a contract. Mobilization costs are deferred and amortized ratably over the contract</w:t>
      </w:r>
    </w:p>
    <w:p>
      <w:pPr>
        <w:spacing w:after="0" w:line="235" w:lineRule="auto"/>
        <w:rPr>
          <w:sz w:val="20"/>
          <w:szCs w:val="20"/>
          <w:color w:val="auto"/>
        </w:rPr>
      </w:pPr>
      <w:r>
        <w:rPr>
          <w:rFonts w:ascii="Arial" w:cs="Arial" w:eastAsia="Arial" w:hAnsi="Arial"/>
          <w:sz w:val="18"/>
          <w:szCs w:val="18"/>
          <w:color w:val="auto"/>
        </w:rPr>
        <w:t>term (including anticipated contract extensions) based on the pattern of the provision of services to which the contract</w:t>
      </w:r>
    </w:p>
    <w:p>
      <w:pPr>
        <w:spacing w:after="0"/>
        <w:rPr>
          <w:sz w:val="20"/>
          <w:szCs w:val="20"/>
          <w:color w:val="auto"/>
        </w:rPr>
      </w:pPr>
      <w:r>
        <w:rPr>
          <w:rFonts w:ascii="Arial" w:cs="Arial" w:eastAsia="Arial" w:hAnsi="Arial"/>
          <w:sz w:val="17"/>
          <w:szCs w:val="17"/>
          <w:color w:val="auto"/>
        </w:rPr>
        <w:t>fulfillment costs relate. Demobilization costs are recognized when incurred at the end of the contract. Deferred contract costs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are reflected as “Deferred costs,” a component of “Other current assets” and “Other assets, net” in the accompanying</w:t>
      </w:r>
    </w:p>
    <w:p>
      <w:pPr>
        <w:spacing w:after="0" w:line="234" w:lineRule="auto"/>
        <w:rPr>
          <w:sz w:val="20"/>
          <w:szCs w:val="20"/>
          <w:color w:val="auto"/>
        </w:rPr>
      </w:pPr>
      <w:r>
        <w:rPr>
          <w:rFonts w:ascii="Arial" w:cs="Arial" w:eastAsia="Arial" w:hAnsi="Arial"/>
          <w:sz w:val="18"/>
          <w:szCs w:val="18"/>
          <w:color w:val="auto"/>
        </w:rPr>
        <w:t>condensed consolidated balance sheets (Note 4). Our deferred contract costs totaled $18.5 million at September 30, 2022</w:t>
      </w:r>
    </w:p>
    <w:p>
      <w:pPr>
        <w:spacing w:after="0" w:line="235" w:lineRule="auto"/>
        <w:rPr>
          <w:sz w:val="20"/>
          <w:szCs w:val="20"/>
          <w:color w:val="auto"/>
        </w:rPr>
      </w:pPr>
      <w:r>
        <w:rPr>
          <w:rFonts w:ascii="Arial" w:cs="Arial" w:eastAsia="Arial" w:hAnsi="Arial"/>
          <w:sz w:val="18"/>
          <w:szCs w:val="18"/>
          <w:color w:val="auto"/>
        </w:rPr>
        <w:t>and $3.3 million at December 31, 2021. For the three- and nine-month periods ended September 30, 2022, we recorded</w:t>
      </w:r>
    </w:p>
    <w:p>
      <w:pPr>
        <w:spacing w:after="0" w:line="235" w:lineRule="auto"/>
        <w:rPr>
          <w:sz w:val="20"/>
          <w:szCs w:val="20"/>
          <w:color w:val="auto"/>
        </w:rPr>
      </w:pPr>
      <w:r>
        <w:rPr>
          <w:rFonts w:ascii="Arial" w:cs="Arial" w:eastAsia="Arial" w:hAnsi="Arial"/>
          <w:sz w:val="18"/>
          <w:szCs w:val="18"/>
          <w:color w:val="auto"/>
        </w:rPr>
        <w:t>$8.5 million and $19.7 million, respectively, related to amortization of these deferred contract costs. For the three- and nine-</w:t>
      </w:r>
    </w:p>
    <w:p>
      <w:pPr>
        <w:spacing w:after="0" w:line="235" w:lineRule="auto"/>
        <w:rPr>
          <w:sz w:val="20"/>
          <w:szCs w:val="20"/>
          <w:color w:val="auto"/>
        </w:rPr>
      </w:pPr>
      <w:r>
        <w:rPr>
          <w:rFonts w:ascii="Arial" w:cs="Arial" w:eastAsia="Arial" w:hAnsi="Arial"/>
          <w:sz w:val="18"/>
          <w:szCs w:val="18"/>
          <w:color w:val="auto"/>
        </w:rPr>
        <w:t>month periods ended September 30, 2021, we recorded $11.7 million and $31.6 million, respectively, related to amortization</w:t>
      </w:r>
    </w:p>
    <w:p>
      <w:pPr>
        <w:spacing w:after="0"/>
        <w:rPr>
          <w:sz w:val="20"/>
          <w:szCs w:val="20"/>
          <w:color w:val="auto"/>
        </w:rPr>
      </w:pPr>
      <w:r>
        <w:rPr>
          <w:rFonts w:ascii="Arial" w:cs="Arial" w:eastAsia="Arial" w:hAnsi="Arial"/>
          <w:sz w:val="18"/>
          <w:szCs w:val="18"/>
          <w:color w:val="auto"/>
        </w:rPr>
        <w:t>of these deferred contract costs. There were no associated impairment losses for any period presented.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revenue recognition, see Notes 2 and 12 to our 2021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basic and diluted earnings per share (“EPS”) under the two-class method in periods in which we have earnings. Under the two-class method, net income or loss attributable to common shareholders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203"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Basic EPS is computed by dividing net income or loss available to common shareholders by the weighted average shares of our common stock outstanding. The calculation of diluted EPS is similar to that for basic EPS, except that the denominator includes dilutive common stock equivalents and the numerator excludes the effects of dilutive common stock equivalents, if any. The computations of the numerator (earnings or loss) and denominator (shares) to derive the basic and diluted EPS amounts presented on the face of the accompanying condensed consolidated statements of operations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4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2021</w:t>
            </w:r>
          </w:p>
        </w:tc>
      </w:tr>
      <w:tr>
        <w:trPr>
          <w:trHeight w:val="196"/>
        </w:trPr>
        <w:tc>
          <w:tcPr>
            <w:tcW w:w="4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(18,763)</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(19,043)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4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available to common shareholders</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151,331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150,088</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2021</w:t>
            </w:r>
          </w:p>
        </w:tc>
      </w:tr>
      <w:tr>
        <w:trPr>
          <w:trHeight w:val="196"/>
        </w:trPr>
        <w:tc>
          <w:tcPr>
            <w:tcW w:w="5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(90,493)</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(35,630)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Accretion of redeemable noncontrolling interests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Net loss available to common shareholders</w:t>
            </w:r>
          </w:p>
        </w:tc>
        <w:tc>
          <w:tcPr>
            <w:tcW w:w="5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(90,493)</w:t>
            </w:r>
          </w:p>
        </w:tc>
        <w:tc>
          <w:tcPr>
            <w:tcW w:w="200" w:type="dxa"/>
            <w:vAlign w:val="bottom"/>
          </w:tcPr>
          <w:p>
            <w:pPr>
              <w:spacing w:after="0"/>
              <w:rPr>
                <w:sz w:val="17"/>
                <w:szCs w:val="17"/>
                <w:color w:val="auto"/>
              </w:rPr>
            </w:pPr>
          </w:p>
        </w:tc>
        <w:tc>
          <w:tcPr>
            <w:tcW w:w="86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151,226</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(35,871)</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150,018</w:t>
            </w:r>
          </w:p>
        </w:tc>
      </w:tr>
      <w:tr>
        <w:trPr>
          <w:trHeight w:val="20"/>
        </w:trPr>
        <w:tc>
          <w:tcPr>
            <w:tcW w:w="5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38" w:lineRule="auto"/>
        <w:rPr>
          <w:sz w:val="20"/>
          <w:szCs w:val="20"/>
          <w:color w:val="auto"/>
        </w:rPr>
      </w:pPr>
      <w:r>
        <w:rPr>
          <w:rFonts w:ascii="Arial" w:cs="Arial" w:eastAsia="Arial" w:hAnsi="Arial"/>
          <w:sz w:val="18"/>
          <w:szCs w:val="18"/>
          <w:color w:val="auto"/>
        </w:rPr>
        <w:t>We had net losses for the three- and nine-month periods ended September 30, 2022 and 2021. Accordingly, our diluted EPS calculation for these periods excluded any assumed exercise or conversion of common stock equivalents. These common stock equivalents were excluded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23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9"/>
              </w:rPr>
              <w:t>Three Months Ended</w:t>
            </w:r>
          </w:p>
        </w:tc>
        <w:tc>
          <w:tcPr>
            <w:tcW w:w="22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340" w:type="dxa"/>
            <w:vAlign w:val="bottom"/>
          </w:tcPr>
          <w:p>
            <w:pPr>
              <w:spacing w:after="0"/>
              <w:rPr>
                <w:sz w:val="19"/>
                <w:szCs w:val="19"/>
                <w:color w:val="auto"/>
              </w:rPr>
            </w:pPr>
          </w:p>
        </w:tc>
        <w:tc>
          <w:tcPr>
            <w:tcW w:w="23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22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3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151,331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150,088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151,226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150,018</w:t>
            </w:r>
          </w:p>
        </w:tc>
      </w:tr>
      <w:tr>
        <w:trPr>
          <w:trHeight w:val="203"/>
        </w:trPr>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1,384</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1,332</w:t>
            </w: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1,306</w:t>
            </w:r>
          </w:p>
        </w:tc>
      </w:tr>
      <w:tr>
        <w:trPr>
          <w:trHeight w:val="196"/>
        </w:trPr>
        <w:tc>
          <w:tcPr>
            <w:tcW w:w="534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152,802</w:t>
            </w: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151,472</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152,558</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151,324</w:t>
            </w:r>
          </w:p>
        </w:tc>
      </w:tr>
      <w:tr>
        <w:trPr>
          <w:trHeight w:val="20"/>
        </w:trPr>
        <w:tc>
          <w:tcPr>
            <w:tcW w:w="5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Three Months Ended</w:t>
            </w:r>
          </w:p>
        </w:tc>
        <w:tc>
          <w:tcPr>
            <w:tcW w:w="22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22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290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2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3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r>
      <w:tr>
        <w:trPr>
          <w:trHeight w:val="864"/>
        </w:trPr>
        <w:tc>
          <w:tcPr>
            <w:tcW w:w="2900" w:type="dxa"/>
            <w:vAlign w:val="bottom"/>
          </w:tcPr>
          <w:p>
            <w:pPr>
              <w:spacing w:after="0"/>
              <w:rPr>
                <w:sz w:val="24"/>
                <w:szCs w:val="24"/>
                <w:color w:val="auto"/>
              </w:rPr>
            </w:pP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33"/>
        </w:trPr>
        <w:tc>
          <w:tcPr>
            <w:tcW w:w="29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As of September 30, 2022, there were 4.1 million shares of our common stock available for issuance under our 2005 Long-Term Incentive Plan, as amended and restated (the “2005 Incentive Plan”). During the nine-month period ended September 30, 2022, the following grants of share-based awards were made under the 2005 Incentive Plan: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5"/>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700"/>
              <w:spacing w:after="0"/>
              <w:rPr>
                <w:sz w:val="20"/>
                <w:szCs w:val="20"/>
                <w:color w:val="auto"/>
              </w:rPr>
            </w:pPr>
            <w:r>
              <w:rPr>
                <w:rFonts w:ascii="Arial" w:cs="Arial" w:eastAsia="Arial" w:hAnsi="Arial"/>
                <w:sz w:val="18"/>
                <w:szCs w:val="18"/>
                <w:b w:val="1"/>
                <w:bCs w:val="1"/>
                <w:color w:val="auto"/>
              </w:rPr>
              <w:t>Vesting Period</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2022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1,065,705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(1)</w:t>
            </w:r>
          </w:p>
        </w:tc>
        <w:tc>
          <w:tcPr>
            <w:tcW w:w="19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1,065,705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January 4, 2025</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4, 2022 </w:t>
            </w:r>
            <w:r>
              <w:rPr>
                <w:rFonts w:ascii="Arial" w:cs="Arial" w:eastAsia="Arial" w:hAnsi="Arial"/>
                <w:sz w:val="23"/>
                <w:szCs w:val="23"/>
                <w:color w:val="auto"/>
                <w:vertAlign w:val="superscript"/>
              </w:rPr>
              <w:t>(2)</w:t>
            </w:r>
          </w:p>
        </w:tc>
        <w:tc>
          <w:tcPr>
            <w:tcW w:w="194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15,775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2024</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April 1, 2022 </w:t>
            </w:r>
            <w:r>
              <w:rPr>
                <w:rFonts w:ascii="Arial" w:cs="Arial" w:eastAsia="Arial" w:hAnsi="Arial"/>
                <w:sz w:val="23"/>
                <w:szCs w:val="23"/>
                <w:color w:val="auto"/>
                <w:vertAlign w:val="superscript"/>
              </w:rPr>
              <w:t>(2)</w:t>
            </w:r>
          </w:p>
        </w:tc>
        <w:tc>
          <w:tcPr>
            <w:tcW w:w="19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14,710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4.78</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January 1, 2024</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July 1, 2022 </w:t>
            </w:r>
            <w:r>
              <w:rPr>
                <w:rFonts w:ascii="Arial" w:cs="Arial" w:eastAsia="Arial" w:hAnsi="Arial"/>
                <w:sz w:val="23"/>
                <w:szCs w:val="23"/>
                <w:color w:val="auto"/>
                <w:vertAlign w:val="superscript"/>
              </w:rPr>
              <w:t>(2)</w:t>
            </w:r>
          </w:p>
        </w:tc>
        <w:tc>
          <w:tcPr>
            <w:tcW w:w="194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14,867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2024</w:t>
            </w:r>
          </w:p>
        </w:tc>
      </w:tr>
      <w:tr>
        <w:trPr>
          <w:trHeight w:val="345"/>
        </w:trPr>
        <w:tc>
          <w:tcPr>
            <w:tcW w:w="1940" w:type="dxa"/>
            <w:vAlign w:val="bottom"/>
          </w:tcPr>
          <w:p>
            <w:pPr>
              <w:spacing w:after="0"/>
              <w:rPr>
                <w:sz w:val="20"/>
                <w:szCs w:val="20"/>
                <w:color w:val="auto"/>
              </w:rPr>
            </w:pPr>
            <w:r>
              <w:rPr>
                <w:rFonts w:ascii="Arial" w:cs="Arial" w:eastAsia="Arial" w:hAnsi="Arial"/>
                <w:sz w:val="18"/>
                <w:szCs w:val="18"/>
                <w:color w:val="auto"/>
              </w:rPr>
              <w:t xml:space="preserve">September 22, 2022 </w:t>
            </w:r>
            <w:r>
              <w:rPr>
                <w:rFonts w:ascii="Arial" w:cs="Arial" w:eastAsia="Arial" w:hAnsi="Arial"/>
                <w:sz w:val="26"/>
                <w:szCs w:val="26"/>
                <w:color w:val="auto"/>
                <w:vertAlign w:val="superscript"/>
              </w:rPr>
              <w:t>(3)</w:t>
            </w:r>
          </w:p>
        </w:tc>
        <w:tc>
          <w:tcPr>
            <w:tcW w:w="1940" w:type="dxa"/>
            <w:vAlign w:val="bottom"/>
            <w:gridSpan w:val="3"/>
          </w:tcPr>
          <w:p>
            <w:pPr>
              <w:ind w:left="220"/>
              <w:spacing w:after="0"/>
              <w:rPr>
                <w:sz w:val="20"/>
                <w:szCs w:val="20"/>
                <w:color w:val="auto"/>
              </w:rPr>
            </w:pPr>
            <w:r>
              <w:rPr>
                <w:rFonts w:ascii="Arial" w:cs="Arial" w:eastAsia="Arial" w:hAnsi="Arial"/>
                <w:sz w:val="18"/>
                <w:szCs w:val="18"/>
                <w:color w:val="auto"/>
              </w:rPr>
              <w:t>Restricted stock</w:t>
            </w:r>
          </w:p>
        </w:tc>
        <w:tc>
          <w:tcPr>
            <w:tcW w:w="1280" w:type="dxa"/>
            <w:vAlign w:val="bottom"/>
          </w:tcPr>
          <w:p>
            <w:pPr>
              <w:jc w:val="right"/>
              <w:spacing w:after="0"/>
              <w:rPr>
                <w:sz w:val="20"/>
                <w:szCs w:val="20"/>
                <w:color w:val="auto"/>
              </w:rPr>
            </w:pPr>
            <w:r>
              <w:rPr>
                <w:rFonts w:ascii="Arial" w:cs="Arial" w:eastAsia="Arial" w:hAnsi="Arial"/>
                <w:sz w:val="18"/>
                <w:szCs w:val="18"/>
                <w:color w:val="auto"/>
              </w:rPr>
              <w:t>19,328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4.38</w:t>
            </w:r>
          </w:p>
        </w:tc>
        <w:tc>
          <w:tcPr>
            <w:tcW w:w="2900" w:type="dxa"/>
            <w:vAlign w:val="bottom"/>
            <w:gridSpan w:val="2"/>
          </w:tcPr>
          <w:p>
            <w:pPr>
              <w:ind w:left="240"/>
              <w:spacing w:after="0"/>
              <w:rPr>
                <w:sz w:val="20"/>
                <w:szCs w:val="20"/>
                <w:color w:val="auto"/>
              </w:rPr>
            </w:pPr>
            <w:r>
              <w:rPr>
                <w:rFonts w:ascii="Arial" w:cs="Arial" w:eastAsia="Arial" w:hAnsi="Arial"/>
                <w:sz w:val="18"/>
                <w:szCs w:val="18"/>
                <w:color w:val="auto"/>
              </w:rPr>
              <w:t>100% on September 22,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1568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200" w:hanging="652"/>
        <w:spacing w:after="0" w:line="23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of Directors (our “Board”) who have elected to take their quarterly fees in stock in lieu of cash, of which 8,013 shares granted on January 4, 2022 and 5,230 shares granted on April 1, 2022 vested upon the approval of our Board’s Compensation Committee in connection with the departure of an independent director during the second quarter 2022.</w:t>
      </w:r>
    </w:p>
    <w:p>
      <w:pPr>
        <w:spacing w:after="0" w:line="96" w:lineRule="exact"/>
        <w:rPr>
          <w:rFonts w:ascii="Arial" w:cs="Arial" w:eastAsia="Arial" w:hAnsi="Arial"/>
          <w:sz w:val="18"/>
          <w:szCs w:val="18"/>
          <w:color w:val="auto"/>
        </w:rPr>
      </w:pPr>
    </w:p>
    <w:p>
      <w:pPr>
        <w:ind w:left="660" w:right="640" w:hanging="652"/>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restricted stock grants made to two new independent members of our Board in connection with their appointment to our Board.</w:t>
      </w:r>
    </w:p>
    <w:p>
      <w:pPr>
        <w:spacing w:after="0" w:line="197" w:lineRule="exact"/>
        <w:rPr>
          <w:sz w:val="20"/>
          <w:szCs w:val="20"/>
          <w:color w:val="auto"/>
        </w:rPr>
      </w:pPr>
    </w:p>
    <w:p>
      <w:pPr>
        <w:ind w:right="220" w:firstLine="648"/>
        <w:spacing w:after="0" w:line="237" w:lineRule="auto"/>
        <w:rPr>
          <w:sz w:val="20"/>
          <w:szCs w:val="20"/>
          <w:color w:val="auto"/>
        </w:rPr>
      </w:pPr>
      <w:r>
        <w:rPr>
          <w:rFonts w:ascii="Arial" w:cs="Arial" w:eastAsia="Arial" w:hAnsi="Arial"/>
          <w:sz w:val="18"/>
          <w:szCs w:val="18"/>
          <w:color w:val="auto"/>
        </w:rPr>
        <w:t>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in 2022. For the three- and nine-month periods ended September 30, 2022, $0.5 million and $1.9 million, respectively, were recognized as share-based compensation related to restricted stock. For the three- and nine-month periods ended September 30, 2021, $0.8 million and $2.5 million, respectively, were recognized as share-based compensation related to restricted stock.</w:t>
      </w:r>
    </w:p>
    <w:p>
      <w:pPr>
        <w:spacing w:after="0" w:line="205"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Our performance share units (“PSUs”) that were granted prior to 2021 are to be settled solely in shares of our common stock and are accounted for as equity awards. Those PSUs, which contain a service and a market condition, are based on the performance of our common stock against peer group companies. Our PSUs granted beginning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206"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For PSUs that have a service and a market condition and are accounted for as equity awards, compensation cost is measured based on the grant date estimated fair value determined using a Monte Carlo simulation model and subsequently recognized over the vesting period on a straight-line basis. For PSUs that have a service and a performance condition and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 and nine-month periods ended September 30, 2022, $1.5 million and $3.6 million, respectively, were recognized as share-based compensation related to equity PSUs. For the three- and nine-month periods ended September 30, 2021, $1.0 million and $3.1 million, respectively, were recognized as share-based compensation related to equity PSUs. In January 2022, based on the performance of our common stock price as compared to our performance peer group over a three-year period, 559,150 equity PSUs granted in 2019 vested at 157%, representing 876,469 shares of our common stock with a total market value of $3.2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Our restricted stock units (“RSUs”) may be settled in either cash or shares of our common stock upon vesting at the discretion of the Compensation Committee and have been accounted for as liability awards. Liability RSUs are measured at their estimated fair value at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 and nine-month periods ended September 30, 2022, $0.7 million and $1.5 million, respectively, were recognized as compensation cost. Compensation cost recognized for the three-month period ended September 30, 2021 was minimal. For the nine-month period ended September 30, 2021, $0.4 million was recognized as compensation cost.</w:t>
      </w:r>
    </w:p>
    <w:p>
      <w:pPr>
        <w:spacing w:after="0" w:line="208"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In 2022 and 2021, we granted fixed-value cash awards of $5.4 million and $3.5 million, respectively, to select management employees under the 2005 Incentive Plan. The value of these cash awards is recognized on a straight-line basis over a vesting period of three years. For the three- and nine-month periods ended September 30, 2022, $1.1 million and $3.2 million, respectively, were recognized as compensation cost. For the three- and nine-month periods ended September 30, 2021, $1.0 million and $3.0 million, respectively, were recognized as compensation cost.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34"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We sponsor a defined contribution 401(k) retirement plan. Our discretionary contributions are in the form of cash and consist of a 50% match of each participant’s contribution up to 5% of the participant’s salary. Our discretionary contributions were suspended for 2021 and re-activated beginning January 2022. For the three- and nine-month periods ended September 30, 2022, we made $0.4 million and $1.1 million, respectively, in contributions to the 401(k)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We have an employee stock purchase plan (the “ESPP”). As of September 30, 2022, 1.4 million shares were available for issuance under the ESPP. The ESPP currently has a purchase limit of 260 shares per employee per purchase period.</w:t>
      </w:r>
    </w:p>
    <w:p>
      <w:pPr>
        <w:spacing w:after="0" w:line="203"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For more information regarding our employee benefit plans, including the 2005 Incentive Plan and the ESPP, see Note 14 to our 2021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34" w:lineRule="exact"/>
        <w:rPr>
          <w:sz w:val="20"/>
          <w:szCs w:val="20"/>
          <w:color w:val="auto"/>
        </w:rPr>
      </w:pPr>
    </w:p>
    <w:p>
      <w:pPr>
        <w:ind w:firstLine="648"/>
        <w:spacing w:after="0" w:line="234" w:lineRule="auto"/>
        <w:rPr>
          <w:sz w:val="20"/>
          <w:szCs w:val="20"/>
          <w:color w:val="auto"/>
        </w:rPr>
      </w:pPr>
      <w:r>
        <w:rPr>
          <w:rFonts w:ascii="Arial" w:cs="Arial" w:eastAsia="Arial" w:hAnsi="Arial"/>
          <w:sz w:val="18"/>
          <w:szCs w:val="18"/>
          <w:color w:val="auto"/>
        </w:rPr>
        <w:t xml:space="preserve">Through the second quarter 2022, we had three reportable business segments: Well Intervention, Robotics and Production Facilities. Beginning in the third quarter 2022 as a result of the Alliance acquisition (Note 3), we formed a new reportable business segment: Shallow Water Abandonment. Our U.S., U.K. and Brazil Well Intervention operating segments are aggregated into the Well Intervention segment for financial reporting purposes. Our Well Intervention segment provides services enabling our customers to safely access offshore wells for the purpose of performing production enhancement or decommissioning operations primarily in the Gulf of Mexico, Brazil, the North Sea and West Africa.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chartered vessels. Our well intervention equipment includes intervention systems, some of which we provide on a stand-alone basis. Our Robotics segment provides offshore construction, trenching, seabed clearance and IRM services to both the oil and gas and the renewable energy markets globally. Additionally, our Robotics services are used in and complement our well intervention services. Our Robotics segment mainly includes ROVs, trenchers and robotics support vessels under term charters as well as spot vessels as needed.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(Note 12). Our Shallow Water Abandonment segment provides services in support of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upstream and midstream industries‎ in the Gulf of Mexico shelf, including offshore oil field decommissioning and reclamation,‎</w:t>
      </w:r>
    </w:p>
    <w:p>
      <w:pPr>
        <w:ind w:right="20"/>
        <w:spacing w:after="0" w:line="238" w:lineRule="auto"/>
        <w:rPr>
          <w:sz w:val="20"/>
          <w:szCs w:val="20"/>
          <w:color w:val="auto"/>
        </w:rPr>
      </w:pPr>
      <w:r>
        <w:rPr>
          <w:rFonts w:ascii="Arial" w:cs="Arial" w:eastAsia="Arial" w:hAnsi="Arial"/>
          <w:sz w:val="18"/>
          <w:szCs w:val="18"/>
          <w:color w:val="auto"/>
        </w:rPr>
        <w:t>project management, engineered solutions, intervention, maintenance, repair, heavy lift and commercial diving services. Our Shallow Water Abandonment segment operates a diversified fleet of marine assets including liftboats, OSVs, DSVs, a heavy lift derrick barge, a crew boat, P&amp;A systems, coiled tubing systems and other miscellaneous assets. All material intercompany transactions between the segments have been eliminated.</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6"/>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6"/>
          </w:tcPr>
          <w:p>
            <w:pPr>
              <w:ind w:left="3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143,925</w:t>
            </w:r>
          </w:p>
        </w:tc>
        <w:tc>
          <w:tcPr>
            <w:tcW w:w="100" w:type="dxa"/>
            <w:vAlign w:val="bottom"/>
          </w:tcPr>
          <w:p>
            <w:pPr>
              <w:spacing w:after="0"/>
              <w:rPr>
                <w:sz w:val="17"/>
                <w:szCs w:val="17"/>
                <w:color w:val="auto"/>
              </w:rPr>
            </w:pP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131,314</w:t>
            </w:r>
          </w:p>
        </w:tc>
        <w:tc>
          <w:tcPr>
            <w:tcW w:w="80" w:type="dxa"/>
            <w:vAlign w:val="bottom"/>
          </w:tcPr>
          <w:p>
            <w:pPr>
              <w:spacing w:after="0"/>
              <w:rPr>
                <w:sz w:val="17"/>
                <w:szCs w:val="17"/>
                <w:color w:val="auto"/>
              </w:rPr>
            </w:pP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356,583</w:t>
            </w:r>
          </w:p>
        </w:tc>
        <w:tc>
          <w:tcPr>
            <w:tcW w:w="200" w:type="dxa"/>
            <w:vAlign w:val="bottom"/>
          </w:tcPr>
          <w:p>
            <w:pPr>
              <w:spacing w:after="0"/>
              <w:rPr>
                <w:sz w:val="17"/>
                <w:szCs w:val="17"/>
                <w:color w:val="auto"/>
              </w:rPr>
            </w:pPr>
          </w:p>
        </w:tc>
        <w:tc>
          <w:tcPr>
            <w:tcW w:w="22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397,387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143,383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54,420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(11,773)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(36,503)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(36,962)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180,716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585,284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(1,304)</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(13,343)</w:t>
            </w: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(55,610)</w:t>
            </w:r>
          </w:p>
        </w:tc>
        <w:tc>
          <w:tcPr>
            <w:tcW w:w="22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22,854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16,320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200"/>
              <w:spacing w:after="0" w:line="196" w:lineRule="exact"/>
              <w:rPr>
                <w:sz w:val="20"/>
                <w:szCs w:val="20"/>
                <w:color w:val="auto"/>
              </w:rPr>
            </w:pPr>
            <w:r>
              <w:rPr>
                <w:rFonts w:ascii="Arial" w:cs="Arial" w:eastAsia="Arial" w:hAnsi="Arial"/>
                <w:sz w:val="18"/>
                <w:szCs w:val="18"/>
                <w:color w:val="auto"/>
              </w:rPr>
              <w:t>Segment operating income (loss)</w:t>
            </w: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32,792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1,528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(41,255)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(39,727)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(21,827)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37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4,267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12,046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17,060</w:t>
            </w: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8,971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7,506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24,322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19,902</w:t>
            </w:r>
          </w:p>
        </w:tc>
      </w:tr>
      <w:tr>
        <w:trPr>
          <w:trHeight w:val="203"/>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72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13,409</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11,773</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36,503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36,962</w:t>
            </w: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The following table reflects total assets by reportable segment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1,769,705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2,012,214</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172,521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96,249</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200,987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Production Facilities</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138,921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119,004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other</w:t>
            </w:r>
          </w:p>
        </w:tc>
        <w:tc>
          <w:tcPr>
            <w:tcW w:w="3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73,363</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98,561</w:t>
            </w:r>
          </w:p>
        </w:tc>
        <w:tc>
          <w:tcPr>
            <w:tcW w:w="0" w:type="dxa"/>
            <w:vAlign w:val="bottom"/>
          </w:tcPr>
          <w:p>
            <w:pPr>
              <w:spacing w:after="0"/>
              <w:rPr>
                <w:sz w:val="1"/>
                <w:szCs w:val="1"/>
                <w:color w:val="auto"/>
              </w:rPr>
            </w:pPr>
          </w:p>
        </w:tc>
      </w:tr>
      <w:tr>
        <w:trPr>
          <w:trHeight w:val="196"/>
        </w:trPr>
        <w:tc>
          <w:tcPr>
            <w:tcW w:w="36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2,355,497</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2,326,028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200" w:type="dxa"/>
            <w:vAlign w:val="bottom"/>
            <w:vMerge w:val="restart"/>
          </w:tcPr>
          <w:p>
            <w:pPr>
              <w:jc w:val="right"/>
              <w:ind w:right="165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6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 Retirement Obligations</w:t>
      </w:r>
    </w:p>
    <w:p>
      <w:pPr>
        <w:spacing w:after="0" w:line="234" w:lineRule="exact"/>
        <w:rPr>
          <w:sz w:val="20"/>
          <w:szCs w:val="20"/>
          <w:color w:val="auto"/>
        </w:rPr>
      </w:pPr>
    </w:p>
    <w:p>
      <w:pPr>
        <w:ind w:right="400" w:firstLine="648"/>
        <w:spacing w:after="0" w:line="238" w:lineRule="auto"/>
        <w:rPr>
          <w:sz w:val="20"/>
          <w:szCs w:val="20"/>
          <w:color w:val="auto"/>
        </w:rPr>
      </w:pPr>
      <w:r>
        <w:rPr>
          <w:rFonts w:ascii="Arial" w:cs="Arial" w:eastAsia="Arial" w:hAnsi="Arial"/>
          <w:sz w:val="18"/>
          <w:szCs w:val="18"/>
          <w:color w:val="auto"/>
        </w:rPr>
        <w:t>Asset retirement obligations (“AROs”) are recorded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20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existing AROs relate to our Droshky oil and gas properties that we acquired from Marathon Oil Corporation (“Marathon Oil”) in January 2019. In connection with assuming the P&amp;A obligations related to those assets, we are entitled to receive agreed-upon amounts from Marathon Oil as the P&amp;A work is completed. Our ARO additions in the third quarter 2022 and a corresponding asset of $23.6 million relate to MP GOM’s 62.5% interest in the Thunder Hawk Field that we acquired in August 2022 (Note 2). The following table describes the changes in our AROs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0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30,913</w:t>
            </w:r>
          </w:p>
        </w:tc>
      </w:tr>
      <w:tr>
        <w:trPr>
          <w:trHeight w:val="203"/>
        </w:trPr>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Liability incurred during the period</w:t>
            </w:r>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23,601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Revisions in estimates</w:t>
            </w:r>
          </w:p>
        </w:tc>
        <w:tc>
          <w:tcPr>
            <w:tcW w:w="2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(2,631)</w:t>
            </w:r>
          </w:p>
        </w:tc>
      </w:tr>
      <w:tr>
        <w:trPr>
          <w:trHeight w:val="203"/>
        </w:trPr>
        <w:tc>
          <w:tcPr>
            <w:tcW w:w="48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2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1,465</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736</w:t>
            </w:r>
          </w:p>
        </w:tc>
      </w:tr>
      <w:tr>
        <w:trPr>
          <w:trHeight w:val="196"/>
        </w:trPr>
        <w:tc>
          <w:tcPr>
            <w:tcW w:w="4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September 30,</w:t>
            </w:r>
          </w:p>
        </w:tc>
        <w:tc>
          <w:tcPr>
            <w:tcW w:w="20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54,724</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29,018</w:t>
            </w:r>
          </w:p>
        </w:tc>
      </w:tr>
      <w:tr>
        <w:trPr>
          <w:trHeight w:val="20"/>
        </w:trPr>
        <w:tc>
          <w:tcPr>
            <w:tcW w:w="4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 and 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6"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 xml:space="preserve">We have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During the first quarter 2022, the charter agreements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were extended to February 2025 and February 2027, respectively, with further options to extend. We have time charter agreements for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 which were extended during the third quarter 2022 to December 2027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May 2028, respectively, with further options to renew. During the first quarter 2022, we executed short-term time charter agreements for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in the North Sea and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in the Gulf of Mexico. During the third quarter 2022, the charter agreement for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was extended to June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contingent consideration liability resulting from the Alliance acquisition is subject to risk as a result of changes in our probability weighted discounted cash flow model, which is based on internal forecasts, and changes in weighted average discount rate, which is derived from market data.</w:t>
      </w:r>
    </w:p>
    <w:p>
      <w:pPr>
        <w:spacing w:after="0" w:line="203"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believe that there are currently no other contingencies that would have a material adverse effect on our financial position,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34"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are involved in various legal proceedings, some involving claims under the General Maritime Laws of the United States and the Merchant Marine Act of 1920 (commonly referred to as the Jones Act). In addition, from time to time we receive other claims, such as contract and employment-related disputes, in the normal course of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are currently involved in several lawsuits filed by current and former offshore employees seeking overtime compensation. These suits are brought as collective actions and are in various stages of litigation. In one such lawsuit, during the third quarter 2021 the United States Court of Appeals for the Fifth Circuit (the “Fifth Circuit”) issued a ruling adverse to us that may have implications for some of the other cases in which we are involved, as well as the way offshore personnel are compensated throughout our industry. We further appealed that matter to the United States Supreme Court, which heard oral arguments in October 2022. In another such lawsuit, during the third quarter 2022 the Fifth Circuit issued a separate adverse ruling that may also have implications for some of the other cases in which we are involved. We continue to vigorously defend these lawsuits. Notwithstanding that we believe we retain valid defenses, we have established a liability in these matters. The final outcome of these matters remains uncertain, and the ultimate liability to us could be more or less than the liability established.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Statement of Cash Flow Information</w:t>
      </w:r>
    </w:p>
    <w:p>
      <w:pPr>
        <w:spacing w:after="0" w:line="234" w:lineRule="exact"/>
        <w:rPr>
          <w:sz w:val="20"/>
          <w:szCs w:val="20"/>
          <w:color w:val="auto"/>
        </w:rPr>
      </w:pPr>
    </w:p>
    <w:p>
      <w:pPr>
        <w:jc w:val="both"/>
        <w:ind w:right="280" w:firstLine="648"/>
        <w:spacing w:after="0"/>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We classify cash as restricted when there are legal or contractual restrictions for its withdrawal. The following table provides supplemental cash flow information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18,143</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19,945</w:t>
            </w: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Income taxes paid</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6,771</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rPr>
          <w:sz w:val="20"/>
          <w:szCs w:val="20"/>
          <w:color w:val="auto"/>
        </w:rPr>
      </w:pPr>
      <w:r>
        <w:rPr>
          <w:rFonts w:ascii="Arial" w:cs="Arial" w:eastAsia="Arial" w:hAnsi="Arial"/>
          <w:sz w:val="18"/>
          <w:szCs w:val="18"/>
          <w:color w:val="auto"/>
        </w:rPr>
        <w:t>These non-cash capital additions totaled $0.3 million at September 30, 2022 and December 31, 2021.</w:t>
      </w:r>
    </w:p>
    <w:p>
      <w:pPr>
        <w:spacing w:after="0" w:line="212" w:lineRule="exact"/>
        <w:rPr>
          <w:sz w:val="20"/>
          <w:szCs w:val="20"/>
          <w:color w:val="auto"/>
        </w:rPr>
      </w:pPr>
    </w:p>
    <w:p>
      <w:pPr>
        <w:jc w:val="both"/>
        <w:ind w:right="360" w:firstLine="648"/>
        <w:spacing w:after="0" w:line="274" w:lineRule="auto"/>
        <w:rPr>
          <w:sz w:val="20"/>
          <w:szCs w:val="20"/>
          <w:color w:val="auto"/>
        </w:rPr>
      </w:pPr>
      <w:r>
        <w:rPr>
          <w:rFonts w:ascii="Arial" w:cs="Arial" w:eastAsia="Arial" w:hAnsi="Arial"/>
          <w:sz w:val="17"/>
          <w:szCs w:val="17"/>
          <w:color w:val="auto"/>
        </w:rPr>
        <w:t>Non-cash investing activities for the nine-month period ended September 30, 2022 also included $26.7 million in estimated fair value of contingent earn-out consideration as of July 1, 2022, the date of the Alliance acquisition (Note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Allowance for Credit Losses</w:t>
      </w:r>
    </w:p>
    <w:p>
      <w:pPr>
        <w:spacing w:after="0" w:line="234"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activity in our allowance for credit losses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3,469</w:t>
            </w:r>
          </w:p>
        </w:tc>
      </w:tr>
      <w:tr>
        <w:trPr>
          <w:trHeight w:val="202"/>
        </w:trPr>
        <w:tc>
          <w:tcPr>
            <w:tcW w:w="2480" w:type="dxa"/>
            <w:vAlign w:val="bottom"/>
          </w:tcPr>
          <w:p>
            <w:pPr>
              <w:ind w:left="120"/>
              <w:spacing w:after="0" w:line="202" w:lineRule="exact"/>
              <w:rPr>
                <w:sz w:val="20"/>
                <w:szCs w:val="20"/>
                <w:color w:val="auto"/>
              </w:rPr>
            </w:pPr>
            <w:r>
              <w:rPr>
                <w:rFonts w:ascii="Arial" w:cs="Arial" w:eastAsia="Arial" w:hAnsi="Arial"/>
                <w:sz w:val="16"/>
                <w:szCs w:val="16"/>
                <w:color w:val="auto"/>
              </w:rPr>
              <w:t xml:space="preserve">Additions (reductions) </w:t>
            </w:r>
            <w:r>
              <w:rPr>
                <w:rFonts w:ascii="Arial" w:cs="Arial" w:eastAsia="Arial" w:hAnsi="Arial"/>
                <w:sz w:val="23"/>
                <w:szCs w:val="23"/>
                <w:color w:val="auto"/>
                <w:vertAlign w:val="superscript"/>
              </w:rPr>
              <w:t>(1)</w:t>
            </w:r>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r>
      <w:tr>
        <w:trPr>
          <w:trHeight w:val="203"/>
        </w:trPr>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Write-offs </w:t>
            </w:r>
            <w:r>
              <w:rPr>
                <w:rFonts w:ascii="Arial" w:cs="Arial" w:eastAsia="Arial" w:hAnsi="Arial"/>
                <w:sz w:val="23"/>
                <w:szCs w:val="23"/>
                <w:color w:val="auto"/>
                <w:vertAlign w:val="superscript"/>
              </w:rPr>
              <w:t>(2)</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(1,846)</w:t>
            </w:r>
          </w:p>
        </w:tc>
      </w:tr>
      <w:tr>
        <w:trPr>
          <w:trHeight w:val="196"/>
        </w:trPr>
        <w:tc>
          <w:tcPr>
            <w:tcW w:w="2480" w:type="dxa"/>
            <w:vAlign w:val="bottom"/>
          </w:tcPr>
          <w:p>
            <w:pPr>
              <w:spacing w:after="0" w:line="196" w:lineRule="exact"/>
              <w:rPr>
                <w:sz w:val="20"/>
                <w:szCs w:val="20"/>
                <w:color w:val="auto"/>
              </w:rPr>
            </w:pPr>
            <w:r>
              <w:rPr>
                <w:rFonts w:ascii="Arial" w:cs="Arial" w:eastAsia="Arial" w:hAnsi="Arial"/>
                <w:sz w:val="18"/>
                <w:szCs w:val="18"/>
                <w:color w:val="auto"/>
              </w:rPr>
              <w:t>Balance at September 30,</w:t>
            </w:r>
          </w:p>
        </w:tc>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2,187</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1,410</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94" w:lineRule="exact"/>
        <w:rPr>
          <w:sz w:val="20"/>
          <w:szCs w:val="20"/>
          <w:color w:val="auto"/>
        </w:rPr>
      </w:pPr>
    </w:p>
    <w:p>
      <w:pPr>
        <w:ind w:left="660" w:right="2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(reductions) in allowance for credit losses reflect credit loss reserves (releases) during the respective periods. Additions during the third quarter 2022 primarily reflected adjustments to the allowance for credit losses due to increases in our expected credit losses as a result of the Alliance acquisition.</w:t>
      </w:r>
    </w:p>
    <w:p>
      <w:pPr>
        <w:spacing w:after="0" w:line="94" w:lineRule="exact"/>
        <w:rPr>
          <w:rFonts w:ascii="Arial" w:cs="Arial" w:eastAsia="Arial" w:hAnsi="Arial"/>
          <w:sz w:val="18"/>
          <w:szCs w:val="18"/>
          <w:color w:val="auto"/>
        </w:rPr>
      </w:pPr>
    </w:p>
    <w:p>
      <w:pPr>
        <w:ind w:left="660" w:right="340" w:hanging="652"/>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write-offs of allowance for credit losses reflect certain receivables related to our Robotics segment that were previously reserved and subsequently deemed to be uncollectible.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203"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The following table sets forth our assets and liabilities that are measured at fair value on a recurring basis by level within the fair value hierarchy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00" w:type="dxa"/>
            <w:vAlign w:val="bottom"/>
          </w:tcPr>
          <w:p>
            <w:pPr>
              <w:spacing w:after="0"/>
              <w:rPr>
                <w:sz w:val="19"/>
                <w:szCs w:val="19"/>
                <w:color w:val="auto"/>
              </w:rPr>
            </w:pPr>
          </w:p>
        </w:tc>
        <w:tc>
          <w:tcPr>
            <w:tcW w:w="3600" w:type="dxa"/>
            <w:vAlign w:val="bottom"/>
            <w:tcBorders>
              <w:bottom w:val="single" w:sz="8" w:color="auto"/>
            </w:tcBorders>
            <w:gridSpan w:val="7"/>
          </w:tcPr>
          <w:p>
            <w:pPr>
              <w:ind w:left="760"/>
              <w:spacing w:after="0"/>
              <w:rPr>
                <w:sz w:val="20"/>
                <w:szCs w:val="20"/>
                <w:color w:val="auto"/>
              </w:rPr>
            </w:pPr>
            <w:r>
              <w:rPr>
                <w:rFonts w:ascii="Arial" w:cs="Arial" w:eastAsia="Arial" w:hAnsi="Arial"/>
                <w:sz w:val="18"/>
                <w:szCs w:val="18"/>
                <w:b w:val="1"/>
                <w:bCs w:val="1"/>
                <w:color w:val="auto"/>
              </w:rPr>
              <w:t>Fair Value at September 30, 2022</w:t>
            </w:r>
          </w:p>
        </w:tc>
        <w:tc>
          <w:tcPr>
            <w:tcW w:w="720" w:type="dxa"/>
            <w:vAlign w:val="bottom"/>
            <w:tcBorders>
              <w:bottom w:val="single" w:sz="8" w:color="auto"/>
            </w:tcBorders>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11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Level 1</w:t>
            </w:r>
          </w:p>
        </w:tc>
        <w:tc>
          <w:tcPr>
            <w:tcW w:w="11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Level 2</w:t>
            </w:r>
          </w:p>
        </w:tc>
        <w:tc>
          <w:tcPr>
            <w:tcW w:w="1360" w:type="dxa"/>
            <w:vAlign w:val="bottom"/>
            <w:gridSpan w:val="3"/>
          </w:tcPr>
          <w:p>
            <w:pPr>
              <w:ind w:left="160"/>
              <w:spacing w:after="0" w:line="196" w:lineRule="exact"/>
              <w:rPr>
                <w:sz w:val="20"/>
                <w:szCs w:val="20"/>
                <w:color w:val="auto"/>
              </w:rPr>
            </w:pPr>
            <w:r>
              <w:rPr>
                <w:rFonts w:ascii="Arial" w:cs="Arial" w:eastAsia="Arial" w:hAnsi="Arial"/>
                <w:sz w:val="18"/>
                <w:szCs w:val="18"/>
                <w:b w:val="1"/>
                <w:bCs w:val="1"/>
                <w:color w:val="auto"/>
              </w:rPr>
              <w:t>Level 3</w:t>
            </w: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17"/>
        </w:trPr>
        <w:tc>
          <w:tcPr>
            <w:tcW w:w="560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29,364</w:t>
            </w:r>
          </w:p>
        </w:tc>
      </w:tr>
    </w:tbl>
    <w:p>
      <w:pPr>
        <w:spacing w:after="0" w:line="18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Contingent consideration liability related to the Alliance acquisition (Note 3) is measured at fair value using Level 3 unobservable inputs at the end of each reporting period and changes in its estimated fair value are recorded in earnings until the liability is settled. The fair value of the estimated contingent consideration is determined based on our evaluation of the probability and amount of earnout that may be achieved based on expected future performance of Helix Alliance. The Monte Carlo simulation model is used to calculate the estimated earnout payment, which is then discounted to present value based on the expected payment date of the contingent consideration. The weighted-average volatility was 47.5% and the weighted average discount rate was estimated to be 9.2% at September 30, 2022. The changes in the fair value of contingent consideration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196"/>
        </w:trPr>
        <w:tc>
          <w:tcPr>
            <w:tcW w:w="37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Balance at July 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26,700</w:t>
            </w:r>
          </w:p>
        </w:tc>
      </w:tr>
      <w:tr>
        <w:trPr>
          <w:trHeight w:val="203"/>
        </w:trPr>
        <w:tc>
          <w:tcPr>
            <w:tcW w:w="3740" w:type="dxa"/>
            <w:vAlign w:val="bottom"/>
            <w:tcBorders>
              <w:bottom w:val="single" w:sz="8" w:color="CCEEFF"/>
            </w:tcBorders>
            <w:gridSpan w:val="3"/>
          </w:tcPr>
          <w:p>
            <w:pPr>
              <w:ind w:left="120"/>
              <w:spacing w:after="0" w:line="202" w:lineRule="exact"/>
              <w:rPr>
                <w:sz w:val="20"/>
                <w:szCs w:val="20"/>
                <w:color w:val="auto"/>
              </w:rPr>
            </w:pPr>
            <w:r>
              <w:rPr>
                <w:rFonts w:ascii="Arial" w:cs="Arial" w:eastAsia="Arial" w:hAnsi="Arial"/>
                <w:sz w:val="18"/>
                <w:szCs w:val="18"/>
                <w:color w:val="auto"/>
              </w:rPr>
              <w:t>Change in fair value</w:t>
            </w: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2,664</w:t>
            </w:r>
          </w:p>
        </w:tc>
      </w:tr>
      <w:tr>
        <w:trPr>
          <w:trHeight w:val="196"/>
        </w:trPr>
        <w:tc>
          <w:tcPr>
            <w:tcW w:w="374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w:t>
            </w: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29,364</w:t>
            </w: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8020" w:type="dxa"/>
            <w:vAlign w:val="bottom"/>
            <w:gridSpan w:val="12"/>
          </w:tcPr>
          <w:p>
            <w:pPr>
              <w:jc w:val="right"/>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4"/>
                <w:szCs w:val="24"/>
                <w:color w:val="auto"/>
              </w:rPr>
            </w:pPr>
          </w:p>
        </w:tc>
        <w:tc>
          <w:tcPr>
            <w:tcW w:w="25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December 31, 2021</w:t>
            </w:r>
          </w:p>
        </w:tc>
      </w:tr>
      <w:tr>
        <w:trPr>
          <w:trHeight w:val="166"/>
        </w:trPr>
        <w:tc>
          <w:tcPr>
            <w:tcW w:w="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6"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6"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150"/>
              <w:spacing w:after="0" w:line="166" w:lineRule="exact"/>
              <w:rPr>
                <w:sz w:val="20"/>
                <w:szCs w:val="20"/>
                <w:color w:val="auto"/>
              </w:rPr>
            </w:pPr>
            <w:r>
              <w:rPr>
                <w:rFonts w:ascii="Arial" w:cs="Arial" w:eastAsia="Arial" w:hAnsi="Arial"/>
                <w:sz w:val="18"/>
                <w:szCs w:val="18"/>
                <w:b w:val="1"/>
                <w:bCs w:val="1"/>
                <w:color w:val="auto"/>
              </w:rPr>
              <w:t>Principal</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70"/>
              <w:spacing w:after="0" w:line="166" w:lineRule="exact"/>
              <w:rPr>
                <w:sz w:val="20"/>
                <w:szCs w:val="20"/>
                <w:color w:val="auto"/>
              </w:rPr>
            </w:pPr>
            <w:r>
              <w:rPr>
                <w:rFonts w:ascii="Arial" w:cs="Arial" w:eastAsia="Arial" w:hAnsi="Arial"/>
                <w:sz w:val="18"/>
                <w:szCs w:val="18"/>
                <w:b w:val="1"/>
                <w:bCs w:val="1"/>
                <w:color w:val="auto"/>
              </w:rPr>
              <w:t>Fair</w:t>
            </w:r>
          </w:p>
        </w:tc>
      </w:tr>
      <w:tr>
        <w:trPr>
          <w:trHeight w:val="233"/>
        </w:trPr>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2"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2"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100" w:type="dxa"/>
            <w:vAlign w:val="bottom"/>
            <w:gridSpan w:val="2"/>
          </w:tcPr>
          <w:p>
            <w:pPr>
              <w:jc w:val="right"/>
              <w:ind w:right="70"/>
              <w:spacing w:after="0" w:line="232" w:lineRule="exact"/>
              <w:rPr>
                <w:sz w:val="20"/>
                <w:szCs w:val="20"/>
                <w:color w:val="auto"/>
              </w:rPr>
            </w:pPr>
            <w:r>
              <w:rPr>
                <w:rFonts w:ascii="Arial" w:cs="Arial" w:eastAsia="Arial" w:hAnsi="Arial"/>
                <w:sz w:val="18"/>
                <w:szCs w:val="18"/>
                <w:b w:val="1"/>
                <w:bCs w:val="1"/>
                <w:color w:val="auto"/>
                <w:w w:val="97"/>
              </w:rPr>
              <w:t xml:space="preserve">Amount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0"/>
              <w:spacing w:after="0" w:line="232"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37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40,496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48,850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52,481</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Notes (matured May 2022)</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34,794</w:t>
            </w:r>
          </w:p>
        </w:tc>
      </w:tr>
      <w:tr>
        <w:trPr>
          <w:trHeight w:val="203"/>
        </w:trPr>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Notes (mature September 2023)</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29,054</w:t>
            </w:r>
          </w:p>
        </w:tc>
      </w:tr>
      <w:tr>
        <w:trPr>
          <w:trHeight w:val="203"/>
        </w:trPr>
        <w:tc>
          <w:tcPr>
            <w:tcW w:w="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2026</w:t>
            </w:r>
          </w:p>
        </w:tc>
        <w:tc>
          <w:tcPr>
            <w:tcW w:w="330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Notes (mature February 2026)</w:t>
            </w: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205,754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200,562</w:t>
            </w:r>
          </w:p>
        </w:tc>
      </w:tr>
      <w:tr>
        <w:trPr>
          <w:trHeight w:val="196"/>
        </w:trPr>
        <w:tc>
          <w:tcPr>
            <w:tcW w:w="3740" w:type="dxa"/>
            <w:vAlign w:val="bottom"/>
            <w:tcBorders>
              <w:bottom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270,913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275,754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313,850</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316,891</w:t>
            </w: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
        </w:trPr>
        <w:tc>
          <w:tcPr>
            <w:tcW w:w="4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94" w:lineRule="exact"/>
        <w:rPr>
          <w:sz w:val="20"/>
          <w:szCs w:val="20"/>
          <w:color w:val="auto"/>
        </w:rPr>
      </w:pPr>
    </w:p>
    <w:p>
      <w:pPr>
        <w:ind w:left="660" w:right="60" w:hanging="652"/>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issuance costs. See Note 6 for additional disclosures on our long-term debt.</w:t>
      </w:r>
    </w:p>
    <w:p>
      <w:pPr>
        <w:spacing w:after="0" w:line="88" w:lineRule="exact"/>
        <w:rPr>
          <w:rFonts w:ascii="Arial" w:cs="Arial" w:eastAsia="Arial" w:hAnsi="Arial"/>
          <w:sz w:val="18"/>
          <w:szCs w:val="18"/>
          <w:color w:val="auto"/>
        </w:rPr>
      </w:pPr>
    </w:p>
    <w:p>
      <w:pPr>
        <w:ind w:left="660" w:right="20" w:hanging="652"/>
        <w:spacing w:after="0" w:line="23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estimated fair value of the 2022 Notes, the 2023 Notes and the 2026 Notes was determined using Level 1 fair value inputs under the market approach. The fair value of the MARAD Debt was estimated using Level 2 fair value inputs under the market approach, which was determined using a third-party evaluation of the remaining average life and outstanding principal balance of the indebtedness as compared to other obligations in the marketplace with similar terms.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206" w:lineRule="exact"/>
        <w:rPr>
          <w:sz w:val="20"/>
          <w:szCs w:val="20"/>
          <w:color w:val="auto"/>
        </w:rPr>
      </w:pPr>
    </w:p>
    <w:p>
      <w:pPr>
        <w:ind w:left="680" w:right="72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Arial" w:cs="Arial" w:eastAsia="Arial" w:hAnsi="Arial"/>
          <w:sz w:val="18"/>
          <w:szCs w:val="18"/>
          <w:color w:val="auto"/>
        </w:rPr>
      </w:pPr>
    </w:p>
    <w:p>
      <w:pPr>
        <w:ind w:left="680" w:right="24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capital expenditures or other financial items;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backlog and commercial contracts and rates thereunder;</w:t>
      </w:r>
    </w:p>
    <w:p>
      <w:pPr>
        <w:spacing w:after="0" w:line="9" w:lineRule="exact"/>
        <w:rPr>
          <w:rFonts w:ascii="Arial" w:cs="Arial" w:eastAsia="Arial" w:hAnsi="Arial"/>
          <w:sz w:val="18"/>
          <w:szCs w:val="18"/>
          <w:color w:val="auto"/>
        </w:rPr>
      </w:pPr>
    </w:p>
    <w:p>
      <w:pPr>
        <w:ind w:left="680" w:right="18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ability to enter into and/or perform commercial contracts, including the scope, timing and outcome of those contracts;</w:t>
      </w:r>
    </w:p>
    <w:p>
      <w:pPr>
        <w:spacing w:after="0" w:line="1" w:lineRule="exact"/>
        <w:rPr>
          <w:rFonts w:ascii="Arial" w:cs="Arial" w:eastAsia="Arial" w:hAnsi="Arial"/>
          <w:sz w:val="18"/>
          <w:szCs w:val="18"/>
          <w:color w:val="auto"/>
        </w:rPr>
      </w:pPr>
    </w:p>
    <w:p>
      <w:pPr>
        <w:ind w:left="680" w:right="26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the spot market, the continuation of our current backlog, our spending and cost reduction plans and our ability to manage changes, and the COVID-19 pandemic and oil price volatility and their respective effects and results on the foregoing as well as our protocols and plans;</w:t>
      </w:r>
    </w:p>
    <w:p>
      <w:pPr>
        <w:spacing w:after="0" w:line="2" w:lineRule="exact"/>
        <w:rPr>
          <w:rFonts w:ascii="Arial" w:cs="Arial" w:eastAsia="Arial" w:hAnsi="Arial"/>
          <w:sz w:val="18"/>
          <w:szCs w:val="18"/>
          <w:color w:val="auto"/>
        </w:rPr>
      </w:pPr>
    </w:p>
    <w:p>
      <w:pPr>
        <w:ind w:left="680" w:right="14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the acquisition, construction, completion, upgrades to or maintenance of vessels, systems or equipment and any anticipated costs or downtime related thereto;</w:t>
      </w:r>
    </w:p>
    <w:p>
      <w:pPr>
        <w:spacing w:after="0" w:line="1" w:lineRule="exact"/>
        <w:rPr>
          <w:rFonts w:ascii="Arial" w:cs="Arial" w:eastAsia="Arial" w:hAnsi="Arial"/>
          <w:sz w:val="18"/>
          <w:szCs w:val="18"/>
          <w:color w:val="auto"/>
        </w:rPr>
      </w:pPr>
    </w:p>
    <w:p>
      <w:pPr>
        <w:ind w:left="680" w:right="30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spacing w:after="0" w:line="1" w:lineRule="exact"/>
        <w:rPr>
          <w:rFonts w:ascii="Arial" w:cs="Arial" w:eastAsia="Arial" w:hAnsi="Arial"/>
          <w:sz w:val="18"/>
          <w:szCs w:val="18"/>
          <w:color w:val="auto"/>
        </w:rPr>
      </w:pPr>
    </w:p>
    <w:p>
      <w:pPr>
        <w:ind w:left="680" w:right="38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trade receivables and their collectability;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9" w:lineRule="exact"/>
        <w:rPr>
          <w:rFonts w:ascii="Arial" w:cs="Arial" w:eastAsia="Arial" w:hAnsi="Arial"/>
          <w:sz w:val="18"/>
          <w:szCs w:val="18"/>
          <w:color w:val="auto"/>
        </w:rPr>
      </w:pPr>
    </w:p>
    <w:p>
      <w:pPr>
        <w:ind w:left="680" w:right="70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ESG initiatives and the successes thereon or regarding our environmental efforts, including greenhouse gas emissions targets;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9" w:lineRule="exact"/>
        <w:rPr>
          <w:rFonts w:ascii="Arial" w:cs="Arial" w:eastAsia="Arial" w:hAnsi="Arial"/>
          <w:sz w:val="18"/>
          <w:szCs w:val="18"/>
          <w:color w:val="auto"/>
        </w:rPr>
      </w:pPr>
    </w:p>
    <w:p>
      <w:pPr>
        <w:ind w:left="680" w:right="26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spacing w:after="0" w:line="1" w:lineRule="exact"/>
        <w:rPr>
          <w:rFonts w:ascii="Arial" w:cs="Arial" w:eastAsia="Arial" w:hAnsi="Arial"/>
          <w:sz w:val="18"/>
          <w:szCs w:val="18"/>
          <w:color w:val="auto"/>
        </w:rPr>
      </w:pPr>
    </w:p>
    <w:p>
      <w:pPr>
        <w:ind w:left="680" w:right="14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statements that relate to non-historical or future information.</w:t>
      </w:r>
    </w:p>
    <w:p>
      <w:pPr>
        <w:spacing w:after="0" w:line="22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203" w:lineRule="exact"/>
        <w:rPr>
          <w:sz w:val="20"/>
          <w:szCs w:val="20"/>
          <w:color w:val="auto"/>
        </w:rPr>
      </w:pPr>
    </w:p>
    <w:p>
      <w:pPr>
        <w:ind w:left="680" w:right="40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domestic and global economic conditions and the future impact of such conditions on the offshore energy industry and the demand for our services;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general impact of oil and gas price volatility and the cyclical nature of the oil and gas market;</w:t>
      </w:r>
    </w:p>
    <w:p>
      <w:pPr>
        <w:spacing w:after="0" w:line="9" w:lineRule="exact"/>
        <w:rPr>
          <w:rFonts w:ascii="Arial" w:cs="Arial" w:eastAsia="Arial" w:hAnsi="Arial"/>
          <w:sz w:val="18"/>
          <w:szCs w:val="18"/>
          <w:color w:val="auto"/>
        </w:rPr>
      </w:pPr>
    </w:p>
    <w:p>
      <w:pPr>
        <w:ind w:left="680" w:right="24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p>
      <w:pPr>
        <w:spacing w:after="0" w:line="2" w:lineRule="exact"/>
        <w:rPr>
          <w:rFonts w:ascii="Arial" w:cs="Arial" w:eastAsia="Arial" w:hAnsi="Arial"/>
          <w:sz w:val="18"/>
          <w:szCs w:val="18"/>
          <w:color w:val="auto"/>
        </w:rPr>
      </w:pPr>
    </w:p>
    <w:p>
      <w:pPr>
        <w:ind w:left="680" w:right="160" w:hanging="321"/>
        <w:spacing w:after="0" w:line="246"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and effects of the COVID-19 pandemic and actions by governments, customers, suppliers and partners with respect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left="680" w:right="6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or the determination not to pursue or effect such initiatives;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any potential cancellation, deferral or modification of our work or contracts by our customers;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9" w:lineRule="exact"/>
        <w:rPr>
          <w:rFonts w:ascii="Arial" w:cs="Arial" w:eastAsia="Arial" w:hAnsi="Arial"/>
          <w:sz w:val="18"/>
          <w:szCs w:val="18"/>
          <w:color w:val="auto"/>
        </w:rPr>
      </w:pPr>
    </w:p>
    <w:p>
      <w:pPr>
        <w:ind w:left="680" w:right="20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future capital expenditures, including the amount and nature thereof;</w:t>
      </w:r>
    </w:p>
    <w:p>
      <w:pPr>
        <w:spacing w:after="0" w:line="9" w:lineRule="exact"/>
        <w:rPr>
          <w:rFonts w:ascii="Arial" w:cs="Arial" w:eastAsia="Arial" w:hAnsi="Arial"/>
          <w:sz w:val="18"/>
          <w:szCs w:val="18"/>
          <w:color w:val="auto"/>
        </w:rPr>
      </w:pPr>
    </w:p>
    <w:p>
      <w:pPr>
        <w:ind w:left="680" w:right="6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and timing of our vessel and/or system upgrades, regulatory recertification and inspection as well as major maintenance items;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delays in the delivery, chartering or customer acceptance, and terms of acceptance, of our assets;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9" w:lineRule="exact"/>
        <w:rPr>
          <w:rFonts w:ascii="Arial" w:cs="Arial" w:eastAsia="Arial" w:hAnsi="Arial"/>
          <w:sz w:val="18"/>
          <w:szCs w:val="18"/>
          <w:color w:val="auto"/>
        </w:rPr>
      </w:pPr>
    </w:p>
    <w:p>
      <w:pPr>
        <w:ind w:left="680" w:right="84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continuing efforts to control costs and improve performance;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risk management activities, including with respect to our cybersecurity initiatives;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ESG initiatives and disclosures;</w:t>
      </w:r>
    </w:p>
    <w:p>
      <w:pPr>
        <w:spacing w:after="0" w:line="9" w:lineRule="exact"/>
        <w:rPr>
          <w:rFonts w:ascii="Arial" w:cs="Arial" w:eastAsia="Arial" w:hAnsi="Arial"/>
          <w:sz w:val="18"/>
          <w:szCs w:val="18"/>
          <w:color w:val="auto"/>
        </w:rPr>
      </w:pPr>
    </w:p>
    <w:p>
      <w:pPr>
        <w:ind w:left="680" w:right="26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litigation and similar claims in which we may be involved;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9" w:lineRule="exact"/>
        <w:rPr>
          <w:rFonts w:ascii="Arial" w:cs="Arial" w:eastAsia="Arial" w:hAnsi="Arial"/>
          <w:sz w:val="18"/>
          <w:szCs w:val="18"/>
          <w:color w:val="auto"/>
        </w:rPr>
      </w:pPr>
    </w:p>
    <w:p>
      <w:pPr>
        <w:ind w:left="680" w:right="68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any future hedging activities;</w:t>
      </w:r>
    </w:p>
    <w:p>
      <w:pPr>
        <w:spacing w:after="0" w:line="9" w:lineRule="exact"/>
        <w:rPr>
          <w:rFonts w:ascii="Arial" w:cs="Arial" w:eastAsia="Arial" w:hAnsi="Arial"/>
          <w:sz w:val="18"/>
          <w:szCs w:val="18"/>
          <w:color w:val="auto"/>
        </w:rPr>
      </w:pPr>
    </w:p>
    <w:p>
      <w:pPr>
        <w:ind w:left="680" w:right="4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general, market, industry or business conditions;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factors generally described in Item 1A. Risk Factors in our 2021 Form 10-K.</w:t>
      </w:r>
    </w:p>
    <w:p>
      <w:pPr>
        <w:spacing w:after="0" w:line="225"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2021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20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2021 Form 10-K that attempt to advise interested parties of the risks and factors that may affect our business.</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1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and robotics operations. Our services are centered on a three-legged business model well positioned for a global energy transition by maximizing production of remaining oil and gas reserves, decommissioning end-of-life oil and gas reserves and supporting renewable energy developments. Our well intervention fleet includes seven purpose-built well intervention vessels and 10 intervention systems. Our robotics equipment includes 40 work-class ROVs, four trenchers, one ROVDrill and one boulder grab. We charter robotics support vessels on both long-term and spot bases to facilitate our ROV and trenching operations. Our well intervention and robotics operations are geographically dispersed throughout the world.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oil and gas properties including the recently acquired interest in the Thunder Hawk Field. On July 1, 2022, we completed our acquisition of Alliance and formed a new reporting segment in the third quarter 2022 comprised of the Helix Alliance business. Our new Shallow Water Abandonment segment includes 10 liftboats, six OSVs, three DSVs, one 1760T heavy lift derrick barge, one crew boat, 14 marketable P&amp;A systems (with the ability to scale up to 20 systems) and six coiled tubing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34" w:lineRule="exact"/>
        <w:rPr>
          <w:sz w:val="20"/>
          <w:szCs w:val="20"/>
          <w:color w:val="auto"/>
        </w:rPr>
      </w:pPr>
    </w:p>
    <w:p>
      <w:pPr>
        <w:ind w:right="260" w:firstLine="648"/>
        <w:spacing w:after="0" w:line="238"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w:t>
      </w:r>
    </w:p>
    <w:p>
      <w:pPr>
        <w:spacing w:after="0" w:line="20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Oil and gas prices experienced increased volatility and moderate declines from recent highs in the first half of 2022. Meanwhile, global demand continued to recover and supply was disrupted by regional conflicts. The outlook for sustained high oil prices should lead to higher customer spending for the industry. However, despite the current strong commodity price environment, there are broad headwinds to commodity price stability. These headwinds include those regional conflicts, high inflation and in particular governments’ and central banks’ efforts to taper economic growth, ongoing COVID-related uncertainties, various governmental and customer ESG initiatives and continued shifting of resource allocation to renewable energy. We expect these factors will continue to contribute to commodity price volatility and may temper customer spending for oil and gas projects.</w:t>
      </w:r>
    </w:p>
    <w:p>
      <w:pPr>
        <w:spacing w:after="0" w:line="208" w:lineRule="exact"/>
        <w:rPr>
          <w:sz w:val="20"/>
          <w:szCs w:val="20"/>
          <w:color w:val="auto"/>
        </w:rPr>
      </w:pPr>
    </w:p>
    <w:p>
      <w:pPr>
        <w:ind w:right="240" w:firstLine="648"/>
        <w:spacing w:after="0" w:line="238" w:lineRule="auto"/>
        <w:rPr>
          <w:sz w:val="20"/>
          <w:szCs w:val="20"/>
          <w:color w:val="auto"/>
        </w:rPr>
      </w:pPr>
      <w:r>
        <w:rPr>
          <w:rFonts w:ascii="Arial" w:cs="Arial" w:eastAsia="Arial" w:hAnsi="Arial"/>
          <w:sz w:val="18"/>
          <w:szCs w:val="18"/>
          <w:color w:val="auto"/>
        </w:rPr>
        <w:t>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20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COVID-19 pandemic resulted in new market dynamics and challenges to us, including contributing significantly to oil and gas price volatility and increased costs related to our supply chain, logistics and human capital resources. While the full impact of the COVID-19 pandemic, including the duration of its impact on economic activity, remains unknown, we expect such impact may continue into the foreseeable future, including affecting our customers’ willingness to commit to future spending, limiting access to and use of capital, disrupting supply chains and increasing costs, and negatively affecting human capital resources.</w:t>
      </w:r>
    </w:p>
    <w:p>
      <w:pPr>
        <w:spacing w:after="0" w:line="205"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Over the near-term, as oil and gas companies evaluate their budgetary spend allocations, we expect they may be weighted towards short-cycle production enhancement of existing wells rather than new long-cycle exploration projects, as historically enhancement is less expensive per incremental barrel of oil than exploration. Over the longer term, we continue to expect oil and gas companies to increasingly focus on optimizing production of their existing subsea wells. Moreover, as the subsea tree base expands and ages and customers shift resources to renewable energy, the demand for P&amp;A services should persist. Our well intervention and robotics operations service the lifecycle of an oil and gas field and provide P&amp;A services at the end of the life of a field as required by governmental regulations, and we believe that we have a competitive advantage in performing these services efficiently.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expect the fundamentals for our business will remain favorable over the longer term as the need to prolong well life in oil and gas production and safely decommission end-of-life wells are primary drivers of demand for our services. This expectation is based on multiple factors, including (1) maintaining the optimal production of a well through enhancement is fundamental to maximizing the overall economics of well production; (2) our services offer commercially viable alternatives for reducing the finding and development costs of reserves as compared to new drilling; and (3) extending the production of offshore wells not only maximizes a well’s production economics but also enables the financial benefit of delaying P&amp;A costs, which can be substantial.</w:t>
      </w:r>
    </w:p>
    <w:p>
      <w:pPr>
        <w:spacing w:after="0" w:line="20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Demand for our services in the renewable energy market is affected by various factors, including the pace of consumer shift towards renewable energy sources, global electricity demand, technological advancements that increase the production and/or reduce the cost of renewable energy, expansion of offshore renewable energy projects to deeper water, and government subsidies for renewable energy projects.</w:t>
      </w:r>
    </w:p>
    <w:p>
      <w:pPr>
        <w:spacing w:after="0" w:line="20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are subject to the effects of changing prices. Inflation rates have been relatively low and stable over the previous three decades; however, in 2021 due in part to supply chain disruptions and the effects of the COVID-19 pandemic, inflation rates began to rise significantly and remained high through the second quarter 2022. Although we are able to mitigate our exposure to price increases through the rates we charge, we bear the costs of operating and maintaining our assets, including labor and material costs as well as recertification and dry dock costs. While the cost outlook is not certain, we believe that we can manage these inflationary pressures by introducing appropriate sales price adjustments and by actively pursuing internal cost reduction efforts. However, competitive market pressures may affect our ability to recoup these price increases through the rates we charge, which may result in reductions in our operating margins and cash flows in the future. The recent high inflation rates seen in various major economies have caused concerns for central banks’ tightening of monetary policies. These concerns have contributed to stock market volatility as well as higher interest rates, which, combined with ongoing regional conflicts and unrest and continued COVID-related disruptions throughout the globe, could provide a strained macroeconomic outlook and in turn affect energy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4"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 xml:space="preserve">We define backlog as firm commitments represented by signed contracts. As of September 30, 2022, our consolidated backlog totaled $758 million, of which $162 million is expected to be performed over the remainder of 2022. Our contract with Trident Energy Do Brasil LTDA. to provide P&amp;A services offshore Brazil with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chartered vessel, our contract with Petróleo Brasileiro S.A. (“Petrobras”) to provide well intervention services offshore Brazil with the </w:t>
      </w:r>
      <w:r>
        <w:rPr>
          <w:rFonts w:ascii="Arial" w:cs="Arial" w:eastAsia="Arial" w:hAnsi="Arial"/>
          <w:sz w:val="18"/>
          <w:szCs w:val="18"/>
          <w:i w:val="1"/>
          <w:iCs w:val="1"/>
          <w:color w:val="auto"/>
        </w:rPr>
        <w:t xml:space="preserve">Siem Helix 2 </w:t>
      </w:r>
      <w:r>
        <w:rPr>
          <w:rFonts w:ascii="Arial" w:cs="Arial" w:eastAsia="Arial" w:hAnsi="Arial"/>
          <w:sz w:val="18"/>
          <w:szCs w:val="18"/>
          <w:color w:val="auto"/>
        </w:rPr>
        <w:t>chartered vessel, our well intervention contract with Shell Offshore Inc. for the</w:t>
      </w:r>
      <w:r>
        <w:rPr>
          <w:rFonts w:ascii="Arial" w:cs="Arial" w:eastAsia="Arial" w:hAnsi="Arial"/>
          <w:sz w:val="18"/>
          <w:szCs w:val="18"/>
          <w:i w:val="1"/>
          <w:iCs w:val="1"/>
          <w:color w:val="auto"/>
        </w:rPr>
        <w:t xml:space="preserve"> Q5000 </w:t>
      </w:r>
      <w:r>
        <w:rPr>
          <w:rFonts w:ascii="Arial" w:cs="Arial" w:eastAsia="Arial" w:hAnsi="Arial"/>
          <w:sz w:val="18"/>
          <w:szCs w:val="18"/>
          <w:color w:val="auto"/>
        </w:rPr>
        <w:t>and our fixed fee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represented approximately 58% of our total backlog as of September 30, 2022.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measure our operating performance based on EBITDA, Adjusted EBITDA and Free Cash Flow. EBITDA, Adjusted EBITDA and Free Cash Flow are non-GAAP financial measures that are commonly used but are not recognized accounting terms under GAAP. We use EBITDA, Adjusted EBITDA and Free Cash Flow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and Free Cash Flow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and Free Cash Flow differently from the way we do, which may limit their usefulness as comparative measures. EBITDA, Adjusted EBITDA and Free Cash Flow should not be considered in isolation or as a substitute for, but instead are supplemental to, income from operations, net income, cash flows from operating activities, or other income or cash flow data prepared in accordance with GAAP.</w:t>
      </w:r>
    </w:p>
    <w:p>
      <w:pPr>
        <w:spacing w:after="0" w:line="203"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We define EBITDA as earnings before income taxes, net interest expense, gains or losses on extinguishment of long-term debt, gains and losses on equity investments, net other income or expense, and depreciation and amortization expense. Non-cash impairment losses on goodwill and other long-lived assets are also added back if applicable. To arrive at our measure of Adjusted EBITDA, we exclude the gain or loss on disposition of assets, acquisition and integration costs, the change in fair value of contingent consideration and the general provision (release) for current expected credit losses, if any. We define Free Cash Flow as cash flows from operating activities less capital expenditures, net of proceeds from sale of assets. In the following reconciliation, we provide amounts as reflected in the condensed consolidated financial statements unless otherwise noted.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(90,493)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(35,776)</w:t>
            </w: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10,074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(2,910)</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14,617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17,900</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extinguishment of long-term debt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20,271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37,623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1,438</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35,944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102,590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106,226</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Gain on equity investment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(8,262)</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48,518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66,149</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87,002</w:t>
            </w:r>
          </w:p>
        </w:tc>
      </w:tr>
      <w:tr>
        <w:trPr>
          <w:trHeight w:val="196"/>
        </w:trPr>
        <w:tc>
          <w:tcPr>
            <w:tcW w:w="5120" w:type="dxa"/>
            <w:vAlign w:val="bottom"/>
          </w:tcPr>
          <w:p>
            <w:pPr>
              <w:ind w:left="120"/>
              <w:spacing w:after="0" w:line="196"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loss on disposition of assets, net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w:t>
            </w:r>
          </w:p>
        </w:tc>
      </w:tr>
      <w:tr>
        <w:trPr>
          <w:trHeight w:val="202"/>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2,349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5120" w:type="dxa"/>
            <w:vAlign w:val="bottom"/>
          </w:tcPr>
          <w:p>
            <w:pPr>
              <w:ind w:left="220"/>
              <w:spacing w:after="0" w:line="201" w:lineRule="exact"/>
              <w:rPr>
                <w:sz w:val="20"/>
                <w:szCs w:val="20"/>
                <w:color w:val="auto"/>
              </w:rPr>
            </w:pPr>
            <w:r>
              <w:rPr>
                <w:rFonts w:ascii="Arial" w:cs="Arial" w:eastAsia="Arial" w:hAnsi="Arial"/>
                <w:sz w:val="18"/>
                <w:szCs w:val="18"/>
                <w:color w:val="auto"/>
              </w:rPr>
              <w:t>General provision (release) for current expected credit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624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(121)</w:t>
            </w:r>
          </w:p>
        </w:tc>
      </w:tr>
      <w:tr>
        <w:trPr>
          <w:trHeight w:val="196"/>
        </w:trPr>
        <w:tc>
          <w:tcPr>
            <w:tcW w:w="5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52,568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71,853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87,512</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5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121,252</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Capital expenditures, net of proceeds from sale of assets</w:t>
            </w:r>
          </w:p>
        </w:tc>
        <w:tc>
          <w:tcPr>
            <w:tcW w:w="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(4,990)</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(3,594)</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113,917</w:t>
            </w:r>
          </w:p>
        </w:tc>
        <w:tc>
          <w:tcPr>
            <w:tcW w:w="0" w:type="dxa"/>
            <w:vAlign w:val="bottom"/>
          </w:tcPr>
          <w:p>
            <w:pPr>
              <w:spacing w:after="0"/>
              <w:rPr>
                <w:sz w:val="1"/>
                <w:szCs w:val="1"/>
                <w:color w:val="auto"/>
              </w:rPr>
            </w:pPr>
          </w:p>
        </w:tc>
      </w:tr>
      <w:tr>
        <w:trPr>
          <w:trHeight w:val="20"/>
        </w:trPr>
        <w:tc>
          <w:tcPr>
            <w:tcW w:w="5960" w:type="dxa"/>
            <w:vAlign w:val="bottom"/>
            <w:vMerge w:val="restart"/>
          </w:tcPr>
          <w:p>
            <w:pPr>
              <w:jc w:val="right"/>
              <w:ind w:right="810"/>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9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2022 and 2021</w:t>
      </w:r>
    </w:p>
    <w:p>
      <w:pPr>
        <w:spacing w:after="0" w:line="23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143,925</w:t>
            </w:r>
          </w:p>
        </w:tc>
        <w:tc>
          <w:tcPr>
            <w:tcW w:w="3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131,314</w:t>
            </w:r>
          </w:p>
        </w:tc>
        <w:tc>
          <w:tcPr>
            <w:tcW w:w="2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12,611</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56,182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42,623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13,559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18,448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(104)</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(13,409)</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(11,773)</w:t>
            </w:r>
          </w:p>
        </w:tc>
        <w:tc>
          <w:tcPr>
            <w:tcW w:w="1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(1,636)</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180,716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91,831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1,839</w:t>
            </w:r>
          </w:p>
        </w:tc>
        <w:tc>
          <w:tcPr>
            <w:tcW w:w="3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(9,570)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11,409</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6,620</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17,381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17,381</w:t>
            </w: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(373)</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(598)</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39,215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36,215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1,207 %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1 %</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24 %</w:t>
            </w: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26 %</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37 %</w:t>
            </w: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70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14 %</w:t>
            </w:r>
          </w:p>
        </w:tc>
        <w:tc>
          <w:tcPr>
            <w:tcW w:w="540" w:type="dxa"/>
            <w:vAlign w:val="bottom"/>
          </w:tcPr>
          <w:p>
            <w:pPr>
              <w:spacing w:after="0"/>
              <w:rPr>
                <w:sz w:val="17"/>
                <w:szCs w:val="17"/>
                <w:color w:val="auto"/>
              </w:rPr>
            </w:pP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20" w:type="dxa"/>
            <w:vAlign w:val="bottom"/>
            <w:gridSpan w:val="2"/>
          </w:tcPr>
          <w:p>
            <w:pPr>
              <w:spacing w:after="0" w:line="189" w:lineRule="exact"/>
              <w:rPr>
                <w:sz w:val="20"/>
                <w:szCs w:val="20"/>
                <w:color w:val="auto"/>
              </w:rPr>
            </w:pPr>
            <w:r>
              <w:rPr>
                <w:rFonts w:ascii="Arial" w:cs="Arial" w:eastAsia="Arial" w:hAnsi="Arial"/>
                <w:sz w:val="18"/>
                <w:szCs w:val="18"/>
                <w:color w:val="auto"/>
              </w:rPr>
              <w:t>Number of vessels, Robotics assets or Shallow Water</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4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Abandonment systems </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 Utilization </w:t>
            </w:r>
            <w:r>
              <w:rPr>
                <w:rFonts w:ascii="Arial" w:cs="Arial" w:eastAsia="Arial" w:hAnsi="Arial"/>
                <w:sz w:val="25"/>
                <w:szCs w:val="25"/>
                <w:color w:val="auto"/>
                <w:vertAlign w:val="superscript"/>
              </w:rPr>
              <w:t>(2)</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87 %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72 %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66 %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080" w:type="dxa"/>
            <w:vAlign w:val="bottom"/>
          </w:tcPr>
          <w:p>
            <w:pPr>
              <w:jc w:val="right"/>
              <w:ind w:right="2430"/>
              <w:spacing w:after="0" w:line="202" w:lineRule="exact"/>
              <w:rPr>
                <w:sz w:val="20"/>
                <w:szCs w:val="20"/>
                <w:color w:val="auto"/>
              </w:rPr>
            </w:pPr>
            <w:r>
              <w:rPr>
                <w:rFonts w:ascii="Arial" w:cs="Arial" w:eastAsia="Arial" w:hAnsi="Arial"/>
                <w:sz w:val="18"/>
                <w:szCs w:val="18"/>
                <w:color w:val="auto"/>
              </w:rPr>
              <w:t>/ 43 %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98 %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3080" w:type="dxa"/>
            <w:vAlign w:val="bottom"/>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99 %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8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80 %</w:t>
            </w:r>
          </w:p>
        </w:tc>
        <w:tc>
          <w:tcPr>
            <w:tcW w:w="3620" w:type="dxa"/>
            <w:vAlign w:val="bottom"/>
            <w:gridSpan w:val="2"/>
          </w:tcPr>
          <w:p>
            <w:pPr>
              <w:jc w:val="right"/>
              <w:ind w:right="2430"/>
              <w:spacing w:after="0" w:line="202" w:lineRule="exact"/>
              <w:rPr>
                <w:sz w:val="20"/>
                <w:szCs w:val="20"/>
                <w:color w:val="auto"/>
              </w:rPr>
            </w:pPr>
            <w:r>
              <w:rPr>
                <w:rFonts w:ascii="Arial" w:cs="Arial" w:eastAsia="Arial" w:hAnsi="Arial"/>
                <w:sz w:val="18"/>
                <w:szCs w:val="18"/>
                <w:color w:val="auto"/>
              </w:rPr>
              <w:t>— / —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8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 59 %</w:t>
            </w:r>
          </w:p>
        </w:tc>
        <w:tc>
          <w:tcPr>
            <w:tcW w:w="3620" w:type="dxa"/>
            <w:vAlign w:val="bottom"/>
            <w:gridSpan w:val="2"/>
            <w:shd w:val="clear" w:color="auto" w:fill="CCEEFF"/>
          </w:tcPr>
          <w:p>
            <w:pPr>
              <w:jc w:val="right"/>
              <w:ind w:right="2430"/>
              <w:spacing w:after="0" w:line="202" w:lineRule="exact"/>
              <w:rPr>
                <w:sz w:val="20"/>
                <w:szCs w:val="20"/>
                <w:color w:val="auto"/>
              </w:rPr>
            </w:pPr>
            <w:r>
              <w:rPr>
                <w:rFonts w:ascii="Arial" w:cs="Arial" w:eastAsia="Arial" w:hAnsi="Arial"/>
                <w:sz w:val="18"/>
                <w:szCs w:val="18"/>
                <w:color w:val="auto"/>
              </w:rPr>
              <w:t>— / —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 w:hanging="652"/>
        <w:spacing w:after="0" w:line="23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marketable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96" w:lineRule="exact"/>
        <w:rPr>
          <w:rFonts w:ascii="Arial" w:cs="Arial" w:eastAsia="Arial" w:hAnsi="Arial"/>
          <w:sz w:val="18"/>
          <w:szCs w:val="18"/>
          <w:color w:val="auto"/>
        </w:rPr>
      </w:pPr>
    </w:p>
    <w:p>
      <w:pPr>
        <w:ind w:left="660" w:right="320" w:hanging="652"/>
        <w:spacing w:after="0" w:line="23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marketable Shallow Water Abandonment systems generated revenues by the total number of calendar days in the applicable period. Utilization rates of chartered Robotics vessels during the three-month periods ended September 30, 2022 and 2021 included 100 and 176 spot vessel days, respectively, at near full utilization.</w:t>
      </w:r>
    </w:p>
    <w:p>
      <w:pPr>
        <w:spacing w:after="0" w:line="94"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ROVs, trenchers, an ROVDrill and a boulder grab.</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marketable P&amp;A and coiled tubing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4,267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8,971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7,506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1,465</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196"/>
        </w:trPr>
        <w:tc>
          <w:tcPr>
            <w:tcW w:w="54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13,409</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11,773</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1,636</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September 30, 2022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 as compared to the same period in 2021, primarily reflecting the addition of Shallow Water Abandonment segment in the third quarter 2022 and higher revenues from our Well Intervention and Robotics segments.</w:t>
      </w:r>
    </w:p>
    <w:p>
      <w:pPr>
        <w:spacing w:after="0" w:line="19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Our Well Intervention revenues increased by 10% for the three-month period ended September 30, 2022 as compared to the same period in 2021, primarily reflecting higher utilization and rates in the Gulf of Mexico and the North Sea, offset in part by lower utilization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in West Africa, lower rates in Brazil and the impact of weaker foreign currency exchange rates. Utilization in the Gulf of Mexico improved year over year with fewer idle days during the quarter. The North Sea fleet maintained strong utilization during the third quarter 2022 as compared to the prior year, which saw an early seasonal slowdown during the third quarter 2021.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recommenced operations mid-quarter following its scheduled maintenance whereas it was fully utilized during the third quarter 2021. In Brazil,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operated at near full utilization with lower rates under the existing contract with Petrobras during the third quarter 2022 whereas it was on higher legacy contract rates during the third quarter 2021.</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Robotics revenues increased by 32% for the three-month period ended September 30, 2022 as compared to the same period in 2021, primarily reflecting higher vessel, ROV and trenching activities. Chartered vessel days increased to 376 days during the third quarter 2022 as compared to 358 days during the third quarter 2021. Vessel utilization remained relatively flat at 98% in the third quarter 2022 as compared to 99% during the third quarter 2021. Vessel days during the third quarter 2022 included 100 spot vessel days as compared to 176 spot vessel days during the third quarter 2021, primarily performing seabed clearance work in the North Sea. ROV and trencher utilization increased to 66% in the third quarter 2022 from 43% during the third quarter 2021, and trenching days increased to 176 days during the third quarter 2022 as compared to 90 days during the third quarter 2021.</w:t>
      </w:r>
    </w:p>
    <w:p>
      <w:pPr>
        <w:spacing w:after="0" w:line="208"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Our Shallow Water Abandonment revenues for the three-month period ended September 30, 2022 reflected revenues generated by Helix Alliance since the acquisition on July 1, 2022 (Note 3) with 80% utilization across 21 vessels and 1,077 days of utilization across marketable P&amp;A and coiled tubing systems during the quarter.</w:t>
      </w:r>
    </w:p>
    <w:p>
      <w:pPr>
        <w:spacing w:after="0" w:line="203" w:lineRule="exact"/>
        <w:rPr>
          <w:sz w:val="20"/>
          <w:szCs w:val="20"/>
          <w:color w:val="auto"/>
        </w:rPr>
      </w:pPr>
    </w:p>
    <w:p>
      <w:pPr>
        <w:ind w:right="420" w:firstLine="648"/>
        <w:spacing w:after="0" w:line="238" w:lineRule="auto"/>
        <w:rPr>
          <w:sz w:val="20"/>
          <w:szCs w:val="20"/>
          <w:color w:val="auto"/>
        </w:rPr>
      </w:pPr>
      <w:r>
        <w:rPr>
          <w:rFonts w:ascii="Arial" w:cs="Arial" w:eastAsia="Arial" w:hAnsi="Arial"/>
          <w:sz w:val="18"/>
          <w:szCs w:val="18"/>
          <w:color w:val="auto"/>
        </w:rPr>
        <w:t xml:space="preserve">Our Production Facilities revenues for the three-month period ended September 30, 2022 decreased slightly as compared to the same period in 2021, primarily reflecting lower oil and gas production volumes from the Droshky wells, offset in part by oil and gas volume from our recently acquired interest in the Thunder Hawk Field (Note 2).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completed its scheduled five-year regulatory dry dock during the third quarter 2022.</w:t>
      </w:r>
    </w:p>
    <w:p>
      <w:pPr>
        <w:spacing w:after="0" w:line="183"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was $39.2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$3.0 million for the same period in 2021, primarily reflecting the addition of Shallow Water Abandonment segment in the third quarter 2022 and increased profitability in our other segments.</w:t>
      </w:r>
    </w:p>
    <w:p>
      <w:pPr>
        <w:spacing w:after="0" w:line="191"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Well Intervention gross profit was $1.8 million for the three-month period ended September 30, 2022 as compared to a gross loss of $9.6 million the same period in 2021, primarily reflecting higher segment revenues.</w:t>
      </w:r>
    </w:p>
    <w:p>
      <w:pPr>
        <w:spacing w:after="0" w:line="197"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Our Robotics gross profit increased by $6.6 million for the three-month period ended September 30, 2022 as compared to the same period in 2021, primarily reflecting higher revenues due to increased ROV and trenching activities and a higher number of vessel days, offset in part by higher costs on increased activity.</w:t>
      </w:r>
    </w:p>
    <w:p>
      <w:pPr>
        <w:spacing w:after="0" w:line="203"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Our Shallow Water Abandonment gross profit for the three-month period ended September 30, 2022 reflected results from Helix Alliance since the acquisition on July 1, 2022 (Note 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jc w:val="both"/>
        <w:ind w:right="400" w:firstLine="648"/>
        <w:spacing w:after="0"/>
        <w:rPr>
          <w:sz w:val="20"/>
          <w:szCs w:val="20"/>
          <w:color w:val="auto"/>
        </w:rPr>
      </w:pPr>
      <w:r>
        <w:rPr>
          <w:rFonts w:ascii="Arial" w:cs="Arial" w:eastAsia="Arial" w:hAnsi="Arial"/>
          <w:sz w:val="18"/>
          <w:szCs w:val="18"/>
          <w:color w:val="auto"/>
        </w:rPr>
        <w:t>Our Production Facilities gross profit increased by $1.4 million for the three-month period ended September 30, 2022 as compared to the same period in 2021, primarily reflecting lower depletion expense associated with the Droshky wells.</w:t>
      </w:r>
    </w:p>
    <w:p>
      <w:pPr>
        <w:spacing w:after="0" w:line="181" w:lineRule="exact"/>
        <w:rPr>
          <w:sz w:val="20"/>
          <w:szCs w:val="20"/>
          <w:color w:val="auto"/>
        </w:rPr>
      </w:pPr>
    </w:p>
    <w:p>
      <w:pPr>
        <w:ind w:right="4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Acquisition and Integration Costs. </w:t>
      </w:r>
      <w:r>
        <w:rPr>
          <w:rFonts w:ascii="Arial" w:cs="Arial" w:eastAsia="Arial" w:hAnsi="Arial"/>
          <w:sz w:val="18"/>
          <w:szCs w:val="18"/>
          <w:color w:val="auto"/>
        </w:rPr>
        <w:t>Our acquisition and integration costs were $0.8 million for the three-month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September 30, 2022, reflecting Alliance acquisition related costs incurred during the third quarter 2022 (Note 3).</w:t>
      </w:r>
    </w:p>
    <w:p>
      <w:pPr>
        <w:spacing w:after="0" w:line="169" w:lineRule="exact"/>
        <w:rPr>
          <w:sz w:val="20"/>
          <w:szCs w:val="20"/>
          <w:color w:val="auto"/>
        </w:rPr>
      </w:pPr>
    </w:p>
    <w:p>
      <w:pPr>
        <w:ind w:right="360" w:firstLine="648"/>
        <w:spacing w:after="0" w:line="247"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$ 2.7 million change in fair value of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for the three-month period ended September 30, 2022 reflected an increase in the estimated earn-out consideration payable to the seller in the Alliance transaction in 2024 as Helix Alliance’s actual third quarter 2022 results were more favorable than previous forecasts based on available information at the acquisition date (Notes 3 and 16).</w:t>
      </w:r>
    </w:p>
    <w:p>
      <w:pPr>
        <w:spacing w:after="0" w:line="174" w:lineRule="exact"/>
        <w:rPr>
          <w:sz w:val="20"/>
          <w:szCs w:val="20"/>
          <w:color w:val="auto"/>
        </w:rPr>
      </w:pPr>
    </w:p>
    <w:p>
      <w:pPr>
        <w:ind w:right="400" w:firstLine="648"/>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$23.6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September 30, 2022 as compared to $13.3 million for the same period in 2021, primarily reflecting higher employee incentive compensation costs and general and administrative costs in our Shallow Water Abandonment segment following the closing of our Alliance acquisition on July 1, 2022.</w:t>
      </w:r>
    </w:p>
    <w:p>
      <w:pPr>
        <w:spacing w:after="0" w:line="17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$4.6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$5.9 million for the same period in 2021, primarily reflecting the repayment of certain indebtedness (Note 6).</w:t>
      </w:r>
    </w:p>
    <w:p>
      <w:pPr>
        <w:spacing w:after="0" w:line="16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$20.3 million for the three-month period ended September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$4.0 million for the same period in 2021 and is comprised almost entirely of unrealized foreign currency losses of $19.7 million related to the approximately 8% weakening of the British pound during the third quarter 2022 on U.S. dollar denominated intercompany debt in our U.K. entities.</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was $6.5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an income tax benefit of $1.1 million for the same period in 2021. The effective tax rates for the three-month periods ended September 30, 2022 and 2021 were (53.0)% and 5.3%, respectively. These variances were primarily attributable to the earnings mix between our higher and lower tax rate jurisdictions as well as losses for which no financial statement benefits have been recognized (Note 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2022 and 2021</w:t>
      </w:r>
    </w:p>
    <w:p>
      <w:pPr>
        <w:spacing w:after="0" w:line="23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Amount</w:t>
            </w:r>
          </w:p>
        </w:tc>
        <w:tc>
          <w:tcPr>
            <w:tcW w:w="2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356,583</w:t>
            </w:r>
          </w:p>
        </w:tc>
        <w:tc>
          <w:tcPr>
            <w:tcW w:w="24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397,387</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(40,804)</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143,383</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96,430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46,953</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54,420</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5,203</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(36,503)</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(36,962)</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585,284</w:t>
            </w: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506,072</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79,212</w:t>
            </w:r>
          </w:p>
        </w:tc>
        <w:tc>
          <w:tcPr>
            <w:tcW w:w="1300" w:type="dxa"/>
            <w:vAlign w:val="bottom"/>
            <w:tcBorders>
              <w:bottom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(45,943)</w:t>
            </w:r>
          </w:p>
        </w:tc>
        <w:tc>
          <w:tcPr>
            <w:tcW w:w="24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(3,386)</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(42,557)</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28,631</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20,384</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17,381</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17,381</w:t>
            </w:r>
          </w:p>
        </w:tc>
        <w:tc>
          <w:tcPr>
            <w:tcW w:w="1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20,150</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17,767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w:t>
            </w:r>
          </w:p>
        </w:tc>
        <w:tc>
          <w:tcPr>
            <w:tcW w:w="13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(967)</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(1,874)</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907</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19,252</w:t>
            </w: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20,754</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(1,502)</w:t>
            </w:r>
          </w:p>
        </w:tc>
        <w:tc>
          <w:tcPr>
            <w:tcW w:w="1300" w:type="dxa"/>
            <w:vAlign w:val="bottom"/>
            <w:tcBorders>
              <w:bottom w:val="single" w:sz="8" w:color="CCEEFF"/>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2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Abandonment systems </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 Utilization </w:t>
            </w:r>
            <w:r>
              <w:rPr>
                <w:rFonts w:ascii="Arial" w:cs="Arial" w:eastAsia="Arial" w:hAnsi="Arial"/>
                <w:sz w:val="25"/>
                <w:szCs w:val="25"/>
                <w:color w:val="auto"/>
                <w:vertAlign w:val="superscript"/>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 / 74 %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 / 79 %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 / 52 %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 / 35 %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 / 94 %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 / 95 %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 / 80 %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 / —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 / 59 %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 —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 w:hanging="652"/>
        <w:spacing w:after="0" w:line="23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marketable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96" w:lineRule="exact"/>
        <w:rPr>
          <w:rFonts w:ascii="Arial" w:cs="Arial" w:eastAsia="Arial" w:hAnsi="Arial"/>
          <w:sz w:val="18"/>
          <w:szCs w:val="18"/>
          <w:color w:val="auto"/>
        </w:rPr>
      </w:pPr>
    </w:p>
    <w:p>
      <w:pPr>
        <w:ind w:left="660" w:right="60" w:hanging="652"/>
        <w:spacing w:after="0" w:line="257"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the average utilization rate, which is calculated by dividing the total number of days the vessels, Robotics assets or marketable Shallow Water Abandonment systems generated revenues by the total number of calendar days in the applicable period. Utilization rates of chartered Robotics vessels during the nine-month periods ended September 30, 2022 and 2021 included 352 and 240 spot vessel days, respectively, at near full utilization.</w:t>
      </w:r>
    </w:p>
    <w:p>
      <w:pPr>
        <w:spacing w:after="0" w:line="80"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ROVs, trenchers, an ROVDrill and a boulder grab.</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marketable P&amp;A and coiled tubing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9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12,046</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17,060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(5,014)</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24,322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19,902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4,420</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196"/>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36,503</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36,962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w:t>
            </w: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nine-month period ended September 30, 2022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as compared to the same period in 2021, reflecting the addition of Shallow Water Abandonment segment in the third quarter 2022 and higher revenues from our Robotics and Production Facilities segments, offset in part by lower revenues from our Well Intervention segment.</w:t>
      </w:r>
    </w:p>
    <w:p>
      <w:pPr>
        <w:spacing w:after="0" w:line="19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 xml:space="preserve">Our Well Intervention revenues decreased by 10% for the nine-month period ended September 30, 2022 as compared to the same period in 2021, primarily reflecting lower rates and utilization on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Helix 2 </w:t>
      </w:r>
      <w:r>
        <w:rPr>
          <w:rFonts w:ascii="Arial" w:cs="Arial" w:eastAsia="Arial" w:hAnsi="Arial"/>
          <w:sz w:val="18"/>
          <w:szCs w:val="18"/>
          <w:color w:val="auto"/>
        </w:rPr>
        <w:t>in Brazil as both vessels rolled off their legacy contracts with Petrobras and lower utilization on the</w:t>
      </w:r>
      <w:r>
        <w:rPr>
          <w:rFonts w:ascii="Arial" w:cs="Arial" w:eastAsia="Arial" w:hAnsi="Arial"/>
          <w:sz w:val="18"/>
          <w:szCs w:val="18"/>
          <w:i w:val="1"/>
          <w:iCs w:val="1"/>
          <w:color w:val="auto"/>
        </w:rPr>
        <w:t xml:space="preserve"> Q7000 </w:t>
      </w:r>
      <w:r>
        <w:rPr>
          <w:rFonts w:ascii="Arial" w:cs="Arial" w:eastAsia="Arial" w:hAnsi="Arial"/>
          <w:sz w:val="18"/>
          <w:szCs w:val="18"/>
          <w:color w:val="auto"/>
        </w:rPr>
        <w:t>in West</w:t>
      </w:r>
      <w:r>
        <w:rPr>
          <w:rFonts w:ascii="Arial" w:cs="Arial" w:eastAsia="Arial" w:hAnsi="Arial"/>
          <w:sz w:val="18"/>
          <w:szCs w:val="18"/>
          <w:i w:val="1"/>
          <w:iCs w:val="1"/>
          <w:color w:val="auto"/>
        </w:rPr>
        <w:t xml:space="preserve"> </w:t>
      </w:r>
      <w:r>
        <w:rPr>
          <w:rFonts w:ascii="Arial" w:cs="Arial" w:eastAsia="Arial" w:hAnsi="Arial"/>
          <w:sz w:val="18"/>
          <w:szCs w:val="18"/>
          <w:color w:val="auto"/>
        </w:rPr>
        <w:t>Africa due to its scheduled maintenance during a four-month period from April to July 2022, offset in part by higher rates and utilization in the Gulf of Mexico and higher utilization in the North Sea during the nine-month period ended September 30, 2022.</w:t>
      </w:r>
    </w:p>
    <w:p>
      <w:pPr>
        <w:spacing w:after="0" w:line="205"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Our Robotics revenues increased by 49% for the nine-month period ended September 30, 2022 as compared to the same period in 2021, primarily reflecting higher vessel, ROV and trenching activities. Chartered vessel days increased to 1,069 days during the nine-month period ended September 30, 2022 as compared to 759 days during the same period in 2021. Vessel utilization remained relatively flat at 94% during the nine-month period ended September 30, 2022 as compared to 95% during the same period in 2021. Vessel days during the nine-month period ended September 30, 2022 included 352 spot vessel days as compared to 240 spot vessel days during the same period in 2021, primarily performing seabed clearance work in the North Sea. ROV and trencher utilization increased to 52% during the nine-month period ended September 30, 2022 from 35% during the same period in 2021, and trenching days increased to 323 days during the nine-month period ended September 30, 2022 as compared to 246 days during the same period in 2021.</w:t>
      </w:r>
    </w:p>
    <w:p>
      <w:pPr>
        <w:spacing w:after="0" w:line="207" w:lineRule="exact"/>
        <w:rPr>
          <w:sz w:val="20"/>
          <w:szCs w:val="20"/>
          <w:color w:val="auto"/>
        </w:rPr>
      </w:pPr>
    </w:p>
    <w:p>
      <w:pPr>
        <w:ind w:right="240" w:firstLine="648"/>
        <w:spacing w:after="0"/>
        <w:rPr>
          <w:sz w:val="20"/>
          <w:szCs w:val="20"/>
          <w:color w:val="auto"/>
        </w:rPr>
      </w:pPr>
      <w:r>
        <w:rPr>
          <w:rFonts w:ascii="Arial" w:cs="Arial" w:eastAsia="Arial" w:hAnsi="Arial"/>
          <w:sz w:val="18"/>
          <w:szCs w:val="18"/>
          <w:color w:val="auto"/>
        </w:rPr>
        <w:t>Our Shallow Water Abandonment revenues for the three-month period ended September 30, 2022 reflected revenues generated by Helix Alliance since the acquisition on July 1, 2022 (Note 3) with 80% utilization across 21 vessels and 1,077 days of utilization across marketable P&amp;A and coiled tubing systems.</w:t>
      </w:r>
    </w:p>
    <w:p>
      <w:pPr>
        <w:spacing w:after="0" w:line="203" w:lineRule="exact"/>
        <w:rPr>
          <w:sz w:val="20"/>
          <w:szCs w:val="20"/>
          <w:color w:val="auto"/>
        </w:rPr>
      </w:pPr>
    </w:p>
    <w:p>
      <w:pPr>
        <w:ind w:right="500" w:firstLine="648"/>
        <w:spacing w:after="0" w:line="246" w:lineRule="auto"/>
        <w:rPr>
          <w:sz w:val="20"/>
          <w:szCs w:val="20"/>
          <w:color w:val="auto"/>
        </w:rPr>
      </w:pPr>
      <w:r>
        <w:rPr>
          <w:rFonts w:ascii="Arial" w:cs="Arial" w:eastAsia="Arial" w:hAnsi="Arial"/>
          <w:sz w:val="18"/>
          <w:szCs w:val="18"/>
          <w:color w:val="auto"/>
        </w:rPr>
        <w:t>Our Production Facilities revenues increased by 11% for the nine-month period ended September 30, 2022 as compared to the same period in 2021, primarily reflecting higher oil and gas production volumes and prices.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was $19.3 million for the nine-month period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as compared to $20.8 million for the same period in 2021, primarily reflecting decreased profitability in</w:t>
      </w:r>
    </w:p>
    <w:p>
      <w:pPr>
        <w:spacing w:after="0" w:line="234" w:lineRule="auto"/>
        <w:rPr>
          <w:sz w:val="20"/>
          <w:szCs w:val="20"/>
          <w:color w:val="auto"/>
        </w:rPr>
      </w:pPr>
      <w:r>
        <w:rPr>
          <w:rFonts w:ascii="Arial" w:cs="Arial" w:eastAsia="Arial" w:hAnsi="Arial"/>
          <w:sz w:val="18"/>
          <w:szCs w:val="18"/>
          <w:color w:val="auto"/>
        </w:rPr>
        <w:t>our Well Intervention segment, offset in part by increased profitability in our Robotics and Production Facilities segments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addition of Shallow Water Abandonment segment in the third quarter 2022.</w:t>
      </w:r>
    </w:p>
    <w:p>
      <w:pPr>
        <w:spacing w:after="0" w:line="212"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color w:val="auto"/>
        </w:rPr>
        <w:t>Our Well Intervention segment had a gross loss of $45.9 million for the nine-month period ended September 30, 2022 as compared to a gross loss of $3.4 million for the same period in 2021, primarily reflecting lower segment revenues.</w:t>
      </w:r>
    </w:p>
    <w:p>
      <w:pPr>
        <w:spacing w:after="0" w:line="175" w:lineRule="exact"/>
        <w:rPr>
          <w:sz w:val="20"/>
          <w:szCs w:val="20"/>
          <w:color w:val="auto"/>
        </w:rPr>
      </w:pPr>
    </w:p>
    <w:p>
      <w:pPr>
        <w:ind w:right="340" w:firstLine="648"/>
        <w:spacing w:after="0"/>
        <w:rPr>
          <w:sz w:val="20"/>
          <w:szCs w:val="20"/>
          <w:color w:val="auto"/>
        </w:rPr>
      </w:pPr>
      <w:r>
        <w:rPr>
          <w:rFonts w:ascii="Arial" w:cs="Arial" w:eastAsia="Arial" w:hAnsi="Arial"/>
          <w:sz w:val="18"/>
          <w:szCs w:val="18"/>
          <w:color w:val="auto"/>
        </w:rPr>
        <w:t>Our Robotics gross profit increased by $20.4 million for the nine-month period ended September 30, 2022 as compared to the same period in 2021, primarily reflecting higher revenues due to increased ROV and trenching activities and a higher number of vessel days.</w:t>
      </w:r>
    </w:p>
    <w:p>
      <w:pPr>
        <w:spacing w:after="0" w:line="203"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Our Shallow Water Abandonment gross profit for the nine-month period ended September 30, 2022 reflected results from Helix Alliance since the acquisition on July 1, 2022 (Note 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Our Production Facilities gross profit for the nine-month period ended September 30, 2022 increased by $2.4 million as compared to the same period in 2021, primarily reflecting higher revenues.</w:t>
      </w:r>
    </w:p>
    <w:p>
      <w:pPr>
        <w:spacing w:after="0" w:line="175"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b w:val="1"/>
          <w:bCs w:val="1"/>
          <w:i w:val="1"/>
          <w:iCs w:val="1"/>
          <w:color w:val="auto"/>
        </w:rPr>
        <w:t xml:space="preserve">Acquisition and Integration Costs. </w:t>
      </w:r>
      <w:r>
        <w:rPr>
          <w:rFonts w:ascii="Arial" w:cs="Arial" w:eastAsia="Arial" w:hAnsi="Arial"/>
          <w:sz w:val="18"/>
          <w:szCs w:val="18"/>
          <w:color w:val="auto"/>
        </w:rPr>
        <w:t>Our acquisition and integration costs were $2.3 million for the nine-month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September 30, 2022, reflecting Alliance acquisition related costs incurred during 2022 (Note 3).</w:t>
      </w:r>
    </w:p>
    <w:p>
      <w:pPr>
        <w:spacing w:after="0" w:line="154" w:lineRule="exact"/>
        <w:rPr>
          <w:sz w:val="20"/>
          <w:szCs w:val="20"/>
          <w:color w:val="auto"/>
        </w:rPr>
      </w:pPr>
    </w:p>
    <w:p>
      <w:pPr>
        <w:ind w:right="360" w:firstLine="648"/>
        <w:spacing w:after="0" w:line="247"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$2.7 million change in fair value of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for the nine-month period ended September 30, 2022 reflected an increase in the estimated earn-out consideration payable to the seller in the Alliance transaction in 2024 as Helix Alliance’s actual third quarter 2022 results were more favorable than previous forecasts based on available information at the acquisition date (Notes 3 and 16).</w:t>
      </w:r>
    </w:p>
    <w:p>
      <w:pPr>
        <w:spacing w:after="0" w:line="174" w:lineRule="exact"/>
        <w:rPr>
          <w:sz w:val="20"/>
          <w:szCs w:val="20"/>
          <w:color w:val="auto"/>
        </w:rPr>
      </w:pPr>
    </w:p>
    <w:p>
      <w:pPr>
        <w:jc w:val="both"/>
        <w:ind w:right="420" w:firstLine="648"/>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$54.0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nine-month period ended September 30, 2022 as compared to $ 42.0 million for the same period in 2021, primarily reflecting higher employee incentive compensation costs and general and administrative costs in our Shallow Water Abandonment segment following the closing of our Alliance acquisition on July 1, 2022.</w:t>
      </w:r>
    </w:p>
    <w:p>
      <w:pPr>
        <w:spacing w:after="0" w:line="174" w:lineRule="exact"/>
        <w:rPr>
          <w:sz w:val="20"/>
          <w:szCs w:val="20"/>
          <w:color w:val="auto"/>
        </w:rPr>
      </w:pPr>
    </w:p>
    <w:p>
      <w:pPr>
        <w:ind w:right="4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Equity in Earnings of Investment. </w:t>
      </w:r>
      <w:r>
        <w:rPr>
          <w:rFonts w:ascii="Arial" w:cs="Arial" w:eastAsia="Arial" w:hAnsi="Arial"/>
          <w:sz w:val="18"/>
          <w:szCs w:val="18"/>
          <w:color w:val="auto"/>
        </w:rPr>
        <w:t>Equity in earnings of investment was $8.3 million for the nine-month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2022 primarily reflecting the cash distribution as a result of the sale of the “Independence Hub” platform (Note 2).</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$14.6 million for the nine-month period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as compared to $17.9 million for the same period in 2021, primarily reflecting the repayment of certain</w:t>
      </w:r>
    </w:p>
    <w:p>
      <w:pPr>
        <w:spacing w:after="0"/>
        <w:rPr>
          <w:sz w:val="20"/>
          <w:szCs w:val="20"/>
          <w:color w:val="auto"/>
        </w:rPr>
      </w:pPr>
      <w:r>
        <w:rPr>
          <w:rFonts w:ascii="Arial" w:cs="Arial" w:eastAsia="Arial" w:hAnsi="Arial"/>
          <w:sz w:val="18"/>
          <w:szCs w:val="18"/>
          <w:color w:val="auto"/>
        </w:rPr>
        <w:t>indebtedness (Note 6).</w:t>
      </w:r>
    </w:p>
    <w:p>
      <w:pPr>
        <w:spacing w:after="0" w:line="19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$37.6 million for the nine-month period ended September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 million for the same period in 2021 and is comprised almost entirely of unrealized foreign currency losses of $38.4 million related to the approximately 17% weakening of the British pound during 2022 on U.S. dollar denominated intercompany debt in our U.K. entities.</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w:t>
      </w:r>
      <w:r>
        <w:rPr>
          <w:rFonts w:ascii="Arial" w:cs="Arial" w:eastAsia="Arial" w:hAnsi="Arial"/>
          <w:sz w:val="18"/>
          <w:szCs w:val="18"/>
          <w:color w:val="auto"/>
        </w:rPr>
        <w:t>Income tax provision was $10.1 million for the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as compared to an income tax benefit of $2.9 million for the same period in 2021. The effective tax rates for the nine-month periods ended September 30, 2022 and 2021 were (12.5)% and 7.5%, respectively. These variances were primarily attributable to the earnings mix between our higher and lower tax rate jurisdictions as well as losses for which no financial statement benefits have been recognized (Note 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34" w:lineRule="exact"/>
        <w:rPr>
          <w:sz w:val="20"/>
          <w:szCs w:val="20"/>
          <w:color w:val="auto"/>
        </w:rPr>
      </w:pPr>
    </w:p>
    <w:p>
      <w:pPr>
        <w:ind w:right="780" w:firstLine="648"/>
        <w:spacing w:after="0" w:line="246"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6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145,643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251,255</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225,427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262,137</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244,052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304,660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34" w:lineRule="exact"/>
        <w:rPr>
          <w:sz w:val="20"/>
          <w:szCs w:val="20"/>
          <w:color w:val="auto"/>
        </w:rPr>
      </w:pPr>
    </w:p>
    <w:p>
      <w:pPr>
        <w:ind w:right="500" w:firstLine="648"/>
        <w:spacing w:after="0"/>
        <w:rPr>
          <w:sz w:val="20"/>
          <w:szCs w:val="20"/>
          <w:color w:val="auto"/>
        </w:rPr>
      </w:pPr>
      <w:r>
        <w:rPr>
          <w:rFonts w:ascii="Arial" w:cs="Arial" w:eastAsia="Arial" w:hAnsi="Arial"/>
          <w:sz w:val="18"/>
          <w:szCs w:val="18"/>
          <w:color w:val="auto"/>
        </w:rPr>
        <w:t>Net working capital is equal to current assets minus current liabilities. It measures short-term liquidity and operational efficiency and is important for predicting cash flow and debt requirements. Our net working capital includes current maturities of our long-term debt.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34" w:lineRule="exact"/>
        <w:rPr>
          <w:sz w:val="20"/>
          <w:szCs w:val="20"/>
          <w:color w:val="auto"/>
        </w:rPr>
      </w:pPr>
    </w:p>
    <w:p>
      <w:pPr>
        <w:jc w:val="both"/>
        <w:ind w:right="420" w:firstLine="648"/>
        <w:spacing w:after="0"/>
        <w:rPr>
          <w:sz w:val="20"/>
          <w:szCs w:val="20"/>
          <w:color w:val="auto"/>
        </w:rPr>
      </w:pPr>
      <w:r>
        <w:rPr>
          <w:rFonts w:ascii="Arial" w:cs="Arial" w:eastAsia="Arial" w:hAnsi="Arial"/>
          <w:sz w:val="18"/>
          <w:szCs w:val="18"/>
          <w:color w:val="auto"/>
        </w:rPr>
        <w:t>Long -term debt in the table above is net of unamortized debt issuance costs and excludes current maturities of $38.2 million at September 30, 2022 and $42.9 million at December 31, 2021. See Note 6 for information relating to our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define liquidity as cash and cash equivalents, excluding restricted cash, plus available capacity under our credit facility. Our liquidity at September 30, 2022 included $ 162.3 million of cash and cash equivalents and $81.8 million of available borrowing capacity under the Amended ABL Facility (Note 6) and excluded $2.5 million of restricted cash. Our liquidity at December 31, 2021 included $253.5 million of cash and cash equivalents and $51.1 million of available borrowing capacity under the ABL Facility and excluded $73.6 million of short-term project related restricted cash. As of September 30, 2022, we had approximately $21.7 million in Nigerian Naira, which is subject to currency exchange controls established by the Central Bank of Nigeria. Those exchange controls have to date restricted our ability to convert our Nigerian Naira into U.S. dollars.</w:t>
      </w:r>
    </w:p>
    <w:p>
      <w:pPr>
        <w:spacing w:after="0" w:line="208"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The COVID-19 pandemic impacted our operations and our revenues. We responded by deferring or reducing planned capital expenditures and operating costs during the past two years. This spending is returning with our increased activity. Furthermore, we fully redeemed the $35 million remaining principal amount of the 2022 Notes plus accrued interest by delivering cash upon maturity on May 1, 2022, and we have other term debt maturities during 2022 that we intend to settle in cash. Additionally on July 1, 2022, we completed our acquisition of Alliance for $119.0 million cash at closing plus post-closing earn-out consideration payable to the seller in the Alliance transaction in 2024 in the event the Helix Alliance business achieves certain financial metrics in 2022 and 2023 (Note 3). We believe that our cash on hand, internally generated cash flows and availability under the Amended ABL Facility will be sufficient to fund our operations and service our debt over at least the next 12 months.</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 We currently do not anticipate borrowing under the Amended ABL Facility other than for the issuance of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right="1120" w:firstLine="648"/>
        <w:spacing w:after="0" w:line="246"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4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2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1,396</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121,252</w:t>
            </w:r>
          </w:p>
        </w:tc>
      </w:tr>
      <w:tr>
        <w:trPr>
          <w:trHeight w:val="203"/>
        </w:trPr>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(109,775)</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(7,335)</w:t>
            </w:r>
          </w:p>
        </w:tc>
      </w:tr>
      <w:tr>
        <w:trPr>
          <w:trHeight w:val="217"/>
        </w:trPr>
        <w:tc>
          <w:tcPr>
            <w:tcW w:w="45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(44,437)</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(95,659)</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decrease in our operating cash flows for the nine-month period ended September 30, 2022 as compared to the same period in 2021 primarily reflects lower earnings, higher regulatory recertification costs for our vessels and systems and negative changes in net working capital. Regulatory recertification spend on our vessels and systems amounted to $30.3 million and $7.1 million, respectively, during the comparable year over year periods. Operating cash flows for the nine-month periods ended September 30, 2022 and 2021 included the receipt of $1.1 million and $18.9 million, respectively, in income tax refunds related to the U.S. Coronavirus Aid, Relief, and Economic Security Act.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4"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Cash flows used in investing activities for the nine-month periods ended September 30, 2022 and 2021 reflect $112.6 million in net cash paid to acquire Alliance (Note 3), offset in part by $ 7.8 million in net cash distribution from Independence Hub in May 2022 (Note 2) and the deferral or reduction of our planned capital expenditures as our response to the adverse impact to our operations as a result of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Net cash outflows from financing activities for the nine-month period ended September 30, 2022 primarily reflect the repayment of $7.9 million related to the MARAD Debt and $35 million related to the 2022 Notes (Note 6). Net cash outflows from financing activities for the nine-month period ended September 30, 2021 primarily reflect the repayment of $90.9 million related to our indebtedness, including the final maturity of $53.6 million of the Nordea Q5000 Loan and $28.0 million in full repayment of the Term Loan (Note 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34"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34"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following table summarizes the principal amount of our long-term debt and related debt service costs as well as other contractual commitments, which include commitments for property and equipment and operating lease obligations, as of September 30, 2022 and the portions of those amounts that are short-term (due in less than one year) and long-term (due in one year or greater) based on their stated maturities (in thousands).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September 30, 2022. Our 2023 Notes and 2026 Notes have certain early redemption and conversion features that could affect the timing and amount of any cash requirements. Although upon conversion these notes are able to be settled in either cash or shares, we intend to settle their principal amounts in cash (Note 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Short-Term</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40,913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8,333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32,580</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Interest related to debt</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53,467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17,082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36,385</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tcBorders>
              <w:bottom w:val="single" w:sz="8" w:color="CCEEFF"/>
            </w:tcBorders>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430,522</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110,960</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319,562</w:t>
            </w:r>
          </w:p>
        </w:tc>
      </w:tr>
      <w:tr>
        <w:trPr>
          <w:trHeight w:val="196"/>
        </w:trPr>
        <w:tc>
          <w:tcPr>
            <w:tcW w:w="24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763,151</w:t>
            </w: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174,624</w:t>
            </w: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588,527</w:t>
            </w:r>
          </w:p>
        </w:tc>
      </w:tr>
      <w:tr>
        <w:trPr>
          <w:trHeight w:val="20"/>
        </w:trPr>
        <w:tc>
          <w:tcPr>
            <w:tcW w:w="2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94" w:lineRule="exact"/>
        <w:rPr>
          <w:sz w:val="20"/>
          <w:szCs w:val="20"/>
          <w:color w:val="auto"/>
        </w:rPr>
      </w:pPr>
    </w:p>
    <w:p>
      <w:pPr>
        <w:ind w:left="660" w:right="200" w:hanging="652"/>
        <w:spacing w:after="0" w:line="23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September 30, 2022, our commitment related to long-term vessel charters totaled approximately $402.3 million, of which $167.8 million was related to the non-lease (services) components that are not included in operating lease liabilities in the condensed consolidated balance sheet as of September 30, 2022.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194"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12).</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accompanying condensed consolidated balance sheets, approximate $76.0 million (undiscounted) as of September 30, 2022, of which $31.0 million are expected to be paid during the next 12 months. We are entitled to receive certain amounts from Marathon Oil Corporation as certain short-term decommissioning obligations are fulfilled.</w:t>
      </w:r>
    </w:p>
    <w:p>
      <w:pPr>
        <w:spacing w:after="0" w:line="18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Well Intervention vessels and systems are subject to certain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requirements that must be satisfied in order for the vessels and systems to operate. Recertification may require dry dock and other compliance costs on a periodic basis, usually every 30 months. Although the amount and timing of these costs may vary, they generally range between $3.0 million to $15.0 million per vessel and $0.5 million to $5.0 million per system.</w:t>
      </w:r>
    </w:p>
    <w:p>
      <w:pPr>
        <w:spacing w:after="0" w:line="185" w:lineRule="exact"/>
        <w:rPr>
          <w:sz w:val="20"/>
          <w:szCs w:val="20"/>
          <w:color w:val="auto"/>
        </w:rPr>
      </w:pPr>
    </w:p>
    <w:p>
      <w:pPr>
        <w:ind w:right="220" w:firstLine="648"/>
        <w:spacing w:after="0" w:line="250" w:lineRule="auto"/>
        <w:rPr>
          <w:sz w:val="20"/>
          <w:szCs w:val="20"/>
          <w:color w:val="auto"/>
        </w:rPr>
      </w:pPr>
      <w:r>
        <w:rPr>
          <w:rFonts w:ascii="Arial" w:cs="Arial" w:eastAsia="Arial" w:hAnsi="Arial"/>
          <w:sz w:val="18"/>
          <w:szCs w:val="18"/>
          <w:i w:val="1"/>
          <w:iCs w:val="1"/>
          <w:color w:val="auto"/>
        </w:rPr>
        <w:t>Earn-out consideration</w:t>
      </w:r>
      <w:r>
        <w:rPr>
          <w:rFonts w:ascii="Arial" w:cs="Arial" w:eastAsia="Arial" w:hAnsi="Arial"/>
          <w:sz w:val="18"/>
          <w:szCs w:val="18"/>
          <w:color w:val="auto"/>
        </w:rPr>
        <w:t>. As part of the Alliance acquisition, we are required to make the earn-out payment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seller in the Alliance transaction in 2024 in the event the Helix Alliance business achieves certain financial metrics in 2022 and 2023 (Note 3).</w:t>
      </w:r>
    </w:p>
    <w:p>
      <w:pPr>
        <w:spacing w:after="0" w:line="195"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3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2021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As of September 30, 2022, we were exposed to market risks associated with foreign currency exchange rates. We had no exposure to interest rate risk as we had no outstanding debt subject to floating rates.</w:t>
      </w:r>
    </w:p>
    <w:p>
      <w:pPr>
        <w:spacing w:after="0" w:line="179" w:lineRule="exact"/>
        <w:rPr>
          <w:sz w:val="20"/>
          <w:szCs w:val="20"/>
          <w:color w:val="auto"/>
        </w:rPr>
      </w:pPr>
    </w:p>
    <w:p>
      <w:pPr>
        <w:ind w:right="2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203"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resulting in translation adjustments that are reflected in “Accumulated other comprehensive loss” in the shareholders’ equity section of our condensed consolidated balance sheets. For the nine-month period ended September 30, 2022, we recorded foreign currency translation losses of $79.9 million to accumulated other comprehensive loss. Deferred taxes have not been provided on foreign currency translation adjustments as our non-U.S. undistributed earnings are permanently reinvested.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46"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expense, net.” For the three- and nine-month periods ended September 30, 2022, we recorded foreign currency losses of $20.3 million and $37.6 million, respectively, primarily related to U.S. dollar denominated intercompany debt in our U.K.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ind w:firstLine="656"/>
        <w:spacing w:after="0" w:line="236" w:lineRule="auto"/>
        <w:tabs>
          <w:tab w:leader="none" w:pos="9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September 30, 2022. Based on this evaluation, our principal executive officer and principal financial officer have concluded that our disclosure controls and procedures were effective as of September 30, 2022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20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As disclosed in Note (3) to the unaudited condensed consolidated financial statements, we acquired Alliance on July 1, 2022. Helix Alliance’s total revenues constituted approximately 24.7% of total consolidated revenues as shown on our condensed consolidated statement of operations for the three-month period ended September 30, 2022. Helix Alliance’s total assets constituted approximately 8.5% of total consolidated assets as shown on our condensed consolidated balance sheet as of September 30, 2022. We excluded Helix Alliance’s disclosure controls and procedures that are subsumed by its internal control over financial reporting from the scope of management's assessment of the effectiveness of our disclosure controls and procedures. This exclusion is in accordance with the guidance issued by the Staff of the Securities and Exchange Commission that an assessment of recent business combinations may be omitted from management's assessment of internal control over financial reporting for one year following the acquisition. We are in the process of implementing financial reporting controls and procedures at Helix Alliance as part of our ongoing integration activities. Helix Alliance currently maintains separate accounting systems and is expected to convert to Helix’s accounting systems no later than June 30, 2023. The condensed consolidated financial statements presented in this Quarterly Report on Form 10-Q were prepared using information obtained from these separate accounting systems.</w:t>
      </w:r>
    </w:p>
    <w:p>
      <w:pPr>
        <w:spacing w:after="0" w:line="203" w:lineRule="exact"/>
        <w:rPr>
          <w:sz w:val="20"/>
          <w:szCs w:val="20"/>
          <w:color w:val="auto"/>
        </w:rPr>
      </w:pPr>
    </w:p>
    <w:p>
      <w:pPr>
        <w:jc w:val="both"/>
        <w:ind w:right="60" w:firstLine="656"/>
        <w:spacing w:after="0"/>
        <w:tabs>
          <w:tab w:leader="none" w:pos="9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Except as described above, there have been no changes in our internal control over financial reporting that occurred during the quarter ended September 30, 2022 that have materially affected, or are reasonably likely to materially affect, our internal control over financial reporting.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See Part I, Item 1, Note 12 — Litigation to the Condensed Consolidated Financial Statements,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Except as set forth below, there have been no material changes during the period ended September 30, 2022 in our “Risk Factors” as discussed in Item 1A of our Annual Report on Form 10-K for the year ended December 31, 2021.</w:t>
      </w:r>
    </w:p>
    <w:p>
      <w:pPr>
        <w:spacing w:after="0" w:line="175"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foreign ownership provisions or if these provisions were modified or repealed</w:t>
      </w:r>
      <w:r>
        <w:rPr>
          <w:rFonts w:ascii="Arial" w:cs="Arial" w:eastAsia="Arial" w:hAnsi="Arial"/>
          <w:sz w:val="18"/>
          <w:szCs w:val="18"/>
          <w:b w:val="1"/>
          <w:bCs w:val="1"/>
          <w:color w:val="auto"/>
        </w:rPr>
        <w:t>.</w:t>
      </w:r>
    </w:p>
    <w:p>
      <w:pPr>
        <w:spacing w:after="0" w:line="17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are subject to the Jones Act and other federal laws that restrict maritime cargo transportation between points in the U.S. As a result of the Alliance acquisition, we acquired 21 vessels registered under the U.S. flag which operate in the U.S. Gulf of Mexico coastwise trade. In order to operate vessels in the Jones Act trade and to be qualified to document vessels for coastwise trade, we must maintain U.S. citizen status for Jones Act purposes. We could cease being a U.S. citizen if certain events were to occur, including if non-U.S. citizens were to own 25% or more of our common stock. We are responsible for monitoring our ownership to ensure compliance with the Jones Act. The consequences of our failure to comply with the Jones Act provisions on coastwise trade, including failing to qualify as a U.S. citizen, would have an adverse effect on our results of operations as we may be prohibited from operating certain of our vessels in the U.S. coastwise trade or, under certain circumstances, permanently lose U.S. coastwise trading rights or be subject to fines or forfeiture of certain our vessels. There have been attempts to repeal or amend restrictions contained in the Jones Act, and such attempts are expected to continue in the future. Our business could be adversely affected if the Jones Act were to be modified or repealed so as to permit foreign competition that is not subject to the same U.S. government imposed burdens.</w:t>
      </w:r>
    </w:p>
    <w:p>
      <w:pPr>
        <w:spacing w:after="0" w:line="18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b w:val="1"/>
          <w:bCs w:val="1"/>
          <w:i w:val="1"/>
          <w:iCs w:val="1"/>
          <w:color w:val="auto"/>
        </w:rPr>
        <w:t>We may execute a strategic transaction that may not achieve intended results, could increase our debt or the number of our shares outstanding, or result in a change of control.</w:t>
      </w:r>
    </w:p>
    <w:p>
      <w:pPr>
        <w:spacing w:after="0" w:line="176"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We have executed acquisitions and divestitures in the past, and in the future we may evaluate and potentially enter into additional strategic transactions. Any such transaction could be material to our business, could occur at any time and could take any number of forms, including, for example, an acquisition, merger, joint venture, strategic alliance, equity investment, divestiture or an asset sale.</w:t>
      </w:r>
    </w:p>
    <w:p>
      <w:pPr>
        <w:spacing w:after="0" w:line="20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success of any transaction may depend on, in part, our ability to integrate an acquired business and realize the financial growth or synergies expected from the transaction. Any such transaction may not be successful, may not be accretive to shareholders or may not achieve expected benefits within an expected timeframe. Acquired businesses may also have unanticipated liabilities, contingencies or negative tax consequences. In addition, acquisitions are accompanied by the risk that the obligations of an acquired business may not be adequately reflected in the historical financial statements of that company and the risk that those historical financial statements may be based on assumptions which are incorrect or inconsistent with our assumptions or approach to accounting policies. Any of these material obligations, unanticipated liabilities or incorrect or inconsistent assumptions could have a material adverse effect on our growth strategy, business, financial condition, prospects and results of operations. Furthermore, evaluating potential transactions and integrating completed transactions could be time-consuming, involve significant transaction related expenses, create unexpected costs, involve difficulties assimilating the operations and personnel of an acquired business, make evaluating our business and future financial prospects difficult and may divert the attention of our management from ordinary operating matters.</w:t>
      </w:r>
    </w:p>
    <w:p>
      <w:pPr>
        <w:spacing w:after="0" w:line="204" w:lineRule="exact"/>
        <w:rPr>
          <w:sz w:val="20"/>
          <w:szCs w:val="20"/>
          <w:color w:val="auto"/>
        </w:rPr>
      </w:pPr>
    </w:p>
    <w:p>
      <w:pPr>
        <w:ind w:right="220" w:firstLine="648"/>
        <w:spacing w:after="0" w:line="237" w:lineRule="auto"/>
        <w:rPr>
          <w:sz w:val="20"/>
          <w:szCs w:val="20"/>
          <w:color w:val="auto"/>
        </w:rPr>
      </w:pPr>
      <w:r>
        <w:rPr>
          <w:rFonts w:ascii="Arial" w:cs="Arial" w:eastAsia="Arial" w:hAnsi="Arial"/>
          <w:sz w:val="18"/>
          <w:szCs w:val="18"/>
          <w:color w:val="auto"/>
        </w:rPr>
        <w:t>Any such transaction may require additional financing that could result in an increase in the number of our outstanding shares or the aggregate amount of our debt, and the number of shares of our common stock or the aggregate principal amount of our debt that we may issue may be significant. Certain transactions may not be permitted under our existing asset-based credit facility, requiring either waivers, amendments, or terminating such facility. Furthermore, a strategic transaction may result in a change in control of our company or otherwise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1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561"/>
        </w:trPr>
        <w:tc>
          <w:tcPr>
            <w:tcW w:w="6660" w:type="dxa"/>
            <w:vAlign w:val="bottom"/>
            <w:gridSpan w:val="10"/>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20" w:type="dxa"/>
            <w:vAlign w:val="bottom"/>
            <w:gridSpan w:val="7"/>
          </w:tcPr>
          <w:p>
            <w:pPr>
              <w:ind w:left="22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(d)</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Maximum</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number of shares</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7"/>
                <w:szCs w:val="17"/>
                <w:color w:val="auto"/>
              </w:rPr>
            </w:pPr>
          </w:p>
        </w:tc>
        <w:tc>
          <w:tcPr>
            <w:tcW w:w="10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5"/>
              </w:rPr>
              <w:t>(b)</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that may yet</w:t>
            </w:r>
          </w:p>
        </w:tc>
      </w:tr>
      <w:tr>
        <w:trPr>
          <w:trHeight w:val="203"/>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Total number</w:t>
            </w:r>
          </w:p>
        </w:tc>
        <w:tc>
          <w:tcPr>
            <w:tcW w:w="100" w:type="dxa"/>
            <w:vAlign w:val="bottom"/>
          </w:tcPr>
          <w:p>
            <w:pPr>
              <w:spacing w:after="0"/>
              <w:rPr>
                <w:sz w:val="17"/>
                <w:szCs w:val="17"/>
                <w:color w:val="auto"/>
              </w:rPr>
            </w:pPr>
          </w:p>
        </w:tc>
        <w:tc>
          <w:tcPr>
            <w:tcW w:w="10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Average</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2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be purchased</w:t>
            </w:r>
          </w:p>
        </w:tc>
      </w:tr>
      <w:tr>
        <w:trPr>
          <w:trHeight w:val="195"/>
        </w:trPr>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99"/>
              </w:rPr>
              <w:t>of shares</w:t>
            </w:r>
          </w:p>
        </w:tc>
        <w:tc>
          <w:tcPr>
            <w:tcW w:w="112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rPr>
              <w:t>price paid</w:t>
            </w:r>
          </w:p>
        </w:tc>
        <w:tc>
          <w:tcPr>
            <w:tcW w:w="14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announced plans</w:t>
            </w:r>
          </w:p>
        </w:tc>
        <w:tc>
          <w:tcPr>
            <w:tcW w:w="22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under the plans</w:t>
            </w:r>
          </w:p>
        </w:tc>
      </w:tr>
      <w:tr>
        <w:trPr>
          <w:trHeight w:val="233"/>
        </w:trPr>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00"/>
              <w:spacing w:after="0" w:line="232" w:lineRule="exact"/>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6"/>
                <w:szCs w:val="26"/>
                <w:b w:val="1"/>
                <w:bCs w:val="1"/>
                <w:color w:val="auto"/>
                <w:w w:val="97"/>
                <w:vertAlign w:val="superscript"/>
              </w:rPr>
              <w:t>(1)</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or programs</w:t>
            </w:r>
          </w:p>
        </w:tc>
        <w:tc>
          <w:tcPr>
            <w:tcW w:w="220" w:type="dxa"/>
            <w:vAlign w:val="bottom"/>
          </w:tcPr>
          <w:p>
            <w:pPr>
              <w:spacing w:after="0"/>
              <w:rPr>
                <w:sz w:val="20"/>
                <w:szCs w:val="20"/>
                <w:color w:val="auto"/>
              </w:rPr>
            </w:pPr>
          </w:p>
        </w:tc>
        <w:tc>
          <w:tcPr>
            <w:tcW w:w="1560" w:type="dxa"/>
            <w:vAlign w:val="bottom"/>
          </w:tcPr>
          <w:p>
            <w:pPr>
              <w:jc w:val="center"/>
              <w:spacing w:after="0" w:line="232"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6"/>
                <w:szCs w:val="26"/>
                <w:b w:val="1"/>
                <w:bCs w:val="1"/>
                <w:color w:val="auto"/>
                <w:w w:val="96"/>
                <w:vertAlign w:val="superscript"/>
              </w:rPr>
              <w:t>(2)</w:t>
            </w:r>
          </w:p>
        </w:tc>
      </w:tr>
      <w:tr>
        <w:trPr>
          <w:trHeight w:val="196"/>
        </w:trPr>
        <w:tc>
          <w:tcPr>
            <w:tcW w:w="314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July 1 to July 31, 2022</w:t>
            </w: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124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9,275,587</w:t>
            </w:r>
          </w:p>
        </w:tc>
      </w:tr>
      <w:tr>
        <w:trPr>
          <w:trHeight w:val="203"/>
        </w:trPr>
        <w:tc>
          <w:tcPr>
            <w:tcW w:w="3140" w:type="dxa"/>
            <w:vAlign w:val="bottom"/>
            <w:gridSpan w:val="3"/>
          </w:tcPr>
          <w:p>
            <w:pPr>
              <w:spacing w:after="0" w:line="202" w:lineRule="exact"/>
              <w:rPr>
                <w:sz w:val="20"/>
                <w:szCs w:val="20"/>
                <w:color w:val="auto"/>
              </w:rPr>
            </w:pPr>
            <w:r>
              <w:rPr>
                <w:rFonts w:ascii="Arial" w:cs="Arial" w:eastAsia="Arial" w:hAnsi="Arial"/>
                <w:sz w:val="18"/>
                <w:szCs w:val="18"/>
                <w:color w:val="auto"/>
              </w:rPr>
              <w:t>August 1 to August 31, 2022</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ind w:left="124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9,275,587</w:t>
            </w:r>
          </w:p>
        </w:tc>
      </w:tr>
      <w:tr>
        <w:trPr>
          <w:trHeight w:val="203"/>
        </w:trPr>
        <w:tc>
          <w:tcPr>
            <w:tcW w:w="3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September 1 to September 30, 2022</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4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9,339,021</w:t>
            </w:r>
          </w:p>
        </w:tc>
      </w:tr>
      <w:tr>
        <w:trPr>
          <w:trHeight w:val="196"/>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w:t>
            </w:r>
          </w:p>
        </w:tc>
        <w:tc>
          <w:tcPr>
            <w:tcW w:w="220" w:type="dxa"/>
            <w:vAlign w:val="bottom"/>
          </w:tcPr>
          <w:p>
            <w:pPr>
              <w:spacing w:after="0"/>
              <w:rPr>
                <w:sz w:val="17"/>
                <w:szCs w:val="17"/>
                <w:color w:val="auto"/>
              </w:rPr>
            </w:pPr>
          </w:p>
        </w:tc>
        <w:tc>
          <w:tcPr>
            <w:tcW w:w="1480" w:type="dxa"/>
            <w:vAlign w:val="bottom"/>
            <w:tcBorders>
              <w:top w:val="single" w:sz="8" w:color="auto"/>
              <w:bottom w:val="single" w:sz="8" w:color="auto"/>
            </w:tcBorders>
          </w:tcPr>
          <w:p>
            <w:pPr>
              <w:ind w:left="124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tcPr>
          <w:p>
            <w:pPr>
              <w:spacing w:after="0"/>
              <w:rPr>
                <w:sz w:val="7"/>
                <w:szCs w:val="7"/>
                <w:color w:val="auto"/>
              </w:rPr>
            </w:pPr>
          </w:p>
        </w:tc>
      </w:tr>
    </w:tbl>
    <w:p>
      <w:pPr>
        <w:spacing w:after="0" w:line="94" w:lineRule="exact"/>
        <w:rPr>
          <w:sz w:val="20"/>
          <w:szCs w:val="20"/>
          <w:color w:val="auto"/>
        </w:rPr>
      </w:pPr>
    </w:p>
    <w:p>
      <w:pPr>
        <w:ind w:left="660" w:right="340" w:hanging="652"/>
        <w:spacing w:after="0" w:line="24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shares forfeited in satisfaction of tax obligations upon vesting of share-based awards under our existing long-term incentive plans.</w:t>
      </w:r>
    </w:p>
    <w:p>
      <w:pPr>
        <w:spacing w:after="0" w:line="88" w:lineRule="exact"/>
        <w:rPr>
          <w:rFonts w:ascii="Arial" w:cs="Arial" w:eastAsia="Arial" w:hAnsi="Arial"/>
          <w:sz w:val="18"/>
          <w:szCs w:val="18"/>
          <w:color w:val="auto"/>
        </w:rPr>
      </w:pPr>
    </w:p>
    <w:p>
      <w:pPr>
        <w:ind w:left="660" w:right="160" w:hanging="652"/>
        <w:spacing w:after="0" w:line="23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terms of our stock repurchase program, we may repurchase shares of our common stock in an amount equal to any equity granted to our employees, officers and directors under our share-based compensation plans, including share-based awards under our existing long-term incentive plans and shares issued to our employees under our Employee Stock Purchase Plan (Note 10), and such shares increase the number of shares available for repurchase. For additional information regarding our stock repurchase program, see Note 11 to our 2021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2"/>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75"/>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0" w:type="dxa"/>
            <w:vAlign w:val="bottom"/>
            <w:tcBorders>
              <w:top w:val="single" w:sz="8" w:color="auto"/>
              <w:bottom w:val="single" w:sz="8" w:color="0000EE"/>
            </w:tcBorders>
            <w:gridSpan w:val="11"/>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2005 Amended and Restated Articles of Incorporation,</w:t>
              </w:r>
            </w:hyperlink>
          </w:p>
        </w:tc>
        <w:tc>
          <w:tcPr>
            <w:tcW w:w="40" w:type="dxa"/>
            <w:vAlign w:val="bottom"/>
            <w:tcBorders>
              <w:top w:val="single" w:sz="8" w:color="auto"/>
            </w:tcBorders>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53">
              <w:r>
                <w:rPr>
                  <w:rFonts w:ascii="Arial" w:cs="Arial" w:eastAsia="Arial" w:hAnsi="Arial"/>
                  <w:sz w:val="18"/>
                  <w:szCs w:val="18"/>
                  <w:color w:val="0000EE"/>
                  <w:w w:val="99"/>
                </w:rPr>
                <w:t>as amended, of Helix Energy Solutions Group, Inc.</w:t>
              </w:r>
            </w:hyperlink>
          </w:p>
        </w:tc>
        <w:tc>
          <w:tcPr>
            <w:tcW w:w="400" w:type="dxa"/>
            <w:vAlign w:val="bottom"/>
            <w:gridSpan w:val="4"/>
          </w:tcPr>
          <w:p>
            <w:pPr>
              <w:spacing w:after="0"/>
              <w:rPr>
                <w:sz w:val="15"/>
                <w:szCs w:val="15"/>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54">
              <w:r>
                <w:rPr>
                  <w:rFonts w:ascii="Arial" w:cs="Arial" w:eastAsia="Arial" w:hAnsi="Arial"/>
                  <w:sz w:val="18"/>
                  <w:szCs w:val="18"/>
                  <w:color w:val="0000EE"/>
                </w:rPr>
                <w:t>Second  Amended  and  Restated  By-Laws  of  Helix</w:t>
              </w:r>
            </w:hyperlink>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54">
              <w:r>
                <w:rPr>
                  <w:rFonts w:ascii="Arial" w:cs="Arial" w:eastAsia="Arial" w:hAnsi="Arial"/>
                  <w:sz w:val="18"/>
                  <w:szCs w:val="18"/>
                  <w:color w:val="0000EE"/>
                  <w:w w:val="99"/>
                </w:rPr>
                <w:t>Energy Solutions Group, Inc., as amended.</w:t>
              </w:r>
            </w:hyperlink>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Amendment No. 1, dated as of July 1, 2022, to Loan,</w:t>
              </w:r>
            </w:hyperlink>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Security  and  Guaranty  Agreement,  among  Helix</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Energy Solutions Group, Inc., Helix Well Ops Inc.,</w:t>
              </w:r>
            </w:hyperlink>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Helix</w:t>
              </w:r>
            </w:hyperlink>
          </w:p>
        </w:tc>
        <w:tc>
          <w:tcPr>
            <w:tcW w:w="1100" w:type="dxa"/>
            <w:vAlign w:val="bottom"/>
            <w:gridSpan w:val="2"/>
          </w:tcPr>
          <w:p>
            <w:pPr>
              <w:ind w:left="160"/>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Robotics</w:t>
              </w:r>
            </w:hyperlink>
          </w:p>
        </w:tc>
        <w:tc>
          <w:tcPr>
            <w:tcW w:w="1120" w:type="dxa"/>
            <w:vAlign w:val="bottom"/>
            <w:gridSpan w:val="4"/>
          </w:tcPr>
          <w:p>
            <w:pPr>
              <w:ind w:left="80"/>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Solutions,</w:t>
              </w:r>
            </w:hyperlink>
          </w:p>
        </w:tc>
        <w:tc>
          <w:tcPr>
            <w:tcW w:w="660" w:type="dxa"/>
            <w:vAlign w:val="bottom"/>
          </w:tcPr>
          <w:p>
            <w:pPr>
              <w:ind w:left="80"/>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Inc.,</w:t>
              </w:r>
            </w:hyperlink>
          </w:p>
        </w:tc>
        <w:tc>
          <w:tcPr>
            <w:tcW w:w="1000" w:type="dxa"/>
            <w:vAlign w:val="bottom"/>
            <w:gridSpan w:val="5"/>
          </w:tcPr>
          <w:p>
            <w:pPr>
              <w:ind w:left="80"/>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Deepwater</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Abandonment Alternatives, Inc., Helix Well Ops (U.K.)</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Limited  and  Helix  Robotics  Solutions  Limited  as</w:t>
              </w:r>
            </w:hyperlink>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borrowers, the guarantors party thereto, the lenders</w:t>
              </w:r>
            </w:hyperlink>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party thereto, and Bank of America, N.A., as agent and</w:t>
              </w:r>
            </w:hyperlink>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security trustee for the lenders.</w:t>
              </w:r>
            </w:hyperlink>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Chief Financial Officer.</w:t>
            </w: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Certification  of Helix’s Chief Executive Officer  and</w:t>
            </w:r>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13"/>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440" w:type="dxa"/>
            <w:vAlign w:val="bottom"/>
            <w:tcBorders>
              <w:top w:val="single" w:sz="8" w:color="0000EE"/>
            </w:tcBorders>
            <w:gridSpan w:val="2"/>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3"/>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96"/>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4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r>
      <w:tr>
        <w:trPr>
          <w:trHeight w:val="202"/>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rPr>
              <w:t>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44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gridSpan w:val="3"/>
          </w:tcPr>
          <w:p>
            <w:pPr>
              <w:spacing w:after="0" w:line="202" w:lineRule="exact"/>
              <w:rPr>
                <w:sz w:val="20"/>
                <w:szCs w:val="20"/>
                <w:color w:val="auto"/>
              </w:rPr>
            </w:pPr>
            <w:r>
              <w:rPr>
                <w:rFonts w:ascii="Arial" w:cs="Arial" w:eastAsia="Arial" w:hAnsi="Arial"/>
                <w:sz w:val="18"/>
                <w:szCs w:val="18"/>
                <w:color w:val="auto"/>
                <w:w w:val="99"/>
              </w:rPr>
              <w:t>Linkbase Document.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ind w:left="1480" w:right="40" w:hanging="1423"/>
        <w:spacing w:after="0" w:line="246"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20" w:right="20"/>
        <w:spacing w:after="0" w:line="247"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-11430</wp:posOffset>
            </wp:positionV>
            <wp:extent cx="23914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Exhibit 3.1 to the Current Report on Form 8-K filed on September 28, 2006 (001-32936) Exhibit 4.1 to the Current Report on Form 8-K filed on July 1, 2022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234" w:lineRule="auto"/>
        <w:rPr>
          <w:sz w:val="20"/>
          <w:szCs w:val="20"/>
          <w:color w:val="auto"/>
        </w:rPr>
      </w:pPr>
      <w:r>
        <w:rPr>
          <w:rFonts w:ascii="Arial" w:cs="Arial" w:eastAsia="Arial" w:hAnsi="Arial"/>
          <w:sz w:val="18"/>
          <w:szCs w:val="18"/>
          <w:color w:val="auto"/>
        </w:rPr>
        <w:t>the Interactive Data File because its XBRL</w:t>
      </w:r>
    </w:p>
    <w:p>
      <w:pPr>
        <w:spacing w:after="0" w:line="235"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20" w:space="280"/>
            <w:col w:w="3680"/>
          </w:cols>
          <w:pgMar w:left="980" w:top="517" w:right="10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26,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11430</wp:posOffset>
            </wp:positionV>
            <wp:extent cx="3042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26,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11430</wp:posOffset>
            </wp:positionV>
            <wp:extent cx="3042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7" w:right="1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2"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20"/>
          <w:szCs w:val="20"/>
          <w:color w:val="auto"/>
        </w:rPr>
      </w:pPr>
    </w:p>
    <w:p>
      <w:pPr>
        <w:ind w:left="660" w:right="160" w:hanging="652"/>
        <w:spacing w:after="0" w:line="232"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20"/>
          <w:szCs w:val="20"/>
          <w:color w:val="auto"/>
        </w:rPr>
      </w:pPr>
    </w:p>
    <w:p>
      <w:pPr>
        <w:ind w:left="660" w:right="40" w:hanging="652"/>
        <w:spacing w:after="0" w:line="23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20"/>
          <w:szCs w:val="20"/>
          <w:color w:val="auto"/>
        </w:rPr>
      </w:pPr>
    </w:p>
    <w:p>
      <w:pPr>
        <w:ind w:left="1300" w:right="160" w:hanging="644"/>
        <w:spacing w:after="0" w:line="230"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20"/>
          <w:szCs w:val="20"/>
          <w:color w:val="auto"/>
        </w:rPr>
      </w:pPr>
    </w:p>
    <w:p>
      <w:pPr>
        <w:ind w:left="1300" w:right="680" w:hanging="644"/>
        <w:spacing w:after="0" w:line="244" w:lineRule="auto"/>
        <w:tabs>
          <w:tab w:leader="none" w:pos="13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9"/>
          <w:szCs w:val="19"/>
          <w:color w:val="auto"/>
        </w:rPr>
      </w:pPr>
    </w:p>
    <w:p>
      <w:pPr>
        <w:ind w:left="1300" w:right="20" w:hanging="644"/>
        <w:spacing w:after="0" w:line="232"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20"/>
          <w:szCs w:val="20"/>
          <w:color w:val="auto"/>
        </w:rPr>
      </w:pPr>
    </w:p>
    <w:p>
      <w:pPr>
        <w:ind w:left="1300" w:right="220" w:hanging="644"/>
        <w:spacing w:after="0" w:line="230"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20"/>
          <w:szCs w:val="20"/>
          <w:color w:val="auto"/>
        </w:rPr>
      </w:pPr>
    </w:p>
    <w:p>
      <w:pPr>
        <w:ind w:left="660" w:right="580" w:hanging="652"/>
        <w:spacing w:after="0" w:line="232"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20"/>
          <w:szCs w:val="20"/>
          <w:color w:val="auto"/>
        </w:rPr>
      </w:pPr>
    </w:p>
    <w:p>
      <w:pPr>
        <w:ind w:left="1300" w:right="240" w:hanging="644"/>
        <w:spacing w:after="0" w:line="232"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20"/>
          <w:szCs w:val="20"/>
          <w:color w:val="auto"/>
        </w:rPr>
      </w:pPr>
    </w:p>
    <w:p>
      <w:pPr>
        <w:ind w:left="1300" w:right="420" w:hanging="644"/>
        <w:spacing w:after="0" w:line="236" w:lineRule="auto"/>
        <w:tabs>
          <w:tab w:leader="none" w:pos="1300"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October 26, 2022</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26"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5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2"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20"/>
          <w:szCs w:val="20"/>
          <w:color w:val="auto"/>
        </w:rPr>
      </w:pPr>
    </w:p>
    <w:p>
      <w:pPr>
        <w:ind w:left="660" w:right="160" w:hanging="652"/>
        <w:spacing w:after="0" w:line="232"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20"/>
          <w:szCs w:val="20"/>
          <w:color w:val="auto"/>
        </w:rPr>
      </w:pPr>
    </w:p>
    <w:p>
      <w:pPr>
        <w:ind w:left="660" w:right="40" w:hanging="652"/>
        <w:spacing w:after="0" w:line="23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20"/>
          <w:szCs w:val="20"/>
          <w:color w:val="auto"/>
        </w:rPr>
      </w:pPr>
    </w:p>
    <w:p>
      <w:pPr>
        <w:ind w:left="1300" w:right="160" w:hanging="644"/>
        <w:spacing w:after="0" w:line="230"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20"/>
          <w:szCs w:val="20"/>
          <w:color w:val="auto"/>
        </w:rPr>
      </w:pPr>
    </w:p>
    <w:p>
      <w:pPr>
        <w:ind w:left="1300" w:right="680" w:hanging="644"/>
        <w:spacing w:after="0" w:line="244" w:lineRule="auto"/>
        <w:tabs>
          <w:tab w:leader="none" w:pos="13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9"/>
          <w:szCs w:val="19"/>
          <w:color w:val="auto"/>
        </w:rPr>
      </w:pPr>
    </w:p>
    <w:p>
      <w:pPr>
        <w:ind w:left="1300" w:right="20" w:hanging="644"/>
        <w:spacing w:after="0" w:line="232"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20"/>
          <w:szCs w:val="20"/>
          <w:color w:val="auto"/>
        </w:rPr>
      </w:pPr>
    </w:p>
    <w:p>
      <w:pPr>
        <w:ind w:left="1300" w:right="220" w:hanging="644"/>
        <w:spacing w:after="0" w:line="230"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20"/>
          <w:szCs w:val="20"/>
          <w:color w:val="auto"/>
        </w:rPr>
      </w:pPr>
    </w:p>
    <w:p>
      <w:pPr>
        <w:ind w:left="660" w:right="580" w:hanging="652"/>
        <w:spacing w:after="0" w:line="232"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20"/>
          <w:szCs w:val="20"/>
          <w:color w:val="auto"/>
        </w:rPr>
      </w:pPr>
    </w:p>
    <w:p>
      <w:pPr>
        <w:ind w:left="1300" w:right="240" w:hanging="644"/>
        <w:spacing w:after="0" w:line="232"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20"/>
          <w:szCs w:val="20"/>
          <w:color w:val="auto"/>
        </w:rPr>
      </w:pPr>
    </w:p>
    <w:p>
      <w:pPr>
        <w:ind w:left="1300" w:right="420" w:hanging="644"/>
        <w:spacing w:after="0" w:line="236" w:lineRule="auto"/>
        <w:tabs>
          <w:tab w:leader="none" w:pos="130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October 26, 2022</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202"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September 30, 2022,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58" w:lineRule="exact"/>
        <w:rPr>
          <w:sz w:val="20"/>
          <w:szCs w:val="20"/>
          <w:color w:val="auto"/>
        </w:rPr>
      </w:pPr>
    </w:p>
    <w:p>
      <w:pPr>
        <w:ind w:left="660" w:right="140" w:hanging="328"/>
        <w:spacing w:after="0" w:line="236"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5"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 October 26, 2022</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 October 26, 2022</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line="225" w:lineRule="auto"/>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53" Type="http://schemas.openxmlformats.org/officeDocument/2006/relationships/hyperlink" Target="https://www.sec.gov/Archives/edgar/data/0000866829/000095012906002103/h33539exv3w1.htm" TargetMode="External"/><Relationship Id="rId54" Type="http://schemas.openxmlformats.org/officeDocument/2006/relationships/hyperlink" Target="https://www.sec.gov/Archives/edgar/data/866829/000095012906008744/h39963exv3w1.htm" TargetMode="External"/><Relationship Id="rId55" Type="http://schemas.openxmlformats.org/officeDocument/2006/relationships/hyperlink" Target="https://www.sec.gov/Archives/edgar/data/866829/000086682922000014/hlx-20220701x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2022-10-26T15:53:56Z</dcterms:created>
  <dcterms:modified xsi:type="dcterms:W3CDTF">2022-10-26T15:53:56Z</dcterms:modified>
</cp:coreProperties>
</file>