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December 31, 2020</w:t>
      </w:r>
      <w:r>
        <w:rPr>
          <w:rFonts w:ascii="Arial" w:cs="Arial" w:eastAsia="Arial" w:hAnsi="Arial"/>
          <w:sz w:val="19"/>
          <w:szCs w:val="19"/>
          <w:color w:val="auto"/>
        </w:rPr>
        <w:t xml:space="preserve"> (December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101600</wp:posOffset>
            </wp:positionV>
            <wp:extent cx="3154680" cy="1174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468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HELIX ENERGY SOLUTIONS GROUP,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020" w:right="339" w:bottom="1440" w:gutter="0" w:footer="0" w:header="0"/>
        </w:sectPr>
      </w:pPr>
    </w:p>
    <w:p>
      <w:pPr>
        <w:spacing w:after="0" w:line="242"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001-32936</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95-3409686</w:t>
      </w:r>
    </w:p>
    <w:p>
      <w:pPr>
        <w:spacing w:after="0" w:line="25" w:lineRule="exact"/>
        <w:rPr>
          <w:sz w:val="24"/>
          <w:szCs w:val="24"/>
          <w:color w:val="auto"/>
        </w:rPr>
      </w:pPr>
    </w:p>
    <w:p>
      <w:pPr>
        <w:sectPr>
          <w:pgSz w:w="11900" w:h="16838" w:orient="portrait"/>
          <w:cols w:equalWidth="0" w:num="3">
            <w:col w:w="4780" w:space="720"/>
            <w:col w:w="2740" w:space="720"/>
            <w:col w:w="2280"/>
          </w:cols>
          <w:pgMar w:left="320" w:top="1020" w:right="3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(State or other jurisdiction</w:t>
      </w:r>
    </w:p>
    <w:p>
      <w:pPr>
        <w:ind w:left="14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8"/>
          <w:szCs w:val="18"/>
          <w:color w:val="auto"/>
        </w:rPr>
        <w:t>(IRS Employer</w:t>
      </w: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174" w:lineRule="exact"/>
        <w:rPr>
          <w:sz w:val="24"/>
          <w:szCs w:val="24"/>
          <w:color w:val="auto"/>
        </w:rPr>
      </w:pPr>
    </w:p>
    <w:p>
      <w:pPr>
        <w:sectPr>
          <w:pgSz w:w="11900" w:h="16838" w:orient="portrait"/>
          <w:cols w:equalWidth="0" w:num="3">
            <w:col w:w="4680" w:space="720"/>
            <w:col w:w="2620" w:space="720"/>
            <w:col w:w="2500"/>
          </w:cols>
          <w:pgMar w:left="320" w:top="1020" w:right="339" w:bottom="1440" w:gutter="0" w:footer="0" w:header="0"/>
          <w:type w:val="continuous"/>
        </w:sectPr>
      </w:pPr>
    </w:p>
    <w:p>
      <w:pPr>
        <w:ind w:left="1260"/>
        <w:spacing w:after="0"/>
        <w:rPr>
          <w:sz w:val="20"/>
          <w:szCs w:val="20"/>
          <w:color w:val="auto"/>
        </w:rPr>
      </w:pPr>
      <w:r>
        <w:rPr>
          <w:rFonts w:ascii="Arial" w:cs="Arial" w:eastAsia="Arial" w:hAnsi="Arial"/>
          <w:sz w:val="17"/>
          <w:szCs w:val="17"/>
          <w:b w:val="1"/>
          <w:bCs w:val="1"/>
          <w:color w:val="auto"/>
        </w:rPr>
        <w:t>3505 West Sam Houston Parkway North</w:t>
      </w:r>
    </w:p>
    <w:p>
      <w:pPr>
        <w:spacing w:after="0" w:line="43"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Suite 400</w:t>
      </w:r>
    </w:p>
    <w:p>
      <w:pPr>
        <w:spacing w:after="0" w:line="27"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77043</w:t>
      </w:r>
    </w:p>
    <w:p>
      <w:pPr>
        <w:spacing w:after="0" w:line="56" w:lineRule="exact"/>
        <w:rPr>
          <w:sz w:val="24"/>
          <w:szCs w:val="24"/>
          <w:color w:val="auto"/>
        </w:rPr>
      </w:pPr>
    </w:p>
    <w:p>
      <w:pPr>
        <w:sectPr>
          <w:pgSz w:w="11900" w:h="16838" w:orient="portrait"/>
          <w:cols w:equalWidth="0" w:num="2">
            <w:col w:w="7620" w:space="720"/>
            <w:col w:w="2900"/>
          </w:cols>
          <w:pgMar w:left="320" w:top="1020" w:right="339" w:bottom="1440" w:gutter="0" w:footer="0" w:header="0"/>
          <w:type w:val="continuous"/>
        </w:sectPr>
      </w:pPr>
    </w:p>
    <w:p>
      <w:pPr>
        <w:ind w:left="140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(Zip Code)</w:t>
      </w:r>
    </w:p>
    <w:p>
      <w:pPr>
        <w:spacing w:after="0" w:line="161" w:lineRule="exact"/>
        <w:rPr>
          <w:sz w:val="24"/>
          <w:szCs w:val="24"/>
          <w:color w:val="auto"/>
        </w:rPr>
      </w:pPr>
    </w:p>
    <w:p>
      <w:pPr>
        <w:sectPr>
          <w:pgSz w:w="11900" w:h="16838" w:orient="portrait"/>
          <w:cols w:equalWidth="0" w:num="2">
            <w:col w:w="7440" w:space="720"/>
            <w:col w:w="3080"/>
          </w:cols>
          <w:pgMar w:left="320" w:top="1020" w:right="339" w:bottom="1440" w:gutter="0" w:footer="0" w:header="0"/>
          <w:type w:val="continuous"/>
        </w:sectPr>
      </w:pPr>
    </w:p>
    <w:p>
      <w:pPr>
        <w:ind w:left="30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281-618-0400</w:t>
      </w:r>
    </w:p>
    <w:p>
      <w:pPr>
        <w:spacing w:after="0" w:line="11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17"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120" w:firstLine="8"/>
        <w:spacing w:after="0" w:line="370"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12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3380" w:type="dxa"/>
            <w:vAlign w:val="bottom"/>
            <w:gridSpan w:val="2"/>
          </w:tcPr>
          <w:p>
            <w:pPr>
              <w:jc w:val="center"/>
              <w:ind w:right="100"/>
              <w:spacing w:after="0"/>
              <w:rPr>
                <w:sz w:val="20"/>
                <w:szCs w:val="20"/>
                <w:color w:val="auto"/>
              </w:rPr>
            </w:pPr>
            <w:r>
              <w:rPr>
                <w:rFonts w:ascii="Arial" w:cs="Arial" w:eastAsia="Arial" w:hAnsi="Arial"/>
                <w:sz w:val="18"/>
                <w:szCs w:val="18"/>
                <w:color w:val="auto"/>
              </w:rPr>
              <w:t>Common Stock</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HLX</w:t>
            </w:r>
          </w:p>
        </w:tc>
        <w:tc>
          <w:tcPr>
            <w:tcW w:w="50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7"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40" w:lineRule="exact"/>
        <w:rPr>
          <w:sz w:val="20"/>
          <w:szCs w:val="20"/>
          <w:color w:val="auto"/>
        </w:rPr>
      </w:pPr>
    </w:p>
    <w:p>
      <w:pPr>
        <w:ind w:right="80" w:firstLine="648"/>
        <w:spacing w:after="0"/>
        <w:rPr>
          <w:sz w:val="20"/>
          <w:szCs w:val="20"/>
          <w:color w:val="auto"/>
        </w:rPr>
      </w:pPr>
      <w:r>
        <w:rPr>
          <w:rFonts w:ascii="Arial" w:cs="Arial" w:eastAsia="Arial" w:hAnsi="Arial"/>
          <w:sz w:val="20"/>
          <w:szCs w:val="20"/>
          <w:color w:val="auto"/>
        </w:rPr>
        <w:t>Helix Energy Solutions Group, Inc., a Minnesota corporation (“Helix”), certain of its subsidiaries as guarantors, the lenders thereunder, and Bank of America, N.A., as administrative agent, swing line lender and letters of credit issuer, have entered into Amendment No. 3 to Amended and Restated Credit Agreement, dated as of December 30, 2020 (“Amendment No. 3”), which amends in part the Amended and Restated Credit Agreement dated as of June 30, 2017 (as previously amended by Amendment No. 1 to Amended and Restated Credit Agreement, dated as of January 18, 2019, and Amendment No. 2 to Amended and Restated Credit Agreement, dated as of June 28, 2019, the “Credit Agreement”).</w:t>
      </w:r>
    </w:p>
    <w:p>
      <w:pPr>
        <w:spacing w:after="0" w:line="240" w:lineRule="exact"/>
        <w:rPr>
          <w:sz w:val="20"/>
          <w:szCs w:val="20"/>
          <w:color w:val="auto"/>
        </w:rPr>
      </w:pPr>
    </w:p>
    <w:p>
      <w:pPr>
        <w:ind w:right="40" w:firstLine="648"/>
        <w:spacing w:after="0" w:line="241" w:lineRule="auto"/>
        <w:rPr>
          <w:sz w:val="20"/>
          <w:szCs w:val="20"/>
          <w:color w:val="auto"/>
        </w:rPr>
      </w:pPr>
      <w:r>
        <w:rPr>
          <w:rFonts w:ascii="Arial" w:cs="Arial" w:eastAsia="Arial" w:hAnsi="Arial"/>
          <w:sz w:val="20"/>
          <w:szCs w:val="20"/>
          <w:color w:val="auto"/>
        </w:rPr>
        <w:t xml:space="preserve">Under the Credit Agreement, Helix is required to cause Helix Offshore Ltd. to become a party to the guaranty as set forth under the Credit Agreement and to grant a security interest in the </w:t>
      </w:r>
      <w:r>
        <w:rPr>
          <w:rFonts w:ascii="Arial" w:cs="Arial" w:eastAsia="Arial" w:hAnsi="Arial"/>
          <w:sz w:val="20"/>
          <w:szCs w:val="20"/>
          <w:i w:val="1"/>
          <w:iCs w:val="1"/>
          <w:color w:val="auto"/>
        </w:rPr>
        <w:t>Well Enhancer</w:t>
      </w:r>
      <w:r>
        <w:rPr>
          <w:rFonts w:ascii="Arial" w:cs="Arial" w:eastAsia="Arial" w:hAnsi="Arial"/>
          <w:sz w:val="20"/>
          <w:szCs w:val="20"/>
          <w:color w:val="auto"/>
        </w:rPr>
        <w:t xml:space="preserve"> vessel to the secured parties under the Credit Agreement by December 31, 2020. Amendment No. 3, among other things, extends the deadline to complete those requirements from December 31, 2020 to February 15, 2021.</w:t>
      </w:r>
    </w:p>
    <w:p>
      <w:pPr>
        <w:spacing w:after="0" w:line="237" w:lineRule="exact"/>
        <w:rPr>
          <w:sz w:val="20"/>
          <w:szCs w:val="20"/>
          <w:color w:val="auto"/>
        </w:rPr>
      </w:pPr>
    </w:p>
    <w:p>
      <w:pPr>
        <w:jc w:val="both"/>
        <w:ind w:right="180" w:firstLine="648"/>
        <w:spacing w:after="0" w:line="243" w:lineRule="auto"/>
        <w:rPr>
          <w:sz w:val="20"/>
          <w:szCs w:val="20"/>
          <w:color w:val="auto"/>
        </w:rPr>
      </w:pPr>
      <w:r>
        <w:rPr>
          <w:rFonts w:ascii="Arial" w:cs="Arial" w:eastAsia="Arial" w:hAnsi="Arial"/>
          <w:sz w:val="20"/>
          <w:szCs w:val="20"/>
          <w:color w:val="auto"/>
        </w:rPr>
        <w:t>Amendment No. 3 amends only those aspects of the Credit Agreement specifically covered by Amendment No. 3. The above description of the material terms and conditions of Amendment No. 3 does not purport to be complete and is qualified in its entirety by reference to the full text of Amendment No. 3, which is filed as Exhibit 4.1 hereto.</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3" w:lineRule="exact"/>
        <w:rPr>
          <w:sz w:val="20"/>
          <w:szCs w:val="20"/>
          <w:color w:val="auto"/>
        </w:rPr>
      </w:pPr>
    </w:p>
    <w:p>
      <w:pPr>
        <w:ind w:left="860" w:hanging="852"/>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ind w:left="20"/>
              <w:spacing w:after="0"/>
              <w:rPr>
                <w:sz w:val="20"/>
                <w:szCs w:val="20"/>
                <w:color w:val="auto"/>
              </w:rPr>
            </w:pPr>
            <w:r>
              <w:rPr>
                <w:rFonts w:ascii="Arial" w:cs="Arial" w:eastAsia="Arial" w:hAnsi="Arial"/>
                <w:sz w:val="20"/>
                <w:szCs w:val="20"/>
                <w:color w:val="auto"/>
              </w:rPr>
              <w:t>Exhibit</w:t>
            </w:r>
          </w:p>
        </w:tc>
        <w:tc>
          <w:tcPr>
            <w:tcW w:w="8260" w:type="dxa"/>
            <w:vAlign w:val="bottom"/>
            <w:gridSpan w:val="4"/>
            <w:vMerge w:val="restart"/>
          </w:tcPr>
          <w:p>
            <w:pPr>
              <w:ind w:left="20"/>
              <w:spacing w:after="0"/>
              <w:rPr>
                <w:sz w:val="20"/>
                <w:szCs w:val="20"/>
                <w:color w:val="auto"/>
              </w:rPr>
            </w:pPr>
            <w:r>
              <w:rPr>
                <w:rFonts w:ascii="Arial" w:cs="Arial" w:eastAsia="Arial" w:hAnsi="Arial"/>
                <w:sz w:val="20"/>
                <w:szCs w:val="20"/>
                <w:color w:val="auto"/>
              </w:rPr>
              <w:t>Description</w:t>
            </w:r>
          </w:p>
        </w:tc>
        <w:tc>
          <w:tcPr>
            <w:tcW w:w="15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Number</w:t>
            </w:r>
          </w:p>
        </w:tc>
        <w:tc>
          <w:tcPr>
            <w:tcW w:w="300" w:type="dxa"/>
            <w:vAlign w:val="bottom"/>
          </w:tcPr>
          <w:p>
            <w:pPr>
              <w:spacing w:after="0"/>
              <w:rPr>
                <w:sz w:val="20"/>
                <w:szCs w:val="20"/>
                <w:color w:val="auto"/>
              </w:rPr>
            </w:pPr>
          </w:p>
        </w:tc>
        <w:tc>
          <w:tcPr>
            <w:tcW w:w="8260" w:type="dxa"/>
            <w:vAlign w:val="bottom"/>
            <w:tcBorders>
              <w:bottom w:val="single" w:sz="8" w:color="auto"/>
            </w:tcBorders>
            <w:gridSpan w:val="4"/>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line="209" w:lineRule="exact"/>
              <w:rPr>
                <w:sz w:val="20"/>
                <w:szCs w:val="20"/>
                <w:color w:val="auto"/>
              </w:rPr>
            </w:pPr>
            <w:r>
              <w:rPr>
                <w:rFonts w:ascii="Arial" w:cs="Arial" w:eastAsia="Arial" w:hAnsi="Arial"/>
                <w:sz w:val="20"/>
                <w:szCs w:val="20"/>
                <w:color w:val="auto"/>
              </w:rPr>
              <w:t>4.1</w:t>
            </w:r>
          </w:p>
        </w:tc>
        <w:tc>
          <w:tcPr>
            <w:tcW w:w="300" w:type="dxa"/>
            <w:vAlign w:val="bottom"/>
          </w:tcPr>
          <w:p>
            <w:pPr>
              <w:spacing w:after="0"/>
              <w:rPr>
                <w:sz w:val="18"/>
                <w:szCs w:val="18"/>
                <w:color w:val="auto"/>
              </w:rPr>
            </w:pPr>
          </w:p>
        </w:tc>
        <w:tc>
          <w:tcPr>
            <w:tcW w:w="9820" w:type="dxa"/>
            <w:vAlign w:val="bottom"/>
            <w:gridSpan w:val="5"/>
          </w:tcPr>
          <w:p>
            <w:pPr>
              <w:ind w:left="20"/>
              <w:spacing w:after="0" w:line="209" w:lineRule="exact"/>
              <w:rPr>
                <w:rFonts w:ascii="Arial" w:cs="Arial" w:eastAsia="Arial" w:hAnsi="Arial"/>
                <w:sz w:val="20"/>
                <w:szCs w:val="20"/>
                <w:color w:val="0000FF"/>
              </w:rPr>
            </w:pPr>
            <w:hyperlink w:anchor="page4">
              <w:r>
                <w:rPr>
                  <w:rFonts w:ascii="Arial" w:cs="Arial" w:eastAsia="Arial" w:hAnsi="Arial"/>
                  <w:sz w:val="20"/>
                  <w:szCs w:val="20"/>
                  <w:u w:val="single" w:color="auto"/>
                  <w:color w:val="0000FF"/>
                </w:rPr>
                <w:t>Amendment No. 3 to Amended and Restated Credit Agreement, dated as of</w:t>
              </w:r>
              <w:r>
                <w:rPr>
                  <w:rFonts w:ascii="Arial" w:cs="Arial" w:eastAsia="Arial" w:hAnsi="Arial"/>
                  <w:sz w:val="20"/>
                  <w:szCs w:val="20"/>
                  <w:color w:val="0000FF"/>
                </w:rPr>
                <w:t xml:space="preserve"> December 30,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20" w:type="dxa"/>
            <w:vAlign w:val="bottom"/>
            <w:gridSpan w:val="5"/>
          </w:tcPr>
          <w:p>
            <w:pPr>
              <w:ind w:left="20"/>
              <w:spacing w:after="0" w:line="219" w:lineRule="exact"/>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2020, by and among Helix, certain of its subsidiaries as guarantors, the lenders thereunder,</w:t>
              </w:r>
            </w:hyperlink>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20" w:type="dxa"/>
            <w:vAlign w:val="bottom"/>
            <w:gridSpan w:val="5"/>
          </w:tcPr>
          <w:p>
            <w:pPr>
              <w:ind w:left="20"/>
              <w:spacing w:after="0" w:line="193" w:lineRule="exact"/>
              <w:rPr>
                <w:rFonts w:ascii="Arial" w:cs="Arial" w:eastAsia="Arial" w:hAnsi="Arial"/>
                <w:sz w:val="20"/>
                <w:szCs w:val="20"/>
                <w:color w:val="0000FF"/>
              </w:rPr>
            </w:pPr>
            <w:hyperlink w:anchor="page4">
              <w:r>
                <w:rPr>
                  <w:rFonts w:ascii="Arial" w:cs="Arial" w:eastAsia="Arial" w:hAnsi="Arial"/>
                  <w:sz w:val="20"/>
                  <w:szCs w:val="20"/>
                  <w:color w:val="0000FF"/>
                </w:rPr>
                <w:t>and Bank of America, N.A., as administrative agent, swing line lender and letters of credit</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ind w:left="20"/>
              <w:spacing w:after="0" w:line="196" w:lineRule="exact"/>
              <w:rPr>
                <w:rFonts w:ascii="Arial" w:cs="Arial" w:eastAsia="Arial" w:hAnsi="Arial"/>
                <w:sz w:val="20"/>
                <w:szCs w:val="20"/>
                <w:color w:val="0000FF"/>
                <w:w w:val="94"/>
              </w:rPr>
            </w:pPr>
            <w:hyperlink w:anchor="page4">
              <w:r>
                <w:rPr>
                  <w:rFonts w:ascii="Arial" w:cs="Arial" w:eastAsia="Arial" w:hAnsi="Arial"/>
                  <w:sz w:val="20"/>
                  <w:szCs w:val="20"/>
                  <w:color w:val="0000FF"/>
                  <w:w w:val="94"/>
                </w:rPr>
                <w:t>issuer.</w:t>
              </w:r>
            </w:hyperlink>
          </w:p>
        </w:tc>
        <w:tc>
          <w:tcPr>
            <w:tcW w:w="7640" w:type="dxa"/>
            <w:vAlign w:val="bottom"/>
            <w:tcBorders>
              <w:top w:val="single" w:sz="8" w:color="0000FF"/>
            </w:tcBorders>
            <w:gridSpan w:val="2"/>
          </w:tcPr>
          <w:p>
            <w:pPr>
              <w:spacing w:after="0"/>
              <w:rPr>
                <w:sz w:val="17"/>
                <w:szCs w:val="17"/>
                <w:color w:val="auto"/>
              </w:rPr>
            </w:pPr>
          </w:p>
        </w:tc>
        <w:tc>
          <w:tcPr>
            <w:tcW w:w="1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1120" w:type="dxa"/>
            <w:vAlign w:val="bottom"/>
          </w:tcPr>
          <w:p>
            <w:pPr>
              <w:ind w:left="20"/>
              <w:spacing w:after="0"/>
              <w:rPr>
                <w:sz w:val="20"/>
                <w:szCs w:val="20"/>
                <w:color w:val="auto"/>
              </w:rPr>
            </w:pPr>
            <w:r>
              <w:rPr>
                <w:rFonts w:ascii="Arial" w:cs="Arial" w:eastAsia="Arial" w:hAnsi="Arial"/>
                <w:sz w:val="20"/>
                <w:szCs w:val="20"/>
                <w:color w:val="auto"/>
              </w:rPr>
              <w:t>104</w:t>
            </w:r>
          </w:p>
        </w:tc>
        <w:tc>
          <w:tcPr>
            <w:tcW w:w="300" w:type="dxa"/>
            <w:vAlign w:val="bottom"/>
          </w:tcPr>
          <w:p>
            <w:pPr>
              <w:spacing w:after="0"/>
              <w:rPr>
                <w:sz w:val="24"/>
                <w:szCs w:val="24"/>
                <w:color w:val="auto"/>
              </w:rPr>
            </w:pPr>
          </w:p>
        </w:tc>
        <w:tc>
          <w:tcPr>
            <w:tcW w:w="9820" w:type="dxa"/>
            <w:vAlign w:val="bottom"/>
            <w:gridSpan w:val="5"/>
          </w:tcPr>
          <w:p>
            <w:pPr>
              <w:ind w:left="20"/>
              <w:spacing w:after="0"/>
              <w:rPr>
                <w:sz w:val="20"/>
                <w:szCs w:val="20"/>
                <w:color w:val="auto"/>
              </w:rPr>
            </w:pPr>
            <w:r>
              <w:rPr>
                <w:rFonts w:ascii="Arial" w:cs="Arial" w:eastAsia="Arial" w:hAnsi="Arial"/>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205"/>
        </w:trPr>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83"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Date:</w:t>
        <w:tab/>
        <w:t>December 31, 2020</w:t>
      </w:r>
    </w:p>
    <w:p>
      <w:pPr>
        <w:spacing w:after="0" w:line="36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HELIX ENERGY SOLUTIONS GROUP, INC.</w:t>
      </w:r>
    </w:p>
    <w:p>
      <w:pPr>
        <w:spacing w:after="0" w:line="25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By: /s/ Kenneth E.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28543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Kenneth E. Neikirk</w:t>
      </w:r>
    </w:p>
    <w:p>
      <w:pPr>
        <w:ind w:left="6100"/>
        <w:spacing w:after="0" w:line="210" w:lineRule="auto"/>
        <w:rPr>
          <w:sz w:val="20"/>
          <w:szCs w:val="20"/>
          <w:color w:val="auto"/>
        </w:rPr>
      </w:pPr>
      <w:r>
        <w:rPr>
          <w:rFonts w:ascii="Arial" w:cs="Arial" w:eastAsia="Arial" w:hAnsi="Arial"/>
          <w:sz w:val="20"/>
          <w:szCs w:val="20"/>
          <w:color w:val="auto"/>
        </w:rPr>
        <w:t>Senior Vice President, General Counsel and</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Corporate Secretary</w:t>
      </w:r>
    </w:p>
    <w:p>
      <w:pPr>
        <w:sectPr>
          <w:pgSz w:w="11900" w:h="16838" w:orient="portrait"/>
          <w:cols w:equalWidth="0" w:num="1">
            <w:col w:w="11240"/>
          </w:cols>
          <w:pgMar w:left="320" w:top="8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4.1</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 TO AMENDED AND RESTATED CREDIT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Amendment No. 3 to Amended and Restated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December 30,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is entered into by </w:t>
      </w:r>
      <w:r>
        <w:rPr>
          <w:rFonts w:ascii="Arial" w:cs="Arial" w:eastAsia="Arial" w:hAnsi="Arial"/>
          <w:sz w:val="22"/>
          <w:szCs w:val="22"/>
          <w:b w:val="1"/>
          <w:bCs w:val="1"/>
          <w:color w:val="auto"/>
        </w:rPr>
        <w:t>HELIX ENERGY SOLUTIONS GROUP, INC.</w:t>
      </w:r>
      <w:r>
        <w:rPr>
          <w:rFonts w:ascii="Arial" w:cs="Arial" w:eastAsia="Arial" w:hAnsi="Arial"/>
          <w:sz w:val="22"/>
          <w:szCs w:val="22"/>
          <w:color w:val="auto"/>
        </w:rPr>
        <w:t>, a Minnesota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the Guarantors (as defined in the Credit Agreement referenced below) party hereto, the Lenders (as defined below) party hereto, and </w:t>
      </w:r>
      <w:r>
        <w:rPr>
          <w:rFonts w:ascii="Arial" w:cs="Arial" w:eastAsia="Arial" w:hAnsi="Arial"/>
          <w:sz w:val="22"/>
          <w:szCs w:val="22"/>
          <w:b w:val="1"/>
          <w:bCs w:val="1"/>
          <w:color w:val="auto"/>
        </w:rPr>
        <w:t>BANK OF AMERICA, N.A.</w:t>
      </w:r>
      <w:r>
        <w:rPr>
          <w:rFonts w:ascii="Arial" w:cs="Arial" w:eastAsia="Arial" w:hAnsi="Arial"/>
          <w:sz w:val="22"/>
          <w:szCs w:val="22"/>
          <w:color w:val="auto"/>
        </w:rPr>
        <w:t>,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Swing Line Lender and L/C Issuer.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Reference is made to the Amended and Restated Credit Agreement dated as of June 30, 2017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Borrower, the lenders from time to time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and the Administrative Agent.</w:t>
      </w:r>
    </w:p>
    <w:p>
      <w:pPr>
        <w:spacing w:after="0" w:line="13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Borrower has requested, and the undersigned Lenders (which Lenders constitute the Required Lenders) and the Administrative Agent have agreed, on the terms and conditions set forth herein, to make certain amendments to the Credit Agreement.</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THEREFORE</w:t>
      </w:r>
      <w:r>
        <w:rPr>
          <w:rFonts w:ascii="Arial" w:cs="Arial" w:eastAsia="Arial" w:hAnsi="Arial"/>
          <w:sz w:val="22"/>
          <w:szCs w:val="22"/>
          <w:color w:val="auto"/>
        </w:rPr>
        <w:t>, in connection with the foregoing and for other good and valuable consideration, the Borrower, the</w:t>
      </w:r>
      <w:r>
        <w:rPr>
          <w:rFonts w:ascii="Arial" w:cs="Arial" w:eastAsia="Arial" w:hAnsi="Arial"/>
          <w:sz w:val="22"/>
          <w:szCs w:val="22"/>
          <w:b w:val="1"/>
          <w:bCs w:val="1"/>
          <w:color w:val="auto"/>
        </w:rPr>
        <w:t xml:space="preserve"> </w:t>
      </w:r>
      <w:r>
        <w:rPr>
          <w:rFonts w:ascii="Arial" w:cs="Arial" w:eastAsia="Arial" w:hAnsi="Arial"/>
          <w:sz w:val="22"/>
          <w:szCs w:val="22"/>
          <w:color w:val="auto"/>
        </w:rPr>
        <w:t>undersigned Lenders, and the Administrative Agent hereby agree as follows: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Definitions; References</w:t>
      </w:r>
      <w:r>
        <w:rPr>
          <w:rFonts w:ascii="Arial" w:cs="Arial" w:eastAsia="Arial" w:hAnsi="Arial"/>
          <w:sz w:val="21"/>
          <w:szCs w:val="21"/>
          <w:color w:val="auto"/>
        </w:rPr>
        <w:t>. Unless otherwise defined in this Amendment, each term used in this Amendment that is defined in the Credit Agreement has the meaning assigned to such term in the Credit Agreement.</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220" w:lineRule="exact"/>
        <w:rPr>
          <w:sz w:val="20"/>
          <w:szCs w:val="20"/>
          <w:color w:val="auto"/>
        </w:rPr>
      </w:pPr>
    </w:p>
    <w:p>
      <w:pPr>
        <w:ind w:firstLine="656"/>
        <w:spacing w:after="0" w:line="263" w:lineRule="auto"/>
        <w:tabs>
          <w:tab w:leader="none" w:pos="1293"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new defined terms in appropriate alphabetical order:</w:t>
      </w:r>
    </w:p>
    <w:p>
      <w:pPr>
        <w:spacing w:after="0" w:line="175" w:lineRule="exact"/>
        <w:rPr>
          <w:sz w:val="20"/>
          <w:szCs w:val="20"/>
          <w:color w:val="auto"/>
        </w:rPr>
      </w:pPr>
    </w:p>
    <w:p>
      <w:pPr>
        <w:jc w:val="both"/>
        <w:ind w:left="660"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175" w:lineRule="exact"/>
        <w:rPr>
          <w:sz w:val="20"/>
          <w:szCs w:val="20"/>
          <w:color w:val="auto"/>
        </w:rPr>
      </w:pPr>
    </w:p>
    <w:p>
      <w:pPr>
        <w:jc w:val="both"/>
        <w:ind w:left="660"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jc w:val="both"/>
        <w:ind w:left="660" w:right="66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Financial Institution</w:t>
      </w:r>
      <w:r>
        <w:rPr>
          <w:rFonts w:ascii="Arial" w:cs="Arial" w:eastAsia="Arial" w:hAnsi="Arial"/>
          <w:sz w:val="21"/>
          <w:szCs w:val="21"/>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ectPr>
          <w:pgSz w:w="11900" w:h="16838" w:orient="portrait"/>
          <w:cols w:equalWidth="0" w:num="1">
            <w:col w:w="11240"/>
          </w:cols>
          <w:pgMar w:left="320" w:top="1162" w:right="339" w:bottom="1440" w:gutter="0" w:footer="0" w:header="0"/>
        </w:sectPr>
      </w:pPr>
    </w:p>
    <w:bookmarkStart w:id="4" w:name="page5"/>
    <w:bookmarkEnd w:id="4"/>
    <w:p>
      <w:pPr>
        <w:ind w:left="640" w:right="6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ind w:left="-20" w:firstLine="656"/>
        <w:spacing w:after="0" w:line="263" w:lineRule="auto"/>
        <w:tabs>
          <w:tab w:leader="none" w:pos="1271"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following defined terms in Section 1.01 of the Credit Agreement are hereby amended and restated in their entirety to read as follows:</w:t>
      </w:r>
    </w:p>
    <w:p>
      <w:pPr>
        <w:spacing w:after="0" w:line="175" w:lineRule="exact"/>
        <w:rPr>
          <w:sz w:val="20"/>
          <w:szCs w:val="20"/>
          <w:color w:val="auto"/>
        </w:rPr>
      </w:pPr>
    </w:p>
    <w:p>
      <w:pPr>
        <w:jc w:val="both"/>
        <w:ind w:left="640"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jc w:val="both"/>
        <w:ind w:left="640" w:right="62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1" w:lineRule="exact"/>
        <w:rPr>
          <w:sz w:val="20"/>
          <w:szCs w:val="20"/>
          <w:color w:val="auto"/>
        </w:rPr>
      </w:pPr>
    </w:p>
    <w:p>
      <w:pPr>
        <w:jc w:val="both"/>
        <w:ind w:left="640" w:right="62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left="1280" w:hanging="644"/>
        <w:spacing w:after="0"/>
        <w:tabs>
          <w:tab w:leader="none" w:pos="1280" w:val="left"/>
        </w:tabs>
        <w:numPr>
          <w:ilvl w:val="0"/>
          <w:numId w:val="5"/>
        </w:numPr>
        <w:rPr>
          <w:rFonts w:ascii="Arial" w:cs="Arial" w:eastAsia="Arial" w:hAnsi="Arial"/>
          <w:sz w:val="21"/>
          <w:szCs w:val="21"/>
          <w:color w:val="auto"/>
        </w:rPr>
      </w:pPr>
      <w:r>
        <w:rPr>
          <w:rFonts w:ascii="Arial" w:cs="Arial" w:eastAsia="Arial" w:hAnsi="Arial"/>
          <w:sz w:val="21"/>
          <w:szCs w:val="21"/>
          <w:color w:val="auto"/>
        </w:rPr>
        <w:t>Section 5.25 of the Credit Agreement is hereby amended and restated in its entirety to read as follows:</w:t>
      </w:r>
    </w:p>
    <w:p>
      <w:pPr>
        <w:spacing w:after="0" w:line="225" w:lineRule="exact"/>
        <w:rPr>
          <w:sz w:val="20"/>
          <w:szCs w:val="20"/>
          <w:color w:val="auto"/>
        </w:rPr>
      </w:pPr>
    </w:p>
    <w:p>
      <w:pPr>
        <w:ind w:left="640" w:right="640" w:firstLine="648"/>
        <w:spacing w:after="0" w:line="269" w:lineRule="auto"/>
        <w:rPr>
          <w:sz w:val="20"/>
          <w:szCs w:val="20"/>
          <w:color w:val="auto"/>
        </w:rPr>
      </w:pPr>
      <w:r>
        <w:rPr>
          <w:rFonts w:ascii="Arial" w:cs="Arial" w:eastAsia="Arial" w:hAnsi="Arial"/>
          <w:sz w:val="22"/>
          <w:szCs w:val="22"/>
          <w:b w:val="1"/>
          <w:bCs w:val="1"/>
          <w:color w:val="auto"/>
        </w:rPr>
        <w:t xml:space="preserve">5.25. Affected Financial Institutions. </w:t>
      </w:r>
      <w:r>
        <w:rPr>
          <w:rFonts w:ascii="Arial" w:cs="Arial" w:eastAsia="Arial" w:hAnsi="Arial"/>
          <w:sz w:val="22"/>
          <w:szCs w:val="22"/>
          <w:color w:val="auto"/>
        </w:rPr>
        <w:t>Neither the Borrower nor any Guarantor is an Affected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Institution.</w:t>
      </w:r>
    </w:p>
    <w:p>
      <w:pPr>
        <w:spacing w:after="0" w:line="168" w:lineRule="exact"/>
        <w:rPr>
          <w:sz w:val="20"/>
          <w:szCs w:val="20"/>
          <w:color w:val="auto"/>
        </w:rPr>
      </w:pPr>
    </w:p>
    <w:p>
      <w:pPr>
        <w:ind w:left="1280" w:hanging="644"/>
        <w:spacing w:after="0"/>
        <w:tabs>
          <w:tab w:leader="none" w:pos="1280" w:val="left"/>
        </w:tabs>
        <w:numPr>
          <w:ilvl w:val="0"/>
          <w:numId w:val="6"/>
        </w:numPr>
        <w:rPr>
          <w:rFonts w:ascii="Arial" w:cs="Arial" w:eastAsia="Arial" w:hAnsi="Arial"/>
          <w:sz w:val="19"/>
          <w:szCs w:val="19"/>
          <w:color w:val="auto"/>
        </w:rPr>
      </w:pPr>
      <w:r>
        <w:rPr>
          <w:rFonts w:ascii="Arial" w:cs="Arial" w:eastAsia="Arial" w:hAnsi="Arial"/>
          <w:sz w:val="19"/>
          <w:szCs w:val="19"/>
          <w:color w:val="auto"/>
        </w:rPr>
        <w:t>Section 6.13 of the Credit Agreement is hereby amended by restating clause (e) in its entirety to read as follows:</w:t>
      </w:r>
    </w:p>
    <w:p>
      <w:pPr>
        <w:spacing w:after="0" w:line="254" w:lineRule="exact"/>
        <w:rPr>
          <w:rFonts w:ascii="Arial" w:cs="Arial" w:eastAsia="Arial" w:hAnsi="Arial"/>
          <w:sz w:val="19"/>
          <w:szCs w:val="19"/>
          <w:color w:val="auto"/>
        </w:rPr>
      </w:pPr>
    </w:p>
    <w:p>
      <w:pPr>
        <w:jc w:val="both"/>
        <w:ind w:left="640" w:right="640" w:firstLine="644"/>
        <w:spacing w:after="0" w:line="253" w:lineRule="auto"/>
        <w:tabs>
          <w:tab w:leader="none" w:pos="1758" w:val="left"/>
        </w:tabs>
        <w:numPr>
          <w:ilvl w:val="1"/>
          <w:numId w:val="6"/>
        </w:numPr>
        <w:rPr>
          <w:rFonts w:ascii="Arial" w:cs="Arial" w:eastAsia="Arial" w:hAnsi="Arial"/>
          <w:sz w:val="22"/>
          <w:szCs w:val="22"/>
          <w:color w:val="auto"/>
        </w:rPr>
      </w:pPr>
      <w:r>
        <w:rPr>
          <w:rFonts w:ascii="Arial" w:cs="Arial" w:eastAsia="Arial" w:hAnsi="Arial"/>
          <w:sz w:val="22"/>
          <w:szCs w:val="22"/>
          <w:color w:val="auto"/>
        </w:rPr>
        <w:t xml:space="preserve">Helix Offshore Ltd., in its capacity as the owner of the </w:t>
      </w:r>
      <w:r>
        <w:rPr>
          <w:rFonts w:ascii="Arial" w:cs="Arial" w:eastAsia="Arial" w:hAnsi="Arial"/>
          <w:sz w:val="22"/>
          <w:szCs w:val="22"/>
          <w:i w:val="1"/>
          <w:iCs w:val="1"/>
          <w:color w:val="auto"/>
        </w:rPr>
        <w:t>Well Enhancer</w:t>
      </w:r>
      <w:r>
        <w:rPr>
          <w:rFonts w:ascii="Arial" w:cs="Arial" w:eastAsia="Arial" w:hAnsi="Arial"/>
          <w:sz w:val="22"/>
          <w:szCs w:val="22"/>
          <w:color w:val="auto"/>
        </w:rPr>
        <w:t xml:space="preserve"> (or any other Subsidiary of the Borrower that owns such vessel), shall, as soon as reasonably possible after the Amendment No. 2 Effective Date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1185" w:right="359" w:bottom="1440" w:gutter="0" w:footer="0" w:header="0"/>
        </w:sectPr>
      </w:pPr>
    </w:p>
    <w:bookmarkStart w:id="5" w:name="page6"/>
    <w:bookmarkEnd w:id="5"/>
    <w:p>
      <w:pPr>
        <w:jc w:val="both"/>
        <w:ind w:left="4" w:right="20"/>
        <w:spacing w:after="0" w:line="259" w:lineRule="auto"/>
        <w:rPr>
          <w:sz w:val="20"/>
          <w:szCs w:val="20"/>
          <w:color w:val="auto"/>
        </w:rPr>
      </w:pPr>
      <w:r>
        <w:rPr>
          <w:rFonts w:ascii="Arial" w:cs="Arial" w:eastAsia="Arial" w:hAnsi="Arial"/>
          <w:sz w:val="21"/>
          <w:szCs w:val="21"/>
          <w:color w:val="auto"/>
        </w:rPr>
        <w:t xml:space="preserve">any event on or before February 15, 2021, (i) become a party to the Guaranty, (ii) grant the Administrative Agent for the benefit of the Secured Parties a security interest in all of the right, title, and interest in Helix Offshore Ltd.’s property (other than Excluded Property), including the </w:t>
      </w:r>
      <w:r>
        <w:rPr>
          <w:rFonts w:ascii="Arial" w:cs="Arial" w:eastAsia="Arial" w:hAnsi="Arial"/>
          <w:sz w:val="21"/>
          <w:szCs w:val="21"/>
          <w:i w:val="1"/>
          <w:iCs w:val="1"/>
          <w:color w:val="auto"/>
        </w:rPr>
        <w:t>Well Enhancer</w:t>
      </w:r>
      <w:r>
        <w:rPr>
          <w:rFonts w:ascii="Arial" w:cs="Arial" w:eastAsia="Arial" w:hAnsi="Arial"/>
          <w:sz w:val="21"/>
          <w:szCs w:val="21"/>
          <w:color w:val="auto"/>
        </w:rPr>
        <w:t xml:space="preserve">, (iii) take all actions reasonably required by the Administrative Agent to insure the attachment, perfection or priority of, or the ability of the Administrative Agent to enforce, the security interest in such property, including the </w:t>
      </w:r>
      <w:r>
        <w:rPr>
          <w:rFonts w:ascii="Arial" w:cs="Arial" w:eastAsia="Arial" w:hAnsi="Arial"/>
          <w:sz w:val="21"/>
          <w:szCs w:val="21"/>
          <w:i w:val="1"/>
          <w:iCs w:val="1"/>
          <w:color w:val="auto"/>
        </w:rPr>
        <w:t>Well Enhancer</w:t>
      </w:r>
      <w:r>
        <w:rPr>
          <w:rFonts w:ascii="Arial" w:cs="Arial" w:eastAsia="Arial" w:hAnsi="Arial"/>
          <w:sz w:val="21"/>
          <w:szCs w:val="21"/>
          <w:color w:val="auto"/>
        </w:rPr>
        <w:t>, and (iv)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3" w:lineRule="exact"/>
        <w:rPr>
          <w:sz w:val="20"/>
          <w:szCs w:val="20"/>
          <w:color w:val="auto"/>
        </w:rPr>
      </w:pPr>
    </w:p>
    <w:p>
      <w:pPr>
        <w:ind w:left="644" w:hanging="644"/>
        <w:spacing w:after="0"/>
        <w:tabs>
          <w:tab w:leader="none" w:pos="644" w:val="left"/>
        </w:tabs>
        <w:numPr>
          <w:ilvl w:val="0"/>
          <w:numId w:val="7"/>
        </w:numPr>
        <w:rPr>
          <w:rFonts w:ascii="Arial" w:cs="Arial" w:eastAsia="Arial" w:hAnsi="Arial"/>
          <w:sz w:val="19"/>
          <w:szCs w:val="19"/>
          <w:color w:val="auto"/>
        </w:rPr>
      </w:pPr>
      <w:r>
        <w:rPr>
          <w:rFonts w:ascii="Arial" w:cs="Arial" w:eastAsia="Arial" w:hAnsi="Arial"/>
          <w:sz w:val="19"/>
          <w:szCs w:val="19"/>
          <w:color w:val="auto"/>
        </w:rPr>
        <w:t>Section 10.18 of the Credit Agreement is hereby amended and restated in its entirety to read as follows:</w:t>
      </w:r>
    </w:p>
    <w:p>
      <w:pPr>
        <w:spacing w:after="0" w:line="248"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9"/>
          <w:szCs w:val="19"/>
          <w:b w:val="1"/>
          <w:bCs w:val="1"/>
          <w:color w:val="auto"/>
        </w:rPr>
        <w:t>10.18 Electronic Execution of Assignments and Certain Other Documents</w:t>
      </w:r>
      <w:r>
        <w:rPr>
          <w:rFonts w:ascii="Arial" w:cs="Arial" w:eastAsia="Arial" w:hAnsi="Arial"/>
          <w:sz w:val="19"/>
          <w:szCs w:val="19"/>
          <w:color w:val="auto"/>
        </w:rPr>
        <w:t>. This Agreement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amendment, approval, consent, information, notice, certificate, request, statement, disclosure or authorization related to this Agreement (each a “</w:t>
      </w:r>
      <w:r>
        <w:rPr>
          <w:rFonts w:ascii="Arial" w:cs="Arial" w:eastAsia="Arial" w:hAnsi="Arial"/>
          <w:sz w:val="19"/>
          <w:szCs w:val="19"/>
          <w:u w:val="single" w:color="auto"/>
          <w:color w:val="auto"/>
        </w:rPr>
        <w:t>Communication</w:t>
      </w:r>
      <w:r>
        <w:rPr>
          <w:rFonts w:ascii="Arial" w:cs="Arial" w:eastAsia="Arial" w:hAnsi="Arial"/>
          <w:sz w:val="19"/>
          <w:szCs w:val="19"/>
          <w:color w:val="auto"/>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the L/C Issuer,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the L/C Issuer, and each of the Lenders may, at its option, create one or more copies of any Communication in the form of an imaged Electronic Record (“</w:t>
      </w:r>
      <w:r>
        <w:rPr>
          <w:rFonts w:ascii="Arial" w:cs="Arial" w:eastAsia="Arial" w:hAnsi="Arial"/>
          <w:sz w:val="19"/>
          <w:szCs w:val="19"/>
          <w:u w:val="single" w:color="auto"/>
          <w:color w:val="auto"/>
        </w:rPr>
        <w:t>Electronic Copy</w:t>
      </w:r>
      <w:r>
        <w:rPr>
          <w:rFonts w:ascii="Arial" w:cs="Arial" w:eastAsia="Arial" w:hAnsi="Arial"/>
          <w:sz w:val="19"/>
          <w:szCs w:val="19"/>
          <w:color w:val="auto"/>
        </w:rPr>
        <w:t xml:space="preserve">”),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 nor any Lender is under any obligation to accept an Electronic Signature in any form or in any format unless expressly agreed to by the Administrative Agent, the L/C Issuer or such Lender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without limiting the foregoing, (a)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44"/>
          </w:cols>
          <w:pgMar w:left="976" w:top="1185" w:right="979" w:bottom="1440" w:gutter="0" w:footer="0" w:header="0"/>
        </w:sectPr>
      </w:pPr>
    </w:p>
    <w:bookmarkStart w:id="6" w:name="page7"/>
    <w:bookmarkEnd w:id="6"/>
    <w:p>
      <w:pPr>
        <w:jc w:val="both"/>
        <w:ind w:left="660" w:right="660"/>
        <w:spacing w:after="0" w:line="246" w:lineRule="auto"/>
        <w:rPr>
          <w:sz w:val="20"/>
          <w:szCs w:val="20"/>
          <w:color w:val="auto"/>
        </w:rPr>
      </w:pPr>
      <w:r>
        <w:rPr>
          <w:rFonts w:ascii="Arial" w:cs="Arial" w:eastAsia="Arial" w:hAnsi="Arial"/>
          <w:sz w:val="22"/>
          <w:szCs w:val="22"/>
          <w:color w:val="auto"/>
        </w:rPr>
        <w:t>extent the Administrative Agent, the L/C Issuer or any Issuer has agreed to accept such Electronic Signature, the Administrative Agent, the L/C Issuer and each of the Lenders shall be entitled to rely on any such Electronic Signature purportedly given by or on behalf of any Loan Party without further verification and (b) upon the request of the Administrative Agent, the L/C Issuer, or any Lender, any Electronic Signature shall be promptly followed by such manually executed counterpart. For purposes hereof, “</w:t>
      </w:r>
      <w:r>
        <w:rPr>
          <w:rFonts w:ascii="Arial" w:cs="Arial" w:eastAsia="Arial" w:hAnsi="Arial"/>
          <w:sz w:val="22"/>
          <w:szCs w:val="22"/>
          <w:u w:val="single" w:color="auto"/>
          <w:color w:val="auto"/>
        </w:rPr>
        <w:t>Electronic Record</w:t>
      </w:r>
      <w:r>
        <w:rPr>
          <w:rFonts w:ascii="Arial" w:cs="Arial" w:eastAsia="Arial" w:hAnsi="Arial"/>
          <w:sz w:val="22"/>
          <w:szCs w:val="22"/>
          <w:color w:val="auto"/>
        </w:rPr>
        <w:t>” and “</w:t>
      </w:r>
      <w:r>
        <w:rPr>
          <w:rFonts w:ascii="Arial" w:cs="Arial" w:eastAsia="Arial" w:hAnsi="Arial"/>
          <w:sz w:val="22"/>
          <w:szCs w:val="22"/>
          <w:u w:val="single" w:color="auto"/>
          <w:color w:val="auto"/>
        </w:rPr>
        <w:t>Electronic</w:t>
      </w:r>
      <w:r>
        <w:rPr>
          <w:rFonts w:ascii="Arial" w:cs="Arial" w:eastAsia="Arial" w:hAnsi="Arial"/>
          <w:sz w:val="22"/>
          <w:szCs w:val="22"/>
          <w:color w:val="auto"/>
        </w:rPr>
        <w:t xml:space="preserve"> </w:t>
      </w:r>
      <w:r>
        <w:rPr>
          <w:rFonts w:ascii="Arial" w:cs="Arial" w:eastAsia="Arial" w:hAnsi="Arial"/>
          <w:sz w:val="22"/>
          <w:szCs w:val="22"/>
          <w:u w:val="single" w:color="auto"/>
          <w:color w:val="auto"/>
        </w:rPr>
        <w:t>Signature</w:t>
      </w:r>
      <w:r>
        <w:rPr>
          <w:rFonts w:ascii="Arial" w:cs="Arial" w:eastAsia="Arial" w:hAnsi="Arial"/>
          <w:sz w:val="22"/>
          <w:szCs w:val="22"/>
          <w:color w:val="auto"/>
        </w:rPr>
        <w:t>” shall have the meanings assigned to them, respectively, by 15 USC §7006, as it may be amended from time to time.</w:t>
      </w:r>
    </w:p>
    <w:p>
      <w:pPr>
        <w:spacing w:after="0" w:line="19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1"/>
          <w:szCs w:val="21"/>
          <w:color w:val="auto"/>
        </w:rPr>
      </w:pPr>
      <w:r>
        <w:rPr>
          <w:rFonts w:ascii="Arial" w:cs="Arial" w:eastAsia="Arial" w:hAnsi="Arial"/>
          <w:sz w:val="21"/>
          <w:szCs w:val="21"/>
          <w:color w:val="auto"/>
        </w:rPr>
        <w:t>Section 10.21 of the Credit Agreement is hereby amended and restated in its entirety to read as follows:</w:t>
      </w:r>
    </w:p>
    <w:p>
      <w:pPr>
        <w:spacing w:after="0" w:line="225" w:lineRule="exact"/>
        <w:rPr>
          <w:sz w:val="20"/>
          <w:szCs w:val="20"/>
          <w:color w:val="auto"/>
        </w:rPr>
      </w:pPr>
    </w:p>
    <w:p>
      <w:pPr>
        <w:jc w:val="both"/>
        <w:ind w:left="660" w:right="640" w:firstLine="648"/>
        <w:spacing w:after="0" w:line="262" w:lineRule="auto"/>
        <w:rPr>
          <w:sz w:val="20"/>
          <w:szCs w:val="20"/>
          <w:color w:val="auto"/>
        </w:rPr>
      </w:pPr>
      <w:r>
        <w:rPr>
          <w:rFonts w:ascii="Arial" w:cs="Arial" w:eastAsia="Arial" w:hAnsi="Arial"/>
          <w:sz w:val="21"/>
          <w:szCs w:val="21"/>
          <w:b w:val="1"/>
          <w:bCs w:val="1"/>
          <w:color w:val="auto"/>
        </w:rPr>
        <w:t>Section 10.21 Acknowledgement and Consent to Bail-In of Affected Financial Institutions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jc w:val="both"/>
        <w:ind w:left="660" w:right="660" w:firstLine="644"/>
        <w:spacing w:after="0" w:line="253" w:lineRule="auto"/>
        <w:tabs>
          <w:tab w:leader="none" w:pos="1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9"/>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1300" w:right="1300" w:firstLine="652"/>
        <w:spacing w:after="0" w:line="248" w:lineRule="auto"/>
        <w:tabs>
          <w:tab w:leader="none" w:pos="2493" w:val="left"/>
        </w:tabs>
        <w:numPr>
          <w:ilvl w:val="1"/>
          <w:numId w:val="9"/>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2"/>
          <w:szCs w:val="22"/>
          <w:color w:val="auto"/>
        </w:rPr>
      </w:pPr>
    </w:p>
    <w:p>
      <w:pPr>
        <w:ind w:left="2500" w:hanging="548"/>
        <w:spacing w:after="0"/>
        <w:tabs>
          <w:tab w:leader="none" w:pos="2500"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down and conversion powers of the applicable Resolution Authority.</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Borrower represents and warrants that (a) the execution, delivery, and performance by each Loan Party of this Amendment have been duly authorized by all necessary corporate or other organizational action, and do not and will not violate the terms of any of such Person’s Organization Documents; (b)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5" w:right="339" w:bottom="1440" w:gutter="0" w:footer="0" w:header="0"/>
        </w:sectPr>
      </w:pPr>
    </w:p>
    <w:bookmarkStart w:id="7" w:name="page8"/>
    <w:bookmarkEnd w:id="7"/>
    <w:p>
      <w:pPr>
        <w:jc w:val="both"/>
        <w:spacing w:after="0" w:line="292" w:lineRule="auto"/>
        <w:rPr>
          <w:sz w:val="20"/>
          <w:szCs w:val="20"/>
          <w:color w:val="auto"/>
        </w:rPr>
      </w:pPr>
      <w:r>
        <w:rPr>
          <w:rFonts w:ascii="Arial" w:cs="Arial" w:eastAsia="Arial" w:hAnsi="Arial"/>
          <w:sz w:val="19"/>
          <w:szCs w:val="19"/>
          <w:color w:val="auto"/>
        </w:rPr>
        <w:t>and the Credit Agreement as amended hereby, constitute legal, valid, and binding obligations of each Loan Party, enforceable against such Loan Party in accordance with their terms, subject to Debtor Relief Laws and similar Laws affecting creditors’ rights generally or providing relief for debtors and subject to principles of equity; (c) the representations and warranties of the Borrower and each other Loan Party contained in each Loan Document are true and correct in all material respects as of the Effective Date, except to the extent that such representations and warranties specifically refer to an earlier date, in which case they shall be true and correct in all material respects as of such earlier date; (d) no Default or Event of Default exists under the Loan Documents; and (e) the Liens under the Collateral Documents are valid and subsisting and secure the Obligations.</w:t>
      </w:r>
    </w:p>
    <w:p>
      <w:pPr>
        <w:spacing w:after="0" w:line="15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Effect on Credit Documents</w:t>
      </w:r>
      <w:r>
        <w:rPr>
          <w:rFonts w:ascii="Arial" w:cs="Arial" w:eastAsia="Arial" w:hAnsi="Arial"/>
          <w:sz w:val="19"/>
          <w:szCs w:val="19"/>
          <w:color w:val="auto"/>
        </w:rPr>
        <w:t>. Except as amended herein, the Credit Agreement and all other Loan Documents remain in full force and effect as originally executed. Nothing herein shall act as a waiver of any of the Administrative Agent’s or any Lender’s rights under the Loan Documents as amended, including the waiver of any default or event of default, however denominated. The Borrower acknowledges and agrees that this Amendment shall in no manner impair or affect the validity or enforceability of the Credit Agreement. This Amendment is a Loan Document for the purposes of the provisions of the other Loan Documents. Without limiting the foregoing, any breach of representations, warranties, and covenants under this Amendment may be a default or event of default under the other Loan Documents.</w:t>
      </w:r>
    </w:p>
    <w:p>
      <w:pPr>
        <w:spacing w:after="0" w:line="15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Conditions to Effectiveness of this Agreement</w:t>
      </w:r>
      <w:r>
        <w:rPr>
          <w:rFonts w:ascii="Arial" w:cs="Arial" w:eastAsia="Arial" w:hAnsi="Arial"/>
          <w:sz w:val="19"/>
          <w:szCs w:val="19"/>
          <w:color w:val="auto"/>
        </w:rPr>
        <w:t>. This Amendment shall become effective, and the Credit Agreement shall be amended as provided for herein as of the Effective Date, upon satisfaction of the following conditions:</w:t>
      </w:r>
    </w:p>
    <w:p>
      <w:pPr>
        <w:spacing w:after="0" w:line="104" w:lineRule="exact"/>
        <w:rPr>
          <w:sz w:val="20"/>
          <w:szCs w:val="20"/>
          <w:color w:val="auto"/>
        </w:rPr>
      </w:pPr>
    </w:p>
    <w:p>
      <w:pPr>
        <w:ind w:left="1120" w:hanging="464"/>
        <w:spacing w:after="0"/>
        <w:tabs>
          <w:tab w:leader="none" w:pos="11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w:t>
      </w:r>
    </w:p>
    <w:p>
      <w:pPr>
        <w:spacing w:after="0" w:line="219" w:lineRule="exact"/>
        <w:rPr>
          <w:rFonts w:ascii="Arial" w:cs="Arial" w:eastAsia="Arial" w:hAnsi="Arial"/>
          <w:sz w:val="22"/>
          <w:szCs w:val="22"/>
          <w:color w:val="auto"/>
        </w:rPr>
      </w:pPr>
    </w:p>
    <w:p>
      <w:pPr>
        <w:ind w:left="660" w:firstLine="644"/>
        <w:spacing w:after="0" w:line="287" w:lineRule="auto"/>
        <w:tabs>
          <w:tab w:leader="none" w:pos="1728" w:val="left"/>
        </w:tabs>
        <w:numPr>
          <w:ilvl w:val="1"/>
          <w:numId w:val="10"/>
        </w:numPr>
        <w:rPr>
          <w:rFonts w:ascii="Arial" w:cs="Arial" w:eastAsia="Arial" w:hAnsi="Arial"/>
          <w:sz w:val="21"/>
          <w:szCs w:val="21"/>
          <w:color w:val="auto"/>
        </w:rPr>
      </w:pPr>
      <w:r>
        <w:rPr>
          <w:rFonts w:ascii="Arial" w:cs="Arial" w:eastAsia="Arial" w:hAnsi="Arial"/>
          <w:sz w:val="21"/>
          <w:szCs w:val="21"/>
          <w:color w:val="auto"/>
        </w:rPr>
        <w:t>counterparts hereof duly executed and delivered by a duly authorized officer of the Borrower, each Guarantor, and by the Lenders whose consent is required to effect the amendments contemplated hereby; and</w:t>
      </w:r>
    </w:p>
    <w:p>
      <w:pPr>
        <w:spacing w:after="0" w:line="151" w:lineRule="exact"/>
        <w:rPr>
          <w:rFonts w:ascii="Arial" w:cs="Arial" w:eastAsia="Arial" w:hAnsi="Arial"/>
          <w:sz w:val="21"/>
          <w:szCs w:val="21"/>
          <w:color w:val="auto"/>
        </w:rPr>
      </w:pPr>
    </w:p>
    <w:p>
      <w:pPr>
        <w:ind w:left="660" w:firstLine="644"/>
        <w:spacing w:after="0" w:line="287" w:lineRule="auto"/>
        <w:tabs>
          <w:tab w:leader="none" w:pos="2001" w:val="left"/>
        </w:tabs>
        <w:numPr>
          <w:ilvl w:val="1"/>
          <w:numId w:val="10"/>
        </w:numPr>
        <w:rPr>
          <w:rFonts w:ascii="Arial" w:cs="Arial" w:eastAsia="Arial" w:hAnsi="Arial"/>
          <w:sz w:val="21"/>
          <w:szCs w:val="21"/>
          <w:color w:val="auto"/>
        </w:rPr>
      </w:pPr>
      <w:r>
        <w:rPr>
          <w:rFonts w:ascii="Arial" w:cs="Arial" w:eastAsia="Arial" w:hAnsi="Arial"/>
          <w:sz w:val="21"/>
          <w:szCs w:val="21"/>
          <w:color w:val="auto"/>
        </w:rPr>
        <w:t>certificates of good standing or similar certificates or instruments as the Administrative Agent may reasonably require to evidence that the Borrower and each Guarantor is validly existing and in good standing.</w:t>
      </w:r>
    </w:p>
    <w:p>
      <w:pPr>
        <w:spacing w:after="0" w:line="151" w:lineRule="exact"/>
        <w:rPr>
          <w:rFonts w:ascii="Arial" w:cs="Arial" w:eastAsia="Arial" w:hAnsi="Arial"/>
          <w:sz w:val="21"/>
          <w:szCs w:val="21"/>
          <w:color w:val="auto"/>
        </w:rPr>
      </w:pPr>
    </w:p>
    <w:p>
      <w:pPr>
        <w:jc w:val="both"/>
        <w:ind w:firstLine="656"/>
        <w:spacing w:after="0" w:line="263" w:lineRule="auto"/>
        <w:tabs>
          <w:tab w:leader="none" w:pos="1258"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Borrower shall have paid (i) to the Administrative Agent, for the account of each Lender who shall have provided its consent to this Amendment by 12:00 p.m. (Eastern Time) on December 17, 2020, an amendment fee in an amount equal to 0.05% of such Lender’s Commitment, (ii) all reasonable fees, charges and disbursements of counsel to the Administrative Agent (directly to such counsel if requested by the Administrative Agent), and (iii) all other costs, expenses, and fees which are payable pursuant to Section 10.04 of the Credit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Reaffirmation of Guaranty</w:t>
      </w:r>
      <w:r>
        <w:rPr>
          <w:rFonts w:ascii="Arial" w:cs="Arial" w:eastAsia="Arial" w:hAnsi="Arial"/>
          <w:sz w:val="22"/>
          <w:szCs w:val="22"/>
          <w:color w:val="auto"/>
        </w:rPr>
        <w:t>. By its signature hereto, each Guarantor represents and warrants that such Guarantor has no defense to the enforcement of the Guaranty, and that according to its terms the Guaranty will continue in full force and effect to guaranty the Borrower’s obligations under the Credit Agreement and the other amounts described in the Guaranty following the execution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5" w:right="339" w:bottom="1440" w:gutter="0" w:footer="0" w:header="0"/>
        </w:sectPr>
      </w:pPr>
    </w:p>
    <w:bookmarkStart w:id="8" w:name="page9"/>
    <w:bookmarkEnd w:id="8"/>
    <w:p>
      <w:pPr>
        <w:jc w:val="both"/>
        <w:ind w:firstLine="648"/>
        <w:spacing w:after="0" w:line="265"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AND ANY CLAIMS, CONTROVERSY, DISPUTE OR CAUSE OF ACTION (WHETHER IN CONTRACT OR TORT OR OTHERWISE) BASED UPON, ARISING OUT OF OR RELATING TO THIS AMENDMENT AND THE TRANSACTIONS CONTEMPLATED HEREBY AND THEREBY SHALL BE GOVERNED BY, AND CONSTRUED IN ACCORDANCE WITH, the LAW OF THE STATE OF NEW YORK.</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Miscellaneous</w:t>
      </w:r>
      <w:r>
        <w:rPr>
          <w:rFonts w:ascii="Arial" w:cs="Arial" w:eastAsia="Arial" w:hAnsi="Arial"/>
          <w:sz w:val="22"/>
          <w:szCs w:val="22"/>
          <w:color w:val="auto"/>
        </w:rPr>
        <w:t>. The miscellaneous provisions set forth in Article X of the Credit Agreement apply to this Amendment. This Amendment may be signed in any number of counterparts, each of which shall be an original, and may be executed and delivered by facsimile or other electronic imaging means (e.g. “pdf” or “tif”).</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5"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 xml:space="preserve">EXECUTED </w:t>
      </w:r>
      <w:r>
        <w:rPr>
          <w:rFonts w:ascii="Arial" w:cs="Arial" w:eastAsia="Arial" w:hAnsi="Arial"/>
          <w:sz w:val="22"/>
          <w:szCs w:val="22"/>
          <w:color w:val="auto"/>
        </w:rPr>
        <w:t>as of the first date above written.</w:t>
      </w:r>
    </w:p>
    <w:p>
      <w:pPr>
        <w:spacing w:after="0" w:line="125"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HELIX ENERGY SOLUTIONS GROUP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Minnesota corporation</w:t>
      </w:r>
    </w:p>
    <w:p>
      <w:pPr>
        <w:spacing w:after="0" w:line="175"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22"/>
          <w:szCs w:val="22"/>
          <w:color w:val="auto"/>
        </w:rPr>
        <w:t>By:</w:t>
        <w:tab/>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6260"/>
        <w:spacing w:after="0"/>
        <w:rPr>
          <w:sz w:val="20"/>
          <w:szCs w:val="20"/>
          <w:color w:val="auto"/>
        </w:rPr>
      </w:pPr>
      <w:r>
        <w:rPr>
          <w:rFonts w:ascii="Arial" w:cs="Arial" w:eastAsia="Arial" w:hAnsi="Arial"/>
          <w:sz w:val="22"/>
          <w:szCs w:val="22"/>
          <w:color w:val="auto"/>
        </w:rPr>
        <w:t>Executive Vice President &amp; Chief</w:t>
      </w:r>
    </w:p>
    <w:p>
      <w:pPr>
        <w:ind w:left="5640"/>
        <w:spacing w:after="0"/>
        <w:rPr>
          <w:sz w:val="20"/>
          <w:szCs w:val="20"/>
          <w:color w:val="auto"/>
        </w:rPr>
      </w:pPr>
      <w:r>
        <w:rPr>
          <w:rFonts w:ascii="Arial" w:cs="Arial" w:eastAsia="Arial" w:hAnsi="Arial"/>
          <w:sz w:val="22"/>
          <w:szCs w:val="22"/>
          <w:color w:val="auto"/>
        </w:rPr>
        <w:t>Title: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4445</wp:posOffset>
            </wp:positionV>
            <wp:extent cx="2348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43"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HELIX ROBOTICS SOLUTIONS, INC.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F/K/A CANYON OFFSHORE, INC.)</w:t>
      </w:r>
      <w:r>
        <w:rPr>
          <w:rFonts w:ascii="Arial" w:cs="Arial" w:eastAsia="Arial" w:hAnsi="Arial"/>
          <w:sz w:val="22"/>
          <w:szCs w:val="22"/>
          <w:color w:val="auto"/>
        </w:rPr>
        <w:t>, a</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Texas corporation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HELIX ROBOTICS SOLUTIONS</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INTERNATIONAL CORP. (F/K/A</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CANYON OFFSHORE</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INTERNATIONAL CORP.)</w:t>
      </w:r>
      <w:r>
        <w:rPr>
          <w:rFonts w:ascii="Arial" w:cs="Arial" w:eastAsia="Arial" w:hAnsi="Arial"/>
          <w:sz w:val="22"/>
          <w:szCs w:val="22"/>
          <w:color w:val="auto"/>
        </w:rPr>
        <w:t>, a Texas</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corporation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HELIX OFFSHORE INTERNATIONAL,</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INC.</w:t>
      </w:r>
      <w:r>
        <w:rPr>
          <w:rFonts w:ascii="Arial" w:cs="Arial" w:eastAsia="Arial" w:hAnsi="Arial"/>
          <w:sz w:val="22"/>
          <w:szCs w:val="22"/>
          <w:color w:val="auto"/>
        </w:rPr>
        <w:t>, a Texas corporation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HELIX PROPERTY CORP.</w:t>
      </w:r>
      <w:r>
        <w:rPr>
          <w:rFonts w:ascii="Arial" w:cs="Arial" w:eastAsia="Arial" w:hAnsi="Arial"/>
          <w:sz w:val="22"/>
          <w:szCs w:val="22"/>
          <w:color w:val="auto"/>
        </w:rPr>
        <w:t>, a Texas</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corporation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21"/>
          <w:szCs w:val="21"/>
          <w:b w:val="1"/>
          <w:bCs w:val="1"/>
          <w:color w:val="auto"/>
        </w:rPr>
        <w:t>HELIX SUBSEA CONSTRUCTION, INC.</w:t>
      </w:r>
      <w:r>
        <w:rPr>
          <w:rFonts w:ascii="Arial" w:cs="Arial" w:eastAsia="Arial" w:hAnsi="Arial"/>
          <w:sz w:val="21"/>
          <w:szCs w:val="21"/>
          <w:color w:val="auto"/>
        </w:rPr>
        <w:t>, a</w:t>
      </w:r>
    </w:p>
    <w:p>
      <w:pPr>
        <w:spacing w:after="0" w:line="29"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Delaware corporation</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9"/>
          <w:szCs w:val="19"/>
          <w:b w:val="1"/>
          <w:bCs w:val="1"/>
          <w:color w:val="auto"/>
        </w:rPr>
        <w:t>HELIX WELL OPS INC.</w:t>
      </w:r>
      <w:r>
        <w:rPr>
          <w:rFonts w:ascii="Arial" w:cs="Arial" w:eastAsia="Arial" w:hAnsi="Arial"/>
          <w:sz w:val="19"/>
          <w:szCs w:val="19"/>
          <w:color w:val="auto"/>
        </w:rPr>
        <w:t>, a Texas corporation</w:t>
      </w:r>
    </w:p>
    <w:p>
      <w:pPr>
        <w:spacing w:after="0" w:line="52"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KOMMANDOR LLC</w:t>
      </w:r>
      <w:r>
        <w:rPr>
          <w:rFonts w:ascii="Arial" w:cs="Arial" w:eastAsia="Arial" w:hAnsi="Arial"/>
          <w:sz w:val="22"/>
          <w:szCs w:val="22"/>
          <w:color w:val="auto"/>
        </w:rPr>
        <w:t>, a Delaware limited</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liability company</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DEEPWATER ABANDONMENT</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ALTERNATIVES, INC.</w:t>
      </w:r>
      <w:r>
        <w:rPr>
          <w:rFonts w:ascii="Arial" w:cs="Arial" w:eastAsia="Arial" w:hAnsi="Arial"/>
          <w:sz w:val="22"/>
          <w:szCs w:val="22"/>
          <w:color w:val="auto"/>
        </w:rPr>
        <w:t>, a Texas</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corporation</w:t>
      </w:r>
    </w:p>
    <w:p>
      <w:pPr>
        <w:spacing w:after="0" w:line="175"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22"/>
          <w:szCs w:val="22"/>
          <w:color w:val="auto"/>
        </w:rPr>
        <w:t>By:</w:t>
        <w:tab/>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HELIX ROBOTICS SOLUTIONS</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LIMITED (F/K/A CANYON OFFSHORE</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LIMITED)</w:t>
      </w:r>
      <w:r>
        <w:rPr>
          <w:rFonts w:ascii="Arial" w:cs="Arial" w:eastAsia="Arial" w:hAnsi="Arial"/>
          <w:sz w:val="22"/>
          <w:szCs w:val="22"/>
          <w:color w:val="auto"/>
        </w:rPr>
        <w:t>, a Scottish company</w:t>
      </w:r>
    </w:p>
    <w:p>
      <w:pPr>
        <w:spacing w:after="0" w:line="175"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22"/>
          <w:szCs w:val="22"/>
          <w:color w:val="auto"/>
        </w:rPr>
        <w:t>By:</w:t>
        <w:tab/>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15875</wp:posOffset>
            </wp:positionV>
            <wp:extent cx="234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ectPr>
          <w:pgSz w:w="11900" w:h="16838" w:orient="portrait"/>
          <w:cols w:equalWidth="0" w:num="1">
            <w:col w:w="10139"/>
          </w:cols>
          <w:pgMar w:left="320" w:top="12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10139"/>
          </w:cols>
          <w:pgMar w:left="320" w:top="1260" w:right="1440" w:bottom="1440" w:gutter="0" w:footer="0" w:header="0"/>
          <w:type w:val="continuous"/>
        </w:sectPr>
      </w:pPr>
    </w:p>
    <w:bookmarkStart w:id="10" w:name="page11"/>
    <w:bookmarkEnd w:id="10"/>
    <w:p>
      <w:pPr>
        <w:ind w:left="4540"/>
        <w:spacing w:after="0"/>
        <w:rPr>
          <w:sz w:val="20"/>
          <w:szCs w:val="20"/>
          <w:color w:val="auto"/>
        </w:rPr>
      </w:pPr>
      <w:r>
        <w:rPr>
          <w:rFonts w:ascii="Arial" w:cs="Arial" w:eastAsia="Arial" w:hAnsi="Arial"/>
          <w:sz w:val="22"/>
          <w:szCs w:val="22"/>
          <w:b w:val="1"/>
          <w:bCs w:val="1"/>
          <w:color w:val="auto"/>
        </w:rPr>
        <w:t>HELIX WELL OPS (U.K.) LIMITED</w:t>
      </w:r>
      <w:r>
        <w:rPr>
          <w:rFonts w:ascii="Arial" w:cs="Arial" w:eastAsia="Arial" w:hAnsi="Arial"/>
          <w:sz w:val="22"/>
          <w:szCs w:val="22"/>
          <w:color w:val="auto"/>
        </w:rPr>
        <w:t>, a</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company incorporated in Scotland</w:t>
      </w:r>
    </w:p>
    <w:p>
      <w:pPr>
        <w:spacing w:after="0" w:line="283"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Kenneth E.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Ken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1" w:name="page12"/>
    <w:bookmarkEnd w:id="11"/>
    <w:p>
      <w:pPr>
        <w:ind w:left="4540"/>
        <w:spacing w:after="0"/>
        <w:rPr>
          <w:sz w:val="20"/>
          <w:szCs w:val="20"/>
          <w:color w:val="auto"/>
        </w:rPr>
      </w:pPr>
      <w:r>
        <w:rPr>
          <w:rFonts w:ascii="Arial" w:cs="Arial" w:eastAsia="Arial" w:hAnsi="Arial"/>
          <w:sz w:val="21"/>
          <w:szCs w:val="21"/>
          <w:b w:val="1"/>
          <w:bCs w:val="1"/>
          <w:color w:val="auto"/>
        </w:rPr>
        <w:t>BANK OF AMERICA, N.A.</w:t>
      </w:r>
      <w:r>
        <w:rPr>
          <w:rFonts w:ascii="Arial" w:cs="Arial" w:eastAsia="Arial" w:hAnsi="Arial"/>
          <w:sz w:val="21"/>
          <w:szCs w:val="21"/>
          <w:color w:val="auto"/>
        </w:rPr>
        <w:t>, as</w:t>
      </w:r>
    </w:p>
    <w:p>
      <w:pPr>
        <w:spacing w:after="0" w:line="3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Administrative Agent</w:t>
      </w:r>
    </w:p>
    <w:p>
      <w:pPr>
        <w:spacing w:after="0" w:line="283"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Don B. Pinzon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Don B. Pinzon</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2" w:name="page13"/>
    <w:bookmarkEnd w:id="12"/>
    <w:p>
      <w:pPr>
        <w:ind w:left="454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 Lender, L/C</w:t>
      </w:r>
    </w:p>
    <w:p>
      <w:pPr>
        <w:spacing w:after="0" w:line="6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Issuer and Swing Line Lender</w:t>
      </w:r>
    </w:p>
    <w:p>
      <w:pPr>
        <w:spacing w:after="0" w:line="283"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Tyler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Tyler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3" w:name="page14"/>
    <w:bookmarkEnd w:id="13"/>
    <w:p>
      <w:pPr>
        <w:ind w:left="4540"/>
        <w:spacing w:after="0"/>
        <w:rPr>
          <w:sz w:val="20"/>
          <w:szCs w:val="20"/>
          <w:color w:val="auto"/>
        </w:rPr>
      </w:pPr>
      <w:r>
        <w:rPr>
          <w:rFonts w:ascii="Arial" w:cs="Arial" w:eastAsia="Arial" w:hAnsi="Arial"/>
          <w:sz w:val="19"/>
          <w:szCs w:val="19"/>
          <w:b w:val="1"/>
          <w:bCs w:val="1"/>
          <w:color w:val="auto"/>
        </w:rPr>
        <w:t>WELLS FARGO BANK, N.A.</w:t>
      </w:r>
      <w:r>
        <w:rPr>
          <w:rFonts w:ascii="Arial" w:cs="Arial" w:eastAsia="Arial" w:hAnsi="Arial"/>
          <w:sz w:val="19"/>
          <w:szCs w:val="19"/>
          <w:color w:val="auto"/>
        </w:rPr>
        <w:t>, as a Lender</w:t>
      </w:r>
    </w:p>
    <w:p>
      <w:pPr>
        <w:spacing w:after="0" w:line="328" w:lineRule="exact"/>
        <w:rPr>
          <w:sz w:val="20"/>
          <w:szCs w:val="20"/>
          <w:color w:val="auto"/>
        </w:rPr>
      </w:pPr>
    </w:p>
    <w:p>
      <w:pPr>
        <w:ind w:left="4540"/>
        <w:spacing w:after="0"/>
        <w:tabs>
          <w:tab w:leader="none" w:pos="5140" w:val="left"/>
        </w:tabs>
        <w:rPr>
          <w:sz w:val="20"/>
          <w:szCs w:val="20"/>
          <w:color w:val="auto"/>
        </w:rPr>
      </w:pPr>
      <w:r>
        <w:rPr>
          <w:rFonts w:ascii="Arial" w:cs="Arial" w:eastAsia="Arial" w:hAnsi="Arial"/>
          <w:sz w:val="22"/>
          <w:szCs w:val="22"/>
          <w:color w:val="auto"/>
        </w:rPr>
        <w:t>By:</w:t>
        <w:tab/>
        <w:t>/s/ Shannon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15875</wp:posOffset>
            </wp:positionV>
            <wp:extent cx="2348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Shannon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15875</wp:posOffset>
            </wp:positionV>
            <wp:extent cx="23488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15875</wp:posOffset>
            </wp:positionV>
            <wp:extent cx="2348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4" w:name="page15"/>
    <w:bookmarkEnd w:id="14"/>
    <w:p>
      <w:pPr>
        <w:ind w:left="4540"/>
        <w:spacing w:after="0"/>
        <w:rPr>
          <w:sz w:val="20"/>
          <w:szCs w:val="20"/>
          <w:color w:val="auto"/>
        </w:rPr>
      </w:pPr>
      <w:r>
        <w:rPr>
          <w:rFonts w:ascii="Arial" w:cs="Arial" w:eastAsia="Arial" w:hAnsi="Arial"/>
          <w:sz w:val="19"/>
          <w:szCs w:val="19"/>
          <w:b w:val="1"/>
          <w:bCs w:val="1"/>
          <w:color w:val="auto"/>
        </w:rPr>
        <w:t>ING CAPITAL LLC</w:t>
      </w:r>
      <w:r>
        <w:rPr>
          <w:rFonts w:ascii="Arial" w:cs="Arial" w:eastAsia="Arial" w:hAnsi="Arial"/>
          <w:sz w:val="19"/>
          <w:szCs w:val="19"/>
          <w:color w:val="auto"/>
        </w:rPr>
        <w:t>, as a Lender</w:t>
      </w:r>
    </w:p>
    <w:p>
      <w:pPr>
        <w:spacing w:after="0" w:line="32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-157480</wp:posOffset>
            </wp:positionV>
            <wp:extent cx="23399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13335</wp:posOffset>
            </wp:positionV>
            <wp:extent cx="23399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-157480</wp:posOffset>
            </wp:positionV>
            <wp:extent cx="23399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6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-157480</wp:posOffset>
            </wp:positionV>
            <wp:extent cx="2339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13335</wp:posOffset>
            </wp:positionV>
            <wp:extent cx="23399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-157480</wp:posOffset>
            </wp:positionV>
            <wp:extent cx="2339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5" w:name="page16"/>
    <w:bookmarkEnd w:id="15"/>
    <w:p>
      <w:pPr>
        <w:ind w:left="4540"/>
        <w:spacing w:after="0"/>
        <w:rPr>
          <w:sz w:val="20"/>
          <w:szCs w:val="20"/>
          <w:color w:val="auto"/>
        </w:rPr>
      </w:pPr>
      <w:r>
        <w:rPr>
          <w:rFonts w:ascii="Arial" w:cs="Arial" w:eastAsia="Arial" w:hAnsi="Arial"/>
          <w:sz w:val="21"/>
          <w:szCs w:val="21"/>
          <w:b w:val="1"/>
          <w:bCs w:val="1"/>
          <w:color w:val="auto"/>
        </w:rPr>
        <w:t>REGIONS BANK</w:t>
      </w:r>
      <w:r>
        <w:rPr>
          <w:rFonts w:ascii="Arial" w:cs="Arial" w:eastAsia="Arial" w:hAnsi="Arial"/>
          <w:sz w:val="21"/>
          <w:szCs w:val="21"/>
          <w:color w:val="auto"/>
        </w:rPr>
        <w:t>, as a Lender</w:t>
      </w:r>
    </w:p>
    <w:p>
      <w:pPr>
        <w:spacing w:after="0" w:line="305"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David Valentine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6" w:name="page17"/>
    <w:bookmarkEnd w:id="16"/>
    <w:p>
      <w:pPr>
        <w:ind w:left="4520"/>
        <w:spacing w:after="0"/>
        <w:rPr>
          <w:sz w:val="20"/>
          <w:szCs w:val="20"/>
          <w:color w:val="auto"/>
        </w:rPr>
      </w:pPr>
      <w:r>
        <w:rPr>
          <w:rFonts w:ascii="Arial" w:cs="Arial" w:eastAsia="Arial" w:hAnsi="Arial"/>
          <w:sz w:val="21"/>
          <w:szCs w:val="21"/>
          <w:b w:val="1"/>
          <w:bCs w:val="1"/>
          <w:color w:val="auto"/>
        </w:rPr>
        <w:t>ZIONS BANCORPORATION, N.A. DBA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AMEGY BANK</w:t>
      </w:r>
      <w:r>
        <w:rPr>
          <w:rFonts w:ascii="Arial" w:cs="Arial" w:eastAsia="Arial" w:hAnsi="Arial"/>
          <w:sz w:val="22"/>
          <w:szCs w:val="22"/>
          <w:color w:val="auto"/>
        </w:rPr>
        <w:t>, as a Lender</w:t>
      </w:r>
    </w:p>
    <w:p>
      <w:pPr>
        <w:spacing w:after="0" w:line="283"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22"/>
          <w:szCs w:val="22"/>
          <w:color w:val="auto"/>
        </w:rPr>
        <w:t>By:</w:t>
        <w:tab/>
        <w:t>/s/ Brad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15875</wp:posOffset>
            </wp:positionV>
            <wp:extent cx="23488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Name: Brad Ellis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7" w:name="page18"/>
    <w:bookmarkEnd w:id="17"/>
    <w:p>
      <w:pPr>
        <w:jc w:val="right"/>
        <w:ind w:right="1079"/>
        <w:spacing w:after="0"/>
        <w:rPr>
          <w:sz w:val="20"/>
          <w:szCs w:val="20"/>
          <w:color w:val="auto"/>
        </w:rPr>
      </w:pPr>
      <w:r>
        <w:rPr>
          <w:rFonts w:ascii="Arial" w:cs="Arial" w:eastAsia="Arial" w:hAnsi="Arial"/>
          <w:sz w:val="22"/>
          <w:szCs w:val="22"/>
          <w:b w:val="1"/>
          <w:bCs w:val="1"/>
          <w:color w:val="auto"/>
        </w:rPr>
        <w:t>HSBC BANK USA, N.A.</w:t>
      </w:r>
      <w:r>
        <w:rPr>
          <w:rFonts w:ascii="Arial" w:cs="Arial" w:eastAsia="Arial" w:hAnsi="Arial"/>
          <w:sz w:val="22"/>
          <w:szCs w:val="22"/>
          <w:color w:val="auto"/>
        </w:rPr>
        <w:t>, as a Lender</w:t>
      </w:r>
    </w:p>
    <w:p>
      <w:pPr>
        <w:spacing w:after="0" w:line="334"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Shaun R.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Shaun R. Kleinman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8" w:name="page19"/>
    <w:bookmarkEnd w:id="18"/>
    <w:p>
      <w:pPr>
        <w:ind w:left="4540"/>
        <w:spacing w:after="0"/>
        <w:rPr>
          <w:sz w:val="20"/>
          <w:szCs w:val="20"/>
          <w:color w:val="auto"/>
        </w:rPr>
      </w:pPr>
      <w:r>
        <w:rPr>
          <w:rFonts w:ascii="Arial" w:cs="Arial" w:eastAsia="Arial" w:hAnsi="Arial"/>
          <w:sz w:val="19"/>
          <w:szCs w:val="19"/>
          <w:b w:val="1"/>
          <w:bCs w:val="1"/>
          <w:color w:val="auto"/>
        </w:rPr>
        <w:t>BBVA USA (F/K/A COMPASS BANK)</w:t>
      </w:r>
      <w:r>
        <w:rPr>
          <w:rFonts w:ascii="Arial" w:cs="Arial" w:eastAsia="Arial" w:hAnsi="Arial"/>
          <w:sz w:val="19"/>
          <w:szCs w:val="19"/>
          <w:color w:val="auto"/>
        </w:rPr>
        <w:t>, as a</w:t>
      </w:r>
    </w:p>
    <w:p>
      <w:pPr>
        <w:spacing w:after="0" w:line="6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Lender</w:t>
      </w:r>
    </w:p>
    <w:p>
      <w:pPr>
        <w:spacing w:after="0" w:line="283"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Julia Barnhill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Julia Barnhill</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19" w:name="page20"/>
    <w:bookmarkEnd w:id="19"/>
    <w:p>
      <w:pPr>
        <w:ind w:left="4540"/>
        <w:spacing w:after="0"/>
        <w:rPr>
          <w:sz w:val="20"/>
          <w:szCs w:val="20"/>
          <w:color w:val="auto"/>
        </w:rPr>
      </w:pPr>
      <w:r>
        <w:rPr>
          <w:rFonts w:ascii="Arial" w:cs="Arial" w:eastAsia="Arial" w:hAnsi="Arial"/>
          <w:sz w:val="22"/>
          <w:szCs w:val="22"/>
          <w:b w:val="1"/>
          <w:bCs w:val="1"/>
          <w:color w:val="auto"/>
        </w:rPr>
        <w:t>FROST BANK</w:t>
      </w:r>
      <w:r>
        <w:rPr>
          <w:rFonts w:ascii="Arial" w:cs="Arial" w:eastAsia="Arial" w:hAnsi="Arial"/>
          <w:sz w:val="22"/>
          <w:szCs w:val="22"/>
          <w:color w:val="auto"/>
        </w:rPr>
        <w:t>, as a Lender</w:t>
      </w:r>
    </w:p>
    <w:p>
      <w:pPr>
        <w:spacing w:after="0" w:line="293"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John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John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22860</wp:posOffset>
            </wp:positionV>
            <wp:extent cx="23399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p>
      <w:pPr>
        <w:sectPr>
          <w:pgSz w:w="11900" w:h="16838" w:orient="portrait"/>
          <w:cols w:equalWidth="0" w:num="1">
            <w:col w:w="9019"/>
          </w:cols>
          <w:pgMar w:left="1440" w:top="1381" w:right="1440" w:bottom="1440" w:gutter="0" w:footer="0" w:header="0"/>
        </w:sectPr>
      </w:pPr>
    </w:p>
    <w:bookmarkStart w:id="20" w:name="page21"/>
    <w:bookmarkEnd w:id="20"/>
    <w:p>
      <w:pPr>
        <w:ind w:left="4540"/>
        <w:spacing w:after="0"/>
        <w:rPr>
          <w:sz w:val="20"/>
          <w:szCs w:val="20"/>
          <w:color w:val="auto"/>
        </w:rPr>
      </w:pPr>
      <w:r>
        <w:rPr>
          <w:rFonts w:ascii="Arial" w:cs="Arial" w:eastAsia="Arial" w:hAnsi="Arial"/>
          <w:sz w:val="19"/>
          <w:szCs w:val="19"/>
          <w:b w:val="1"/>
          <w:bCs w:val="1"/>
          <w:color w:val="auto"/>
        </w:rPr>
        <w:t>RAYMOND JAMES BANK, N.A.</w:t>
      </w:r>
      <w:r>
        <w:rPr>
          <w:rFonts w:ascii="Arial" w:cs="Arial" w:eastAsia="Arial" w:hAnsi="Arial"/>
          <w:sz w:val="19"/>
          <w:szCs w:val="19"/>
          <w:color w:val="auto"/>
        </w:rPr>
        <w:t>, as a</w:t>
      </w:r>
    </w:p>
    <w:p>
      <w:pPr>
        <w:spacing w:after="0" w:line="6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Lender</w:t>
      </w:r>
    </w:p>
    <w:p>
      <w:pPr>
        <w:spacing w:after="0" w:line="283" w:lineRule="exact"/>
        <w:rPr>
          <w:sz w:val="20"/>
          <w:szCs w:val="20"/>
          <w:color w:val="auto"/>
        </w:rPr>
      </w:pPr>
    </w:p>
    <w:p>
      <w:pPr>
        <w:ind w:left="4540"/>
        <w:spacing w:after="0"/>
        <w:tabs>
          <w:tab w:leader="none" w:pos="5160" w:val="left"/>
        </w:tabs>
        <w:rPr>
          <w:sz w:val="20"/>
          <w:szCs w:val="20"/>
          <w:color w:val="auto"/>
        </w:rPr>
      </w:pPr>
      <w:r>
        <w:rPr>
          <w:rFonts w:ascii="Arial" w:cs="Arial" w:eastAsia="Arial" w:hAnsi="Arial"/>
          <w:sz w:val="22"/>
          <w:szCs w:val="22"/>
          <w:color w:val="auto"/>
        </w:rPr>
        <w:t>By:</w:t>
        <w:tab/>
        <w:t>/s/ Mark Specht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15875</wp:posOffset>
            </wp:positionV>
            <wp:extent cx="2339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Mark Specht</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3 to Amended and Restated Credit Agreement</w:t>
      </w:r>
    </w:p>
    <w:sectPr>
      <w:pgSz w:w="11900" w:h="16838" w:orient="portrait"/>
      <w:cols w:equalWidth="0" w:num="1">
        <w:col w:w="9019"/>
      </w:cols>
      <w:pgMar w:left="1440" w:top="13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Letter"/>
      <w:start w:val="4"/>
    </w:lvl>
    <w:lvl w:ilvl="1">
      <w:lvlJc w:val="left"/>
      <w:lvlText w:val="(%2)"/>
      <w:numFmt w:val="lowerLetter"/>
      <w:start w:val="5"/>
    </w:lvl>
  </w:abstractNum>
  <w:abstractNum w:abstractNumId="6">
    <w:nsid w:val="515F007C"/>
    <w:multiLevelType w:val="hybridMultilevel"/>
    <w:lvl w:ilvl="0">
      <w:lvlJc w:val="left"/>
      <w:lvlText w:val="(%1)"/>
      <w:numFmt w:val="lowerLetter"/>
      <w:start w:val="5"/>
    </w:lvl>
  </w:abstractNum>
  <w:abstractNum w:abstractNumId="7">
    <w:nsid w:val="5BD062C2"/>
    <w:multiLevelType w:val="hybridMultilevel"/>
    <w:lvl w:ilvl="0">
      <w:lvlJc w:val="left"/>
      <w:lvlText w:val="(%1)"/>
      <w:numFmt w:val="lowerLetter"/>
      <w:start w:val="6"/>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2020-12-31T15:04:42Z</dcterms:created>
  <dcterms:modified xsi:type="dcterms:W3CDTF">2020-12-31T15:04:42Z</dcterms:modified>
</cp:coreProperties>
</file>