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60"/>
        <w:ind w:left="0" w:right="0" w:hanging="0"/>
        <w:jc w:val="left"/>
        <w:rPr/>
      </w:pPr>
      <w:hyperlink w:anchor="TOC">
        <w:bookmarkStart w:id="0" w:name="hlx-20240331x10q.htm"/>
        <w:bookmarkStart w:id="1" w:name="kshlx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814fc6ad_0f2f_4ad3_a068_272b8cbee652"/>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WASHINGTON, D.C. 20549</w:t>
      </w:r>
    </w:p>
    <w:p>
      <w:pPr>
        <w:pStyle w:val="TextBody"/>
        <w:bidi w:val="0"/>
        <w:spacing w:before="0" w:after="0"/>
        <w:ind w:left="0" w:right="0" w:hanging="0"/>
        <w:jc w:val="center"/>
        <w:rPr>
          <w:rFonts w:ascii="Arial;Helvetica;sans-serif" w:hAnsi="Arial;Helvetica;sans-serif"/>
          <w:sz w:val="28"/>
        </w:rPr>
      </w:pPr>
      <w:r>
        <w:rPr>
          <w:rFonts w:ascii="Arial;Helvetica;sans-serif" w:hAnsi="Arial;Helvetica;sans-serif"/>
          <w:b/>
          <w:sz w:val="28"/>
        </w:rPr>
        <w:t>Form 10-Q</w:t>
      </w:r>
      <w:r>
        <w:rPr>
          <w:rFonts w:ascii="Arial;Helvetica;sans-serif" w:hAnsi="Arial;Helvetica;sans-serif"/>
          <w:sz w:val="28"/>
        </w:rPr>
        <w:t xml:space="preserve"> </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Arial;Helvetica;sans-serif" w:hAnsi="Arial;Helvetica;sans-serif"/>
          <w:b/>
          <w:sz w:val="20"/>
        </w:rPr>
      </w:pPr>
      <w:r>
        <w:rPr>
          <w:rFonts w:ascii="Arial;Helvetica;sans-serif" w:hAnsi="Arial;Helvetica;sans-serif"/>
          <w:b/>
          <w:sz w:val="20"/>
        </w:rPr>
        <w:t>For the quarterly period ended March 31, 2024</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center"/>
              <w:rPr/>
            </w:pPr>
            <w:r>
              <w:rPr/>
              <w:t>☐    </w:t>
            </w:r>
            <w:r>
              <w:rPr>
                <w:rFonts w:ascii="Arial;Helvetica;sans-serif" w:hAnsi="Arial;Helvetica;san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For the transition period from__________ to__________</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 File Number: 001-32936</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17716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66675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HELIX ENERGY SOLUTIONS GROUP, INC.</w:t>
      </w:r>
    </w:p>
    <w:p>
      <w:pPr>
        <w:pStyle w:val="TextBody"/>
        <w:bidi w:val="0"/>
        <w:spacing w:before="0" w:after="0"/>
        <w:ind w:left="0" w:right="0" w:hanging="0"/>
        <w:jc w:val="center"/>
        <w:rPr>
          <w:rFonts w:ascii="Arial;Helvetica;sans-serif" w:hAnsi="Arial;Helvetica;sans-serif"/>
          <w:i/>
          <w:sz w:val="18"/>
        </w:rPr>
      </w:pPr>
      <w:r>
        <w:rPr>
          <w:rFonts w:ascii="Arial;Helvetica;sans-serif" w:hAnsi="Arial;Helvetica;sans-serif"/>
          <w:i/>
          <w:sz w:val="18"/>
        </w:rPr>
        <w:t>(Exact name of registrant as specified in its charter)</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n8mi0MfS10u0dBI5mGnp7A_6_2"/>
      <w:bookmarkStart w:id="4" w:name="Tc_0hI8B3L58EmazSnjScKkDw_6_0"/>
      <w:bookmarkStart w:id="5" w:name="Tc_VqbPPSnKeUSYZdXNOzI0Bw_5_0"/>
      <w:bookmarkStart w:id="6" w:name="Tc_zg5Aj_G3REiGhwpAhFKgRA_2_2"/>
      <w:bookmarkStart w:id="7" w:name="Tc_8Z-a3-utgUSEWhSejKE0cg_2_0"/>
      <w:bookmarkStart w:id="8" w:name="_12ffd22c_91e2_47cb_bf82_8d71460e400b"/>
      <w:bookmarkStart w:id="9" w:name="Tc_n8mi0MfS10u0dBI5mGnp7A_6_2"/>
      <w:bookmarkStart w:id="10" w:name="Tc_0hI8B3L58EmazSnjScKkDw_6_0"/>
      <w:bookmarkStart w:id="11" w:name="Tc_VqbPPSnKeUSYZdXNOzI0Bw_5_0"/>
      <w:bookmarkStart w:id="12" w:name="Tc_zg5Aj_G3REiGhwpAhFKgRA_2_2"/>
      <w:bookmarkStart w:id="13" w:name="Tc_8Z-a3-utgUSEWhSejKE0cg_2_0"/>
      <w:bookmarkStart w:id="14" w:name="_12ffd22c_91e2_47cb_bf82_8d71460e400b"/>
      <w:bookmarkEnd w:id="9"/>
      <w:bookmarkEnd w:id="10"/>
      <w:bookmarkEnd w:id="11"/>
      <w:bookmarkEnd w:id="12"/>
      <w:bookmarkEnd w:id="13"/>
      <w:bookmarkEnd w:id="14"/>
    </w:p>
    <w:tbl>
      <w:tblPr>
        <w:tblW w:w="8068" w:type="dxa"/>
        <w:jc w:val="left"/>
        <w:tblInd w:w="0" w:type="dxa"/>
        <w:tblLayout w:type="fixed"/>
        <w:tblCellMar>
          <w:top w:w="0" w:type="dxa"/>
          <w:left w:w="0" w:type="dxa"/>
          <w:bottom w:w="0" w:type="dxa"/>
          <w:right w:w="0" w:type="dxa"/>
        </w:tblCellMar>
      </w:tblPr>
      <w:tblGrid>
        <w:gridCol w:w="4861"/>
        <w:gridCol w:w="266"/>
        <w:gridCol w:w="2941"/>
      </w:tblGrid>
      <w:tr>
        <w:trPr/>
        <w:tc>
          <w:tcPr>
            <w:tcW w:w="48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Minnesota</w:t>
            </w:r>
          </w:p>
        </w:tc>
        <w:tc>
          <w:tcPr>
            <w:tcW w:w="26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95-3409686</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(State or other jurisdiction of incorporation or organization)</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(I.R.S. Employer Identification No.)</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3505 West Sam Houston Parkway North</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b/>
                <w:sz w:val="18"/>
              </w:rPr>
            </w:pPr>
            <w:r>
              <w:rPr>
                <w:rFonts w:ascii="Arial;Helvetica;sans-serif" w:hAnsi="Arial;Helvetica;sans-serif"/>
                <w:b/>
                <w:sz w:val="18"/>
              </w:rPr>
              <w:t>Suite 400</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pPr>
            <w:r>
              <w:rPr/>
              <w:t>​</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b/>
                <w:sz w:val="18"/>
              </w:rPr>
              <w:t>Houston</w:t>
            </w:r>
            <w:r>
              <w:rPr>
                <w:rFonts w:ascii="Arial;Helvetica;sans-serif" w:hAnsi="Arial;Helvetica;sans-serif"/>
                <w:sz w:val="20"/>
              </w:rPr>
              <w:t xml:space="preserve"> </w:t>
            </w:r>
            <w:r>
              <w:rPr>
                <w:rFonts w:ascii="Arial;Helvetica;sans-serif" w:hAnsi="Arial;Helvetica;sans-serif"/>
                <w:b/>
                <w:sz w:val="18"/>
              </w:rPr>
              <w:t>Texas</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77043</w:t>
            </w:r>
          </w:p>
        </w:tc>
      </w:tr>
      <w:tr>
        <w:trPr/>
        <w:tc>
          <w:tcPr>
            <w:tcW w:w="4861" w:type="dxa"/>
            <w:tcBorders/>
            <w:vAlign w:val="center"/>
          </w:tcPr>
          <w:p>
            <w:pPr>
              <w:pStyle w:val="TableContents"/>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(Address of principal executive offices)</w:t>
            </w:r>
          </w:p>
        </w:tc>
        <w:tc>
          <w:tcPr>
            <w:tcW w:w="2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i/>
                <w:sz w:val="18"/>
              </w:rPr>
            </w:pPr>
            <w:r>
              <w:rPr>
                <w:rFonts w:ascii="Arial;Helvetica;sans-serif" w:hAnsi="Arial;Helvetica;sans-serif"/>
                <w:i/>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(281) 618–0400</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(Registrant’s telephone number, including area code)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 APPLICABLE</w:t>
      </w:r>
    </w:p>
    <w:p>
      <w:pPr>
        <w:pStyle w:val="TextBody"/>
        <w:bidi w:val="0"/>
        <w:spacing w:before="0" w:after="100"/>
        <w:ind w:left="0" w:right="0" w:hanging="0"/>
        <w:jc w:val="center"/>
        <w:rPr>
          <w:rFonts w:ascii="Arial;Helvetica;sans-serif" w:hAnsi="Arial;Helvetica;sans-serif"/>
          <w:i/>
          <w:sz w:val="18"/>
        </w:rPr>
      </w:pPr>
      <w:r>
        <w:rPr>
          <w:rFonts w:ascii="Arial;Helvetica;sans-serif" w:hAnsi="Arial;Helvetica;sans-serif"/>
          <w:i/>
          <w:sz w:val="18"/>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xIpk2AdDb0q97gWr9eelsw_1_4"/>
      <w:bookmarkStart w:id="16" w:name="Tc_eQmsD-vKKkOZE8kcb7pyMg_1_2"/>
      <w:bookmarkStart w:id="17" w:name="Tc_YpjMGT3mEkOoFMOcbZDqlQ_1_0"/>
      <w:bookmarkStart w:id="18" w:name="_cde0777f_544b_4c57_8873_cfde702ba78a"/>
      <w:bookmarkStart w:id="19" w:name="Tc_xIpk2AdDb0q97gWr9eelsw_1_4"/>
      <w:bookmarkStart w:id="20" w:name="Tc_eQmsD-vKKkOZE8kcb7pyMg_1_2"/>
      <w:bookmarkStart w:id="21" w:name="Tc_YpjMGT3mEkOoFMOcbZDqlQ_1_0"/>
      <w:bookmarkStart w:id="22" w:name="_cde0777f_544b_4c57_8873_cfde702ba78a"/>
      <w:bookmarkEnd w:id="19"/>
      <w:bookmarkEnd w:id="20"/>
      <w:bookmarkEnd w:id="21"/>
      <w:bookmarkEnd w:id="22"/>
    </w:p>
    <w:tbl>
      <w:tblPr>
        <w:tblW w:w="5471" w:type="dxa"/>
        <w:jc w:val="left"/>
        <w:tblInd w:w="0" w:type="dxa"/>
        <w:tblLayout w:type="fixed"/>
        <w:tblCellMar>
          <w:top w:w="0" w:type="dxa"/>
          <w:left w:w="0" w:type="dxa"/>
          <w:bottom w:w="0" w:type="dxa"/>
          <w:right w:w="0" w:type="dxa"/>
        </w:tblCellMar>
      </w:tblPr>
      <w:tblGrid>
        <w:gridCol w:w="2476"/>
        <w:gridCol w:w="109"/>
        <w:gridCol w:w="466"/>
        <w:gridCol w:w="109"/>
        <w:gridCol w:w="2311"/>
      </w:tblGrid>
      <w:tr>
        <w:trPr/>
        <w:tc>
          <w:tcPr>
            <w:tcW w:w="2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r>
      <w:tr>
        <w:trPr/>
        <w:tc>
          <w:tcPr>
            <w:tcW w:w="247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72260" cy="131445"/>
                      <wp:effectExtent l="0" t="0" r="0" b="0"/>
                      <wp:wrapNone/>
                      <wp:docPr id="2" name="Frame1"/>
                      <a:graphic xmlns:a="http://schemas.openxmlformats.org/drawingml/2006/main">
                        <a:graphicData uri="http://schemas.microsoft.com/office/word/2010/wordprocessingShape">
                          <wps:wsp>
                            <wps:cNvSpPr txBox="1"/>
                            <wps:spPr>
                              <a:xfrm>
                                <a:off x="0" y="0"/>
                                <a:ext cx="1572260" cy="13144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350520"/>
                      <wp:effectExtent l="0" t="0" r="0" b="0"/>
                      <wp:wrapNone/>
                      <wp:docPr id="3" name="Frame2"/>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46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95910" cy="366395"/>
                      <wp:effectExtent l="0" t="0" r="0" b="0"/>
                      <wp:wrapNone/>
                      <wp:docPr id="4" name="Frame3"/>
                      <a:graphic xmlns:a="http://schemas.openxmlformats.org/drawingml/2006/main">
                        <a:graphicData uri="http://schemas.microsoft.com/office/word/2010/wordprocessingShape">
                          <wps:wsp>
                            <wps:cNvSpPr txBox="1"/>
                            <wps:spPr>
                              <a:xfrm>
                                <a:off x="0" y="0"/>
                                <a:ext cx="295910" cy="366395"/>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8.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231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67485" cy="262890"/>
                      <wp:effectExtent l="0" t="0" r="0" b="0"/>
                      <wp:wrapNone/>
                      <wp:docPr id="6" name="Frame5"/>
                      <a:graphic xmlns:a="http://schemas.openxmlformats.org/drawingml/2006/main">
                        <a:graphicData uri="http://schemas.microsoft.com/office/word/2010/wordprocessingShape">
                          <wps:wsp>
                            <wps:cNvSpPr txBox="1"/>
                            <wps:spPr>
                              <a:xfrm>
                                <a:off x="0" y="0"/>
                                <a:ext cx="1467485" cy="262890"/>
                              </a:xfrm>
                              <a:prstGeom prst="rect"/>
                              <a:solidFill>
                                <a:srgbClr val="FFFFFF"/>
                              </a:solidFill>
                            </wps:spPr>
                            <wps:txb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Arial;Helvetica;sans-serif" w:hAnsi="Arial;Helvetica;sans-serif"/>
                                <w:b/>
                                <w:sz w:val="18"/>
                              </w:rPr>
                            </w:pPr>
                            <w:r>
                              <w:rPr>
                                <w:rFonts w:ascii="Arial;Helvetica;sans-serif" w:hAnsi="Arial;Helvetica;sans-serif"/>
                                <w:b/>
                                <w:sz w:val="18"/>
                              </w:rPr>
                              <w:t>Name of each exchange on which registered</w:t>
                            </w:r>
                          </w:p>
                        </w:txbxContent>
                      </v:textbox>
                      <w10:wrap type="none"/>
                    </v:rect>
                  </w:pict>
                </mc:Fallback>
              </mc:AlternateContent>
            </w:r>
          </w:p>
        </w:tc>
      </w:tr>
      <w:tr>
        <w:trPr/>
        <w:tc>
          <w:tcPr>
            <w:tcW w:w="247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Common Stock, no par value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75260"/>
                      <wp:effectExtent l="0" t="0" r="0" b="0"/>
                      <wp:wrapNone/>
                      <wp:docPr id="7"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466"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HLX</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311" w:type="dxa"/>
            <w:tcBorders>
              <w:top w:val="single" w:sz="8" w:space="0" w:color="000000"/>
            </w:tcBorders>
            <w:tcMar>
              <w:top w:w="28" w:type="dxa"/>
            </w:tcMar>
            <w:vAlign w:val="center"/>
          </w:tcPr>
          <w:p>
            <w:pPr>
              <w:pStyle w:val="TableContents"/>
              <w:bidi w:val="0"/>
              <w:spacing w:before="0" w:after="40"/>
              <w:ind w:left="0" w:right="0" w:hanging="0"/>
              <w:jc w:val="center"/>
              <w:rPr>
                <w:rFonts w:ascii="Arial;Helvetica;sans-serif" w:hAnsi="Arial;Helvetica;sans-serif"/>
                <w:sz w:val="18"/>
              </w:rPr>
            </w:pPr>
            <w:r>
              <w:rPr>
                <w:rFonts w:ascii="Arial;Helvetica;sans-serif" w:hAnsi="Arial;Helvetica;san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Helvetica;sans-serif" w:hAnsi="Arial;Helvetica;sans-serif"/>
          <w:sz w:val="20"/>
        </w:rPr>
        <w:t>☑ </w:t>
      </w: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No</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28"/>
        <w:gridCol w:w="1554"/>
        <w:gridCol w:w="1944"/>
        <w:gridCol w:w="2322"/>
        <w:gridCol w:w="2357"/>
      </w:tblGrid>
      <w:tr>
        <w:trPr/>
        <w:tc>
          <w:tcPr>
            <w:tcW w:w="2028"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left"/>
              <w:rPr/>
            </w:pPr>
            <w:r>
              <w:rPr/>
              <w:t>​</w:t>
            </w:r>
          </w:p>
        </w:tc>
        <w:tc>
          <w:tcPr>
            <w:tcW w:w="194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pPr>
            <w:r>
              <w:rPr/>
              <w:t>​</w:t>
            </w:r>
          </w:p>
        </w:tc>
        <w:tc>
          <w:tcPr>
            <w:tcW w:w="2357" w:type="dxa"/>
            <w:tcBorders/>
            <w:vAlign w:val="center"/>
          </w:tcPr>
          <w:p>
            <w:pPr>
              <w:pStyle w:val="TableContents"/>
              <w:bidi w:val="0"/>
              <w:spacing w:before="0" w:after="0"/>
              <w:ind w:left="0" w:right="0" w:hanging="0"/>
              <w:jc w:val="left"/>
              <w:rPr/>
            </w:pPr>
            <w:r>
              <w:rPr/>
              <w:t>​</w:t>
            </w:r>
          </w:p>
        </w:tc>
      </w:tr>
      <w:tr>
        <w:trPr/>
        <w:tc>
          <w:tcPr>
            <w:tcW w:w="2028"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Large accelerated filer</w:t>
            </w:r>
            <w:r>
              <w:rPr>
                <w:rFonts w:ascii="Arial;Helvetica;sans-serif" w:hAnsi="Arial;Helvetica;sans-serif"/>
                <w:sz w:val="20"/>
              </w:rPr>
              <w:t> ☑</w:t>
            </w:r>
          </w:p>
        </w:tc>
        <w:tc>
          <w:tcPr>
            <w:tcW w:w="155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Accelerated filer ☐</w:t>
            </w:r>
          </w:p>
        </w:tc>
        <w:tc>
          <w:tcPr>
            <w:tcW w:w="1944"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Non-accelerated filer ☐</w:t>
            </w:r>
          </w:p>
        </w:tc>
        <w:tc>
          <w:tcPr>
            <w:tcW w:w="2322"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Smaller reporting company </w:t>
            </w:r>
            <w:r>
              <w:rPr>
                <w:rFonts w:ascii="Arial;Helvetica;sans-serif" w:hAnsi="Arial;Helvetica;sans-serif"/>
                <w:sz w:val="20"/>
              </w:rPr>
              <w:t>☐</w:t>
            </w:r>
          </w:p>
        </w:tc>
        <w:tc>
          <w:tcPr>
            <w:tcW w:w="235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8"/>
              </w:rPr>
              <w:t>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8"/>
        </w:rPr>
        <w:t>Indicate by check mark whether the registrant is a shell company (as defined in Rule 12b-2 of the Exchange Act).  </w:t>
      </w:r>
      <w:r>
        <w:rPr>
          <w:rFonts w:ascii="Arial;Helvetica;sans-serif" w:hAnsi="Arial;Helvetica;sans-serif"/>
          <w:sz w:val="20"/>
        </w:rPr>
        <w:t>☐ </w:t>
      </w:r>
      <w:r>
        <w:rPr>
          <w:rFonts w:ascii="Arial;Helvetica;sans-serif" w:hAnsi="Arial;Helvetica;sans-serif"/>
          <w:sz w:val="18"/>
        </w:rPr>
        <w:t xml:space="preserve">Yes </w:t>
      </w:r>
      <w:r>
        <w:rPr>
          <w:rFonts w:ascii="Arial;Helvetica;sans-serif" w:hAnsi="Arial;Helvetica;sans-serif"/>
          <w:sz w:val="20"/>
        </w:rPr>
        <w:t>☑ </w:t>
      </w:r>
      <w:r>
        <w:rPr>
          <w:rFonts w:ascii="Arial;Helvetica;sans-serif" w:hAnsi="Arial;Helvetica;sans-serif"/>
          <w:sz w:val="18"/>
        </w:rPr>
        <w:t>No</w:t>
      </w:r>
    </w:p>
    <w:p>
      <w:pPr>
        <w:pStyle w:val="TextBody"/>
        <w:bidi w:val="0"/>
        <w:spacing w:before="0" w:after="0"/>
        <w:ind w:left="0" w:right="0" w:firstLine="720"/>
        <w:jc w:val="center"/>
        <w:rPr>
          <w:rFonts w:ascii="Arial;Helvetica;sans-serif" w:hAnsi="Arial;Helvetica;sans-serif"/>
          <w:sz w:val="18"/>
        </w:rPr>
      </w:pPr>
      <w:r>
        <w:rPr>
          <w:rFonts w:ascii="Arial;Helvetica;sans-serif" w:hAnsi="Arial;Helvetica;sans-serif"/>
          <w:sz w:val="18"/>
        </w:rPr>
        <w:t>As of April 22, 2024, 152,453,000 shares of common stock were outstanding.</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caps/>
        </w:rPr>
      </w:pPr>
      <w:r>
        <w:rPr>
          <w:caps/>
        </w:rPr>
        <w:t>​</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3" w:name="_7801e6b3_1b83_4e26_93d8_e4ce057273bc"/>
      <w:bookmarkStart w:id="24" w:name="TOC"/>
      <w:bookmarkEnd w:id="23"/>
      <w:bookmarkEnd w:id="24"/>
      <w:r>
        <w:rPr>
          <w:rFonts w:ascii="Arial;Helvetica;sans-serif" w:hAnsi="Arial;Helvetica;sans-serif"/>
          <w:b/>
          <w:sz w:val="20"/>
        </w:rPr>
        <w:t>TABLE OF CONTENTS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823"/>
        <w:gridCol w:w="109"/>
        <w:gridCol w:w="8566"/>
        <w:gridCol w:w="707"/>
      </w:tblGrid>
      <w:tr>
        <w:trPr/>
        <w:tc>
          <w:tcPr>
            <w:tcW w:w="8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6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left"/>
              <w:rPr/>
            </w:pPr>
            <w:r>
              <w:rPr/>
              <w:t>​</w:t>
            </w:r>
          </w:p>
        </w:tc>
      </w:tr>
      <w:tr>
        <w:trPr/>
        <w:tc>
          <w:tcPr>
            <w:tcW w:w="823"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PART I.</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PARTIFINANCIALINFORMATION_665355">
              <w:r>
                <w:rPr>
                  <w:rStyle w:val="InternetLink"/>
                  <w:rFonts w:ascii="Arial;Helvetica;sans-serif" w:hAnsi="Arial;Helvetica;sans-serif"/>
                  <w:b/>
                  <w:i w:val="false"/>
                  <w:caps w:val="false"/>
                  <w:smallCaps w:val="false"/>
                  <w:sz w:val="20"/>
                </w:rPr>
                <w:t>FINANCIAL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PAGE</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left"/>
              <w:rPr/>
            </w:pPr>
            <w:r>
              <w:rPr/>
              <w:t>​</w:t>
            </w:r>
          </w:p>
        </w:tc>
      </w:tr>
      <w:tr>
        <w:trPr/>
        <w:tc>
          <w:tcPr>
            <w:tcW w:w="823"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1FinancialStatements_284324">
              <w:r>
                <w:rPr>
                  <w:rStyle w:val="InternetLink"/>
                  <w:rFonts w:ascii="Arial;Helvetica;sans-serif" w:hAnsi="Arial;Helvetica;sans-serif"/>
                  <w:b w:val="false"/>
                  <w:i w:val="false"/>
                  <w:caps w:val="false"/>
                  <w:smallCaps w:val="false"/>
                  <w:sz w:val="20"/>
                </w:rPr>
                <w:t>Financial Statements: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BALANCESHEETS_97543">
              <w:r>
                <w:rPr>
                  <w:rStyle w:val="InternetLink"/>
                  <w:rFonts w:ascii="Arial;Helvetica;sans-serif" w:hAnsi="Arial;Helvetica;sans-serif"/>
                  <w:b w:val="false"/>
                  <w:i w:val="false"/>
                  <w:caps w:val="false"/>
                  <w:smallCaps w:val="false"/>
                  <w:sz w:val="20"/>
                </w:rPr>
                <w:t>Condensed Consolidated Balance Sheets – March 31, 2024 (Unaudited) and December 31,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(Unaudited) – Three months ended March 31,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COMPREH">
              <w:r>
                <w:rPr>
                  <w:rStyle w:val="InternetLink"/>
                  <w:rFonts w:ascii="Arial;Helvetica;sans-serif" w:hAnsi="Arial;Helvetica;sans-serif"/>
                  <w:b w:val="false"/>
                  <w:i w:val="false"/>
                  <w:caps w:val="false"/>
                  <w:smallCaps w:val="false"/>
                  <w:sz w:val="20"/>
                </w:rPr>
                <w:t>Condensed Consolidated Statements of Comprehensive Income (Loss) (Unaudited) – Three months ended March 31,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SEQTD">
              <w:r>
                <w:rPr>
                  <w:rStyle w:val="InternetLink"/>
                  <w:rFonts w:ascii="Arial;Helvetica;sans-serif" w:hAnsi="Arial;Helvetica;sans-serif"/>
                  <w:b w:val="false"/>
                  <w:i w:val="false"/>
                  <w:caps w:val="false"/>
                  <w:smallCaps w:val="false"/>
                  <w:sz w:val="20"/>
                </w:rPr>
                <w:t>Condensed Consolidated Statements of Shareholders’ Equity (Unaudited) – Three months ended March 31,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CONDENSEDCONSOLIDATEDSTATEMENTSOFCASHFLO">
              <w:r>
                <w:rPr>
                  <w:rStyle w:val="InternetLink"/>
                  <w:rFonts w:ascii="Arial;Helvetica;sans-serif" w:hAnsi="Arial;Helvetica;sans-serif"/>
                  <w:b w:val="false"/>
                  <w:i w:val="false"/>
                  <w:caps w:val="false"/>
                  <w:smallCaps w:val="false"/>
                  <w:sz w:val="20"/>
                </w:rPr>
                <w:t>Condensed Consolidated Statements of Cash Flows (Unaudited) – Three months ended March 31, 2024 and 2023</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 to Condensed Consolidated Financial Statements (Unaudited)</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4ControlsandProcedures_957871">
              <w:r>
                <w:rPr>
                  <w:rStyle w:val="InternetLink"/>
                  <w:rFonts w:ascii="Arial;Helvetica;sans-serif" w:hAnsi="Arial;Helvetica;sans-serif"/>
                  <w:b w:val="false"/>
                  <w:i w:val="false"/>
                  <w:caps w:val="false"/>
                  <w:smallCaps w:val="false"/>
                  <w:sz w:val="20"/>
                </w:rPr>
                <w:t>Controls and Procedures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PART II.</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PartIIOTHERINFORMATION_832834">
              <w:r>
                <w:rPr>
                  <w:rStyle w:val="InternetLink"/>
                  <w:rFonts w:ascii="Arial;Helvetica;sans-serif" w:hAnsi="Arial;Helvetica;sans-serif"/>
                  <w:b/>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Item 1.</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1LegalProceedings_634382">
              <w:r>
                <w:rPr>
                  <w:rStyle w:val="InternetLink"/>
                  <w:rFonts w:ascii="Arial;Helvetica;sans-serif" w:hAnsi="Arial;Helvetica;sans-serif"/>
                  <w:b w:val="false"/>
                  <w:i w:val="false"/>
                  <w:caps w:val="false"/>
                  <w:smallCaps w:val="false"/>
                  <w:sz w:val="20"/>
                </w:rPr>
                <w:t>Legal Proceedings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Item 1A.</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1ARiskFactors">
              <w:r>
                <w:rPr>
                  <w:rStyle w:val="InternetLink"/>
                  <w:rFonts w:ascii="Arial;Helvetica;sans-serif" w:hAnsi="Arial;Helvetica;sans-serif"/>
                  <w:b w:val="false"/>
                  <w:i w:val="false"/>
                  <w:caps w:val="false"/>
                  <w:smallCaps w:val="false"/>
                  <w:sz w:val="20"/>
                </w:rPr>
                <w:t>Risk Factors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Item 3.</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3DefaultsUponSeniorSecurities">
              <w:r>
                <w:rPr>
                  <w:rStyle w:val="InternetLink"/>
                  <w:rFonts w:ascii="Arial;Helvetica;sans-serif" w:hAnsi="Arial;Helvetica;sans-serif"/>
                  <w:b w:val="false"/>
                  <w:i w:val="false"/>
                  <w:caps w:val="false"/>
                  <w:smallCaps w:val="false"/>
                  <w:sz w:val="20"/>
                </w:rPr>
                <w:t>Defaults Upon Senior Securities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Item 4.</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4MineSafetyDisclosures">
              <w:r>
                <w:rPr>
                  <w:rStyle w:val="InternetLink"/>
                  <w:rFonts w:ascii="Arial;Helvetica;sans-serif" w:hAnsi="Arial;Helvetica;sans-serif"/>
                  <w:b w:val="false"/>
                  <w:i w:val="false"/>
                  <w:caps w:val="false"/>
                  <w:smallCaps w:val="false"/>
                  <w:sz w:val="20"/>
                </w:rPr>
                <w:t>Mine Safety Disclosures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Item 5.</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Other Information</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Item 6.</w:t>
              </w:r>
            </w:hyperlink>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Item6Exhibits_967042">
              <w:r>
                <w:rPr>
                  <w:rStyle w:val="InternetLink"/>
                  <w:rFonts w:ascii="Arial;Helvetica;sans-serif" w:hAnsi="Arial;Helvetica;sans-serif"/>
                  <w:b w:val="false"/>
                  <w:i w:val="false"/>
                  <w:caps w:val="false"/>
                  <w:smallCaps w:val="false"/>
                  <w:sz w:val="20"/>
                </w:rPr>
                <w:t>Exhibits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240"/>
              <w:ind w:left="0" w:right="0" w:hanging="0"/>
              <w:jc w:val="left"/>
              <w:rPr/>
            </w:pPr>
            <w:r>
              <w:rPr/>
              <w:t>​</w:t>
            </w:r>
          </w:p>
        </w:tc>
        <w:tc>
          <w:tcPr>
            <w:tcW w:w="707" w:type="dxa"/>
            <w:tcBorders/>
            <w:vAlign w:val="center"/>
          </w:tcPr>
          <w:p>
            <w:pPr>
              <w:pStyle w:val="TableContents"/>
              <w:bidi w:val="0"/>
              <w:spacing w:before="0" w:after="240"/>
              <w:ind w:left="0" w:right="0" w:hanging="0"/>
              <w:jc w:val="right"/>
              <w:rPr/>
            </w:pPr>
            <w:r>
              <w:rPr/>
              <w:t>​</w:t>
            </w:r>
          </w:p>
        </w:tc>
      </w:tr>
      <w:tr>
        <w:trPr/>
        <w:tc>
          <w:tcPr>
            <w:tcW w:w="823"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566" w:type="dxa"/>
            <w:tcBorders/>
            <w:vAlign w:val="center"/>
          </w:tcPr>
          <w:p>
            <w:pPr>
              <w:pStyle w:val="TableContents"/>
              <w:bidi w:val="0"/>
              <w:spacing w:before="0" w:after="0"/>
              <w:ind w:left="0" w:right="0" w:hanging="0"/>
              <w:jc w:val="left"/>
              <w:rPr/>
            </w:pPr>
            <w:hyperlink w:anchor="SIGNATURES_810600">
              <w:r>
                <w:rPr>
                  <w:rStyle w:val="InternetLink"/>
                  <w:rFonts w:ascii="Arial;Helvetica;sans-serif" w:hAnsi="Arial;Helvetica;sans-serif"/>
                  <w:b w:val="false"/>
                  <w:i w:val="false"/>
                  <w:caps w:val="false"/>
                  <w:smallCaps w:val="false"/>
                  <w:sz w:val="20"/>
                </w:rPr>
                <w:t>Signatures</w:t>
              </w:r>
            </w:hyperlink>
          </w:p>
        </w:tc>
        <w:tc>
          <w:tcPr>
            <w:tcW w:w="70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5" w:name="PARTIFINANCIALINFORMATION_665355"/>
      <w:bookmarkStart w:id="26" w:name="_37d36475_9732_4676_8b91_0c1003b9b463"/>
      <w:bookmarkEnd w:id="25"/>
      <w:bookmarkEnd w:id="26"/>
      <w:r>
        <w:rPr>
          <w:rFonts w:ascii="Arial;Helvetica;sans-serif" w:hAnsi="Arial;Helvetica;sans-serif"/>
          <w:b/>
          <w:sz w:val="20"/>
        </w:rPr>
        <w:t>PART I. FINANCIAL INFORMATION</w:t>
      </w:r>
    </w:p>
    <w:p>
      <w:pPr>
        <w:pStyle w:val="TextBody"/>
        <w:bidi w:val="0"/>
        <w:spacing w:before="0" w:after="240"/>
        <w:ind w:left="0" w:right="0" w:hanging="0"/>
        <w:jc w:val="left"/>
        <w:rPr>
          <w:rFonts w:ascii="Arial;Helvetica;sans-serif" w:hAnsi="Arial;Helvetica;sans-serif"/>
          <w:b/>
          <w:sz w:val="20"/>
        </w:rPr>
      </w:pPr>
      <w:bookmarkStart w:id="27" w:name="Item1FinancialStatements_284324"/>
      <w:bookmarkEnd w:id="27"/>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8" w:name="CONDENSEDCONSOLIDATEDBALANCESHEETS_97543"/>
      <w:bookmarkEnd w:id="28"/>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 w:name="Tc_7Uv1tOBU-EaloM7u-Ye6Yg_36_5"/>
      <w:bookmarkStart w:id="30" w:name="Tc_8dma5z6X0kG7MkLhRUjOEQ_36_2"/>
      <w:bookmarkStart w:id="31" w:name="Tc_m8GedSZJgUWaRuqAhaEy6A_36_0"/>
      <w:bookmarkStart w:id="32" w:name="Tc_JdaxFJlPyk26_SCt0X-aDQ_35_0"/>
      <w:bookmarkStart w:id="33" w:name="Tc_St514bDXnkGTLEO2-u1OsA_34_0"/>
      <w:bookmarkStart w:id="34" w:name="Tc_oA1a9TE_i0W1tsrGfR4riw_33_0"/>
      <w:bookmarkStart w:id="35" w:name="Tc_49ZdT0dDMEWVpCNHLnvFSg_32_0"/>
      <w:bookmarkStart w:id="36" w:name="Tc_jentV2u3002nXZT1nzx89A_31_0"/>
      <w:bookmarkStart w:id="37" w:name="Tc_toNRYNqv6EmYZSD5d9_RzQ_30_0"/>
      <w:bookmarkStart w:id="38" w:name="Tc_YxUW0FvB40O3rqm9tSnKuA_29_0"/>
      <w:bookmarkStart w:id="39" w:name="Tc_5NblfGu-vUyfR7X7mx94KQ_28_0"/>
      <w:bookmarkStart w:id="40" w:name="Tc_GFUTaviHik-FaJSU3szrcg_27_0"/>
      <w:bookmarkStart w:id="41" w:name="Tc_Nizq8QAK9EGnteREuR_pyA_26_0"/>
      <w:bookmarkStart w:id="42" w:name="Tc_yqbtXfhJRUyOjRLMEZV7SA_25_0"/>
      <w:bookmarkStart w:id="43" w:name="Tc_YYWZmIY1SkezauLCqyEBEA_24_0"/>
      <w:bookmarkStart w:id="44" w:name="Tc_nGRu4FpI5EKaYgyoOsP_yw_23_0"/>
      <w:bookmarkStart w:id="45" w:name="Tc_NSrn2UJakUy5F34oY0EEBg_22_0"/>
      <w:bookmarkStart w:id="46" w:name="Tc_NBmEjoF_T0SAFYb0ECkrUw_21_0"/>
      <w:bookmarkStart w:id="47" w:name="Tc_3ibkltEedECGnfzJmYnPXg_20_5"/>
      <w:bookmarkStart w:id="48" w:name="Tc_zudmk3Flpk-Ow7q_1cjFZw_20_2"/>
      <w:bookmarkStart w:id="49" w:name="Tc_ZiTewweUHkW8woH_Iv91Lg_20_0"/>
      <w:bookmarkStart w:id="50" w:name="Tc_tM3hEYbmUEqridy78LE18Q_19_0"/>
      <w:bookmarkStart w:id="51" w:name="Tc_gi1ra3s7WkSdBR4uT71s_A_18_0"/>
      <w:bookmarkStart w:id="52" w:name="Tc_s97wA2G_hkqqPvkLOmlLyA_16_5"/>
      <w:bookmarkStart w:id="53" w:name="Tc_7CDTwKRo9kKo6H1XzlyM1A_16_2"/>
      <w:bookmarkStart w:id="54" w:name="Tc_EuzpFWrTREiubTbeorTTkg_16_0"/>
      <w:bookmarkStart w:id="55" w:name="Tc_HrPLSP1Bt0SCpned-KJNxA_15_0"/>
      <w:bookmarkStart w:id="56" w:name="Tc_CqDEf_Rv2U2I9FieH036cw_14_0"/>
      <w:bookmarkStart w:id="57" w:name="Tc_1MHajTznYE-x96n9Ds2LPA_13_0"/>
      <w:bookmarkStart w:id="58" w:name="Tc_qR4U0HUNCk2ZBEYyTB70qg_12_0"/>
      <w:bookmarkStart w:id="59" w:name="Tc_OrjhNUVSZEW86tfS11S56A_11_0"/>
      <w:bookmarkStart w:id="60" w:name="Tc_NSjdHU8FI0OLjArie_eh1w_10_0"/>
      <w:bookmarkStart w:id="61" w:name="Tc_A1FFHiG4qEy9WN5QbNFaaA_9_0"/>
      <w:bookmarkStart w:id="62" w:name="Tc_QEtd6jLuK0a3LtPcp2tqwA_8_0"/>
      <w:bookmarkStart w:id="63" w:name="Tc_tM98aqVSjEqRNgckKyNhLA_7_0"/>
      <w:bookmarkStart w:id="64" w:name="Tc_StP456WhCUyULJezLkRGZg_6_5"/>
      <w:bookmarkStart w:id="65" w:name="Tc_liVRIsP_p0-QY8E-UZ0rrw_6_2"/>
      <w:bookmarkStart w:id="66" w:name="Tc_z8EbtTCU50aSoFE98j0Ppg_6_0"/>
      <w:bookmarkStart w:id="67" w:name="Tc__M79YCI6xkKY46sp_HedLw_5_0"/>
      <w:bookmarkStart w:id="68" w:name="Tc_DjVuh6VY30GYH-mb-WteBg_4_0"/>
      <w:bookmarkStart w:id="69" w:name="Tc_N03019f2k0C2CvXdcfd_sA_3_2"/>
      <w:bookmarkStart w:id="70" w:name="Tc_8YvzquYkZUOhCUZBj5l-LA_2_5"/>
      <w:bookmarkStart w:id="71" w:name="Tc_GgQl3Fzo80O6bVl31fa5HQ_2_2"/>
      <w:bookmarkStart w:id="72" w:name="Tc_U5jNFIeMPEKsr5s4_MyuSw_1_5"/>
      <w:bookmarkStart w:id="73" w:name="Tc_BNXyLAZ5hUumKIP8TmtV4w_1_2"/>
      <w:bookmarkStart w:id="74" w:name="_1139da40_b06a_4abb_9cd0_3ed0317a70c5"/>
      <w:bookmarkStart w:id="75" w:name="Tc_7Uv1tOBU-EaloM7u-Ye6Yg_36_5"/>
      <w:bookmarkStart w:id="76" w:name="Tc_8dma5z6X0kG7MkLhRUjOEQ_36_2"/>
      <w:bookmarkStart w:id="77" w:name="Tc_m8GedSZJgUWaRuqAhaEy6A_36_0"/>
      <w:bookmarkStart w:id="78" w:name="Tc_JdaxFJlPyk26_SCt0X-aDQ_35_0"/>
      <w:bookmarkStart w:id="79" w:name="Tc_St514bDXnkGTLEO2-u1OsA_34_0"/>
      <w:bookmarkStart w:id="80" w:name="Tc_oA1a9TE_i0W1tsrGfR4riw_33_0"/>
      <w:bookmarkStart w:id="81" w:name="Tc_49ZdT0dDMEWVpCNHLnvFSg_32_0"/>
      <w:bookmarkStart w:id="82" w:name="Tc_jentV2u3002nXZT1nzx89A_31_0"/>
      <w:bookmarkStart w:id="83" w:name="Tc_toNRYNqv6EmYZSD5d9_RzQ_30_0"/>
      <w:bookmarkStart w:id="84" w:name="Tc_YxUW0FvB40O3rqm9tSnKuA_29_0"/>
      <w:bookmarkStart w:id="85" w:name="Tc_5NblfGu-vUyfR7X7mx94KQ_28_0"/>
      <w:bookmarkStart w:id="86" w:name="Tc_GFUTaviHik-FaJSU3szrcg_27_0"/>
      <w:bookmarkStart w:id="87" w:name="Tc_Nizq8QAK9EGnteREuR_pyA_26_0"/>
      <w:bookmarkStart w:id="88" w:name="Tc_yqbtXfhJRUyOjRLMEZV7SA_25_0"/>
      <w:bookmarkStart w:id="89" w:name="Tc_YYWZmIY1SkezauLCqyEBEA_24_0"/>
      <w:bookmarkStart w:id="90" w:name="Tc_nGRu4FpI5EKaYgyoOsP_yw_23_0"/>
      <w:bookmarkStart w:id="91" w:name="Tc_NSrn2UJakUy5F34oY0EEBg_22_0"/>
      <w:bookmarkStart w:id="92" w:name="Tc_NBmEjoF_T0SAFYb0ECkrUw_21_0"/>
      <w:bookmarkStart w:id="93" w:name="Tc_3ibkltEedECGnfzJmYnPXg_20_5"/>
      <w:bookmarkStart w:id="94" w:name="Tc_zudmk3Flpk-Ow7q_1cjFZw_20_2"/>
      <w:bookmarkStart w:id="95" w:name="Tc_ZiTewweUHkW8woH_Iv91Lg_20_0"/>
      <w:bookmarkStart w:id="96" w:name="Tc_tM3hEYbmUEqridy78LE18Q_19_0"/>
      <w:bookmarkStart w:id="97" w:name="Tc_gi1ra3s7WkSdBR4uT71s_A_18_0"/>
      <w:bookmarkStart w:id="98" w:name="Tc_s97wA2G_hkqqPvkLOmlLyA_16_5"/>
      <w:bookmarkStart w:id="99" w:name="Tc_7CDTwKRo9kKo6H1XzlyM1A_16_2"/>
      <w:bookmarkStart w:id="100" w:name="Tc_EuzpFWrTREiubTbeorTTkg_16_0"/>
      <w:bookmarkStart w:id="101" w:name="Tc_HrPLSP1Bt0SCpned-KJNxA_15_0"/>
      <w:bookmarkStart w:id="102" w:name="Tc_CqDEf_Rv2U2I9FieH036cw_14_0"/>
      <w:bookmarkStart w:id="103" w:name="Tc_1MHajTznYE-x96n9Ds2LPA_13_0"/>
      <w:bookmarkStart w:id="104" w:name="Tc_qR4U0HUNCk2ZBEYyTB70qg_12_0"/>
      <w:bookmarkStart w:id="105" w:name="Tc_OrjhNUVSZEW86tfS11S56A_11_0"/>
      <w:bookmarkStart w:id="106" w:name="Tc_NSjdHU8FI0OLjArie_eh1w_10_0"/>
      <w:bookmarkStart w:id="107" w:name="Tc_A1FFHiG4qEy9WN5QbNFaaA_9_0"/>
      <w:bookmarkStart w:id="108" w:name="Tc_QEtd6jLuK0a3LtPcp2tqwA_8_0"/>
      <w:bookmarkStart w:id="109" w:name="Tc_tM98aqVSjEqRNgckKyNhLA_7_0"/>
      <w:bookmarkStart w:id="110" w:name="Tc_StP456WhCUyULJezLkRGZg_6_5"/>
      <w:bookmarkStart w:id="111" w:name="Tc_liVRIsP_p0-QY8E-UZ0rrw_6_2"/>
      <w:bookmarkStart w:id="112" w:name="Tc_z8EbtTCU50aSoFE98j0Ppg_6_0"/>
      <w:bookmarkStart w:id="113" w:name="Tc__M79YCI6xkKY46sp_HedLw_5_0"/>
      <w:bookmarkStart w:id="114" w:name="Tc_DjVuh6VY30GYH-mb-WteBg_4_0"/>
      <w:bookmarkStart w:id="115" w:name="Tc_N03019f2k0C2CvXdcfd_sA_3_2"/>
      <w:bookmarkStart w:id="116" w:name="Tc_8YvzquYkZUOhCUZBj5l-LA_2_5"/>
      <w:bookmarkStart w:id="117" w:name="Tc_GgQl3Fzo80O6bVl31fa5HQ_2_2"/>
      <w:bookmarkStart w:id="118" w:name="Tc_U5jNFIeMPEKsr5s4_MyuSw_1_5"/>
      <w:bookmarkStart w:id="119" w:name="Tc_BNXyLAZ5hUumKIP8TmtV4w_1_2"/>
      <w:bookmarkStart w:id="120" w:name="_1139da40_b06a_4abb_9cd0_3ed0317a70c5"/>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10205" w:type="dxa"/>
        <w:jc w:val="left"/>
        <w:tblInd w:w="0" w:type="dxa"/>
        <w:tblLayout w:type="fixed"/>
        <w:tblCellMar>
          <w:top w:w="0" w:type="dxa"/>
          <w:left w:w="0" w:type="dxa"/>
          <w:bottom w:w="0" w:type="dxa"/>
          <w:right w:w="0" w:type="dxa"/>
        </w:tblCellMar>
      </w:tblPr>
      <w:tblGrid>
        <w:gridCol w:w="6842"/>
        <w:gridCol w:w="326"/>
        <w:gridCol w:w="211"/>
        <w:gridCol w:w="1063"/>
        <w:gridCol w:w="326"/>
        <w:gridCol w:w="234"/>
        <w:gridCol w:w="1203"/>
      </w:tblGrid>
      <w:tr>
        <w:trPr/>
        <w:tc>
          <w:tcPr>
            <w:tcW w:w="6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344670" cy="175260"/>
                      <wp:effectExtent l="0" t="0" r="0" b="0"/>
                      <wp:wrapNone/>
                      <wp:docPr id="9" name="Frame8"/>
                      <a:graphic xmlns:a="http://schemas.openxmlformats.org/drawingml/2006/main">
                        <a:graphicData uri="http://schemas.microsoft.com/office/word/2010/wordprocessingShape">
                          <wps:wsp>
                            <wps:cNvSpPr txBox="1"/>
                            <wps:spPr>
                              <a:xfrm>
                                <a:off x="0" y="0"/>
                                <a:ext cx="434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75005" cy="175260"/>
                      <wp:effectExtent l="0" t="0" r="0" b="0"/>
                      <wp:wrapNone/>
                      <wp:docPr id="12" name="Frame11"/>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8590" cy="175260"/>
                      <wp:effectExtent l="0" t="0" r="0" b="0"/>
                      <wp:wrapNone/>
                      <wp:docPr id="14" name="Frame1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63905" cy="175260"/>
                      <wp:effectExtent l="0" t="0" r="0" b="0"/>
                      <wp:wrapNone/>
                      <wp:docPr id="15" name="Frame14"/>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left"/>
              <w:rPr/>
            </w:pPr>
            <w:r>
              <w:rPr/>
              <w:t>​</w:t>
            </w:r>
          </w:p>
        </w:tc>
        <w:tc>
          <w:tcPr>
            <w:tcW w:w="143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(Unaudited)</w:t>
            </w:r>
          </w:p>
        </w:tc>
        <w:tc>
          <w:tcPr>
            <w:tcW w:w="326" w:type="dxa"/>
            <w:tcBorders/>
            <w:vAlign w:val="center"/>
          </w:tcPr>
          <w:p>
            <w:pPr>
              <w:pStyle w:val="TableContents"/>
              <w:bidi w:val="0"/>
              <w:spacing w:before="0" w:after="1"/>
              <w:ind w:left="0" w:right="0" w:hanging="0"/>
              <w:jc w:val="center"/>
              <w:rPr/>
            </w:pPr>
            <w:r>
              <w:rPr/>
              <w:t>​</w:t>
            </w:r>
          </w:p>
        </w:tc>
        <w:tc>
          <w:tcPr>
            <w:tcW w:w="234" w:type="dxa"/>
            <w:tcBorders/>
            <w:vAlign w:val="center"/>
          </w:tcPr>
          <w:p>
            <w:pPr>
              <w:pStyle w:val="TableContents"/>
              <w:bidi w:val="0"/>
              <w:spacing w:before="0" w:after="1"/>
              <w:ind w:left="0" w:right="0" w:hanging="0"/>
              <w:jc w:val="center"/>
              <w:rPr/>
            </w:pPr>
            <w:r>
              <w:rPr/>
              <w:t>​</w:t>
            </w:r>
          </w:p>
        </w:tc>
        <w:tc>
          <w:tcPr>
            <w:tcW w:w="1203" w:type="dxa"/>
            <w:tcBorders/>
            <w:vAlign w:val="center"/>
          </w:tcPr>
          <w:p>
            <w:pPr>
              <w:pStyle w:val="TableContents"/>
              <w:bidi w:val="0"/>
              <w:spacing w:before="0" w:after="1"/>
              <w:ind w:left="0" w:right="0" w:hanging="0"/>
              <w:jc w:val="center"/>
              <w:rPr/>
            </w:pPr>
            <w:r>
              <w:rPr/>
              <w:t>​</w:t>
            </w:r>
          </w:p>
        </w:tc>
      </w:tr>
      <w:tr>
        <w:trPr/>
        <w:tc>
          <w:tcPr>
            <w:tcW w:w="6842"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4" w:type="dxa"/>
            <w:tcBorders/>
            <w:shd w:fill="CCEEFF" w:val="clear"/>
            <w:vAlign w:val="center"/>
          </w:tcPr>
          <w:p>
            <w:pPr>
              <w:pStyle w:val="TableContents"/>
              <w:bidi w:val="0"/>
              <w:spacing w:before="0" w:after="1"/>
              <w:ind w:left="0" w:right="0" w:hanging="0"/>
              <w:jc w:val="left"/>
              <w:rPr/>
            </w:pPr>
            <w:r>
              <w:rPr/>
              <w:t>​</w:t>
            </w:r>
          </w:p>
        </w:tc>
        <w:tc>
          <w:tcPr>
            <w:tcW w:w="1203" w:type="dxa"/>
            <w:tcBorders/>
            <w:shd w:fill="CCEEFF" w:val="clear"/>
            <w:vAlign w:val="center"/>
          </w:tcPr>
          <w:p>
            <w:pPr>
              <w:pStyle w:val="TableContents"/>
              <w:bidi w:val="0"/>
              <w:spacing w:before="0" w:after="1"/>
              <w:ind w:left="0" w:right="0" w:hanging="0"/>
              <w:jc w:val="right"/>
              <w:rPr/>
            </w:pPr>
            <w:r>
              <w:rPr/>
              <w:t>  </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1203" w:type="dxa"/>
            <w:tcBorders/>
            <w:vAlign w:val="center"/>
          </w:tcPr>
          <w:p>
            <w:pPr>
              <w:pStyle w:val="TableContents"/>
              <w:bidi w:val="0"/>
              <w:spacing w:before="0" w:after="1"/>
              <w:ind w:left="0" w:right="0" w:hanging="0"/>
              <w:jc w:val="right"/>
              <w:rPr/>
            </w:pPr>
            <w:r>
              <w:rPr/>
              <w:t>  </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323,849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332,191</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 of allowance for credit losses of $3,700 and $3,407,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219,844</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280,427</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62,064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85,223</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605,757</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697,841</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3,067,478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3,078,571</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(1,537,843)</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(1,505,722)</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1,529,635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1,572,849</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358,285</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169,233</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recertification and dry dock costs,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73,091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71,290</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47,046</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44,823</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2,613,814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2,556,036</w:t>
            </w:r>
          </w:p>
        </w:tc>
      </w:tr>
      <w:tr>
        <w:trPr/>
        <w:tc>
          <w:tcPr>
            <w:tcW w:w="68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203" w:type="dxa"/>
            <w:tcBorders/>
            <w:vAlign w:val="center"/>
          </w:tcPr>
          <w:p>
            <w:pPr>
              <w:pStyle w:val="TableContents"/>
              <w:bidi w:val="0"/>
              <w:spacing w:before="0" w:after="1"/>
              <w:ind w:left="0" w:right="0" w:hanging="0"/>
              <w:jc w:val="left"/>
              <w:rPr/>
            </w:pPr>
            <w:r>
              <w:rPr/>
              <w:t>​</w:t>
            </w:r>
          </w:p>
        </w:tc>
      </w:tr>
      <w:tr>
        <w:trPr/>
        <w:tc>
          <w:tcPr>
            <w:tcW w:w="6842"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LIABILITIES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pPr>
            <w:r>
              <w:rPr/>
              <w:t>  </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pPr>
            <w:r>
              <w:rPr/>
              <w:t>  </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120,375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134,552</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163,797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203,112</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maturities of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48,292</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54,892</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62,662</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348,029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448,618</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309,199</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313,430</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314,351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116,185</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109,981</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110,555</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65,432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66,248</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1,146,992</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1,055,036</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203" w:type="dxa"/>
            <w:tcBorders/>
            <w:shd w:fill="CCEEFF" w:val="clear"/>
            <w:vAlign w:val="center"/>
          </w:tcPr>
          <w:p>
            <w:pPr>
              <w:pStyle w:val="TableContents"/>
              <w:bidi w:val="0"/>
              <w:spacing w:before="0" w:after="1"/>
              <w:ind w:left="0" w:right="0" w:hanging="0"/>
              <w:jc w:val="right"/>
              <w:rPr/>
            </w:pPr>
            <w:r>
              <w:rPr/>
              <w:t>​</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pPr>
            <w:r>
              <w:rPr/>
              <w:t>  </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no par, 240,000 shares authorized, 152,450 and 152,291 shares issued,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1,270,357</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1,271,565</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Retained earnings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286,163</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312,450</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(89,698)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(83,015)</w:t>
            </w:r>
          </w:p>
        </w:tc>
      </w:tr>
      <w:tr>
        <w:trPr/>
        <w:tc>
          <w:tcPr>
            <w:tcW w:w="684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shareholders’ equity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1,466,822</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1,501,000</w:t>
            </w:r>
          </w:p>
        </w:tc>
      </w:tr>
      <w:tr>
        <w:trPr/>
        <w:tc>
          <w:tcPr>
            <w:tcW w:w="68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2,613,814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2,556,036</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21" w:name="_73e7ca91_3bc6_45b2_915f_5eb7e4a1ae2e"/>
      <w:bookmarkEnd w:id="121"/>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122" w:name="CONDENSEDCONSOLIDATEDSTATEMENTSOFOPERATI"/>
      <w:bookmarkEnd w:id="122"/>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3" w:name="Tc_Kckte-lg7EWST9nuU7nuDw_26_0"/>
      <w:bookmarkStart w:id="124" w:name="Tc_a0hT8FMSnEuYKqLsmTYHJg_25_0"/>
      <w:bookmarkStart w:id="125" w:name="Tc_H5v207NM1E60KPh4_Xo9Tg_24_0"/>
      <w:bookmarkStart w:id="126" w:name="Tc_GFMjMPRTMkKSYvafYQ7IWg_22_5"/>
      <w:bookmarkStart w:id="127" w:name="Tc_reZiIDVbm0afa3kHfIKLLA_22_2"/>
      <w:bookmarkStart w:id="128" w:name="Tc_dufafDJ42UmQIkaO8OQ67g_22_0"/>
      <w:bookmarkStart w:id="129" w:name="Tc_iQaZm0_Ti0y7WI7OfJ2P1Q_21_5"/>
      <w:bookmarkStart w:id="130" w:name="Tc_btPWziJCOUq-h1hcTsFCsg_21_2"/>
      <w:bookmarkStart w:id="131" w:name="Tc_qK7skW8JVk6j3GDpj_D18g_21_0"/>
      <w:bookmarkStart w:id="132" w:name="Tc_NWcgcrt9v0mYA92JRcgAJg_20_0"/>
      <w:bookmarkStart w:id="133" w:name="Tc_rHe83RD05Eu4WvTcV-dsSw_18_5"/>
      <w:bookmarkStart w:id="134" w:name="Tc_wkH1UJFNZU2VQlUkckECzA_18_2"/>
      <w:bookmarkStart w:id="135" w:name="Tc_koszjRC1AUmd6wFy2hxwAA_18_0"/>
      <w:bookmarkStart w:id="136" w:name="Tc_D5F6Oft0EEi2sPfcz514MQ_17_0"/>
      <w:bookmarkStart w:id="137" w:name="Tc_5DGHecHpXUCsfVS2H_J6MA_16_0"/>
      <w:bookmarkStart w:id="138" w:name="Tc_wM4c242oN0yfWiKSvl7oCQ_15_0"/>
      <w:bookmarkStart w:id="139" w:name="Tc_xBwlohsYFkq5PWQl5tFaKQ_14_0"/>
      <w:bookmarkStart w:id="140" w:name="Tc_5bpUY7G6w0WidEyk4WAuBQ_13_6"/>
      <w:bookmarkStart w:id="141" w:name="Tc_iWg4JSy7V0OoPZ5-ZLsG3Q_13_0"/>
      <w:bookmarkStart w:id="142" w:name="Tc_g9pJwGnOF0-KvAT_TznDAg_12_0"/>
      <w:bookmarkStart w:id="143" w:name="Tc_0uA7yeOfyU-_BJ50sBHFQQ_11_0"/>
      <w:bookmarkStart w:id="144" w:name="Tc_qmD5R1MKTkOmnGDobSmWjg_10_0"/>
      <w:bookmarkStart w:id="145" w:name="Tc_Bi3WHeLsHUq_kkU4I3PNGQ_9_3"/>
      <w:bookmarkStart w:id="146" w:name="Tc_0ploygA4cEKc6afwxm910A_9_0"/>
      <w:bookmarkStart w:id="147" w:name="Tc_em36g2Hk4keKCNQiaUZRxg_8_3"/>
      <w:bookmarkStart w:id="148" w:name="Tc_vTbLX1v7zESShDck3JOzvg_8_0"/>
      <w:bookmarkStart w:id="149" w:name="Tc_FXcO4hK5vU-95XGc_E3dPA_7_0"/>
      <w:bookmarkStart w:id="150" w:name="Tc_5IeWiXYEw0KUfLYhSb7MmQ_6_0"/>
      <w:bookmarkStart w:id="151" w:name="Tc_0Dlm_3PDUUK45XGqJpf7nQ_5_0"/>
      <w:bookmarkStart w:id="152" w:name="Tc_rxOu7WNtWk6zNX7pkEFInQ_4_5"/>
      <w:bookmarkStart w:id="153" w:name="Tc_l60nbS_cnUuTTqXuIMM74g_4_2"/>
      <w:bookmarkStart w:id="154" w:name="Tc_pZpxPDAYBk-jwFN3ilY3lw_4_0"/>
      <w:bookmarkStart w:id="155" w:name="Tc_VvmUoioufkCf7WuxSr7Zyg_3_5"/>
      <w:bookmarkStart w:id="156" w:name="Tc_U_6CYMVc6Eyr46OZcV0a5Q_3_2"/>
      <w:bookmarkStart w:id="157" w:name="Tc_eGOjnCpiH0CeYpVJDqOgyg_2_2"/>
      <w:bookmarkStart w:id="158" w:name="Tc_laODst1w60ezUJZy12RhGA_1_2"/>
      <w:bookmarkStart w:id="159" w:name="_4ce44221_c13a_4a90_bb1b_77a934542557"/>
      <w:bookmarkStart w:id="160" w:name="Tc_Kckte-lg7EWST9nuU7nuDw_26_0"/>
      <w:bookmarkStart w:id="161" w:name="Tc_a0hT8FMSnEuYKqLsmTYHJg_25_0"/>
      <w:bookmarkStart w:id="162" w:name="Tc_H5v207NM1E60KPh4_Xo9Tg_24_0"/>
      <w:bookmarkStart w:id="163" w:name="Tc_GFMjMPRTMkKSYvafYQ7IWg_22_5"/>
      <w:bookmarkStart w:id="164" w:name="Tc_reZiIDVbm0afa3kHfIKLLA_22_2"/>
      <w:bookmarkStart w:id="165" w:name="Tc_dufafDJ42UmQIkaO8OQ67g_22_0"/>
      <w:bookmarkStart w:id="166" w:name="Tc_iQaZm0_Ti0y7WI7OfJ2P1Q_21_5"/>
      <w:bookmarkStart w:id="167" w:name="Tc_btPWziJCOUq-h1hcTsFCsg_21_2"/>
      <w:bookmarkStart w:id="168" w:name="Tc_qK7skW8JVk6j3GDpj_D18g_21_0"/>
      <w:bookmarkStart w:id="169" w:name="Tc_NWcgcrt9v0mYA92JRcgAJg_20_0"/>
      <w:bookmarkStart w:id="170" w:name="Tc_rHe83RD05Eu4WvTcV-dsSw_18_5"/>
      <w:bookmarkStart w:id="171" w:name="Tc_wkH1UJFNZU2VQlUkckECzA_18_2"/>
      <w:bookmarkStart w:id="172" w:name="Tc_koszjRC1AUmd6wFy2hxwAA_18_0"/>
      <w:bookmarkStart w:id="173" w:name="Tc_D5F6Oft0EEi2sPfcz514MQ_17_0"/>
      <w:bookmarkStart w:id="174" w:name="Tc_5DGHecHpXUCsfVS2H_J6MA_16_0"/>
      <w:bookmarkStart w:id="175" w:name="Tc_wM4c242oN0yfWiKSvl7oCQ_15_0"/>
      <w:bookmarkStart w:id="176" w:name="Tc_xBwlohsYFkq5PWQl5tFaKQ_14_0"/>
      <w:bookmarkStart w:id="177" w:name="Tc_5bpUY7G6w0WidEyk4WAuBQ_13_6"/>
      <w:bookmarkStart w:id="178" w:name="Tc_iWg4JSy7V0OoPZ5-ZLsG3Q_13_0"/>
      <w:bookmarkStart w:id="179" w:name="Tc_g9pJwGnOF0-KvAT_TznDAg_12_0"/>
      <w:bookmarkStart w:id="180" w:name="Tc_0uA7yeOfyU-_BJ50sBHFQQ_11_0"/>
      <w:bookmarkStart w:id="181" w:name="Tc_qmD5R1MKTkOmnGDobSmWjg_10_0"/>
      <w:bookmarkStart w:id="182" w:name="Tc_Bi3WHeLsHUq_kkU4I3PNGQ_9_3"/>
      <w:bookmarkStart w:id="183" w:name="Tc_0ploygA4cEKc6afwxm910A_9_0"/>
      <w:bookmarkStart w:id="184" w:name="Tc_em36g2Hk4keKCNQiaUZRxg_8_3"/>
      <w:bookmarkStart w:id="185" w:name="Tc_vTbLX1v7zESShDck3JOzvg_8_0"/>
      <w:bookmarkStart w:id="186" w:name="Tc_FXcO4hK5vU-95XGc_E3dPA_7_0"/>
      <w:bookmarkStart w:id="187" w:name="Tc_5IeWiXYEw0KUfLYhSb7MmQ_6_0"/>
      <w:bookmarkStart w:id="188" w:name="Tc_0Dlm_3PDUUK45XGqJpf7nQ_5_0"/>
      <w:bookmarkStart w:id="189" w:name="Tc_rxOu7WNtWk6zNX7pkEFInQ_4_5"/>
      <w:bookmarkStart w:id="190" w:name="Tc_l60nbS_cnUuTTqXuIMM74g_4_2"/>
      <w:bookmarkStart w:id="191" w:name="Tc_pZpxPDAYBk-jwFN3ilY3lw_4_0"/>
      <w:bookmarkStart w:id="192" w:name="Tc_VvmUoioufkCf7WuxSr7Zyg_3_5"/>
      <w:bookmarkStart w:id="193" w:name="Tc_U_6CYMVc6Eyr46OZcV0a5Q_3_2"/>
      <w:bookmarkStart w:id="194" w:name="Tc_eGOjnCpiH0CeYpVJDqOgyg_2_2"/>
      <w:bookmarkStart w:id="195" w:name="Tc_laODst1w60ezUJZy12RhGA_1_2"/>
      <w:bookmarkStart w:id="196" w:name="_4ce44221_c13a_4a90_bb1b_77a934542557"/>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bl>
      <w:tblPr>
        <w:tblW w:w="7059" w:type="dxa"/>
        <w:jc w:val="left"/>
        <w:tblInd w:w="0" w:type="dxa"/>
        <w:tblLayout w:type="fixed"/>
        <w:tblCellMar>
          <w:top w:w="0" w:type="dxa"/>
          <w:left w:w="0" w:type="dxa"/>
          <w:bottom w:w="0" w:type="dxa"/>
          <w:right w:w="0" w:type="dxa"/>
        </w:tblCellMar>
      </w:tblPr>
      <w:tblGrid>
        <w:gridCol w:w="4261"/>
        <w:gridCol w:w="326"/>
        <w:gridCol w:w="211"/>
        <w:gridCol w:w="811"/>
        <w:gridCol w:w="326"/>
        <w:gridCol w:w="211"/>
        <w:gridCol w:w="913"/>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705735" cy="175260"/>
                      <wp:effectExtent l="0" t="0" r="0" b="0"/>
                      <wp:wrapNone/>
                      <wp:docPr id="16" name="Frame1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14985" cy="175260"/>
                      <wp:effectExtent l="0" t="0" r="0" b="0"/>
                      <wp:wrapNone/>
                      <wp:docPr id="19" name="Frame1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79755" cy="175260"/>
                      <wp:effectExtent l="0" t="0" r="0" b="0"/>
                      <wp:wrapNone/>
                      <wp:docPr id="22" name="Frame21"/>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7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7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296,211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250,084</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276,657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234,900</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15,184</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Acquisition and integration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(3,992)</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(19,631)</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(8,303)</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(4,187)</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3,444</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Royalty income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1,863</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(7,183)</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(2,018)</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per share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(0.03)</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(0.03)</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common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42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151,764</w:t>
            </w:r>
          </w:p>
        </w:tc>
      </w:tr>
      <w:tr>
        <w:trPr/>
        <w:tc>
          <w:tcPr>
            <w:tcW w:w="42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151,764</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197" w:name="_e92a70e5_1ce6_43dd_9249_6fcb58bd035e"/>
      <w:bookmarkEnd w:id="197"/>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198" w:name="CONDENSEDCONSOLIDATEDSTATEMENTSOFCOMPREH"/>
      <w:bookmarkEnd w:id="198"/>
      <w:r>
        <w:rPr>
          <w:rFonts w:ascii="Arial;Helvetica;sans-serif" w:hAnsi="Arial;Helvetica;sans-serif"/>
          <w:b/>
          <w:sz w:val="20"/>
        </w:rPr>
        <w:t>CONDENSED CONSOLIDATED STATEMENTS OF COMPREHENSIVE INCOME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9" w:name="Tc_hUdsHvrbkESm9m_S9GhKlQ_8_5"/>
      <w:bookmarkStart w:id="200" w:name="Tc_1HgoTmtGOU6EgOEKe0JqQw_8_2"/>
      <w:bookmarkStart w:id="201" w:name="Tc_3At4kJJh5U-ejCj1HBisag_8_0"/>
      <w:bookmarkStart w:id="202" w:name="Tc_c5DrEfxFvEeN1F04PQ3MRA_7_0"/>
      <w:bookmarkStart w:id="203" w:name="Tc_FndpIq2VfkWP1ipDTtqB7Q_6_0"/>
      <w:bookmarkStart w:id="204" w:name="Tc_n4QvFsp1IEOEJ80S7ooPsg_5_0"/>
      <w:bookmarkStart w:id="205" w:name="Tc_dnoFaszewEGC0kGWoREYEw_4_5"/>
      <w:bookmarkStart w:id="206" w:name="Tc_6xW3eu56PUKNwZSA2UUG2Q_4_2"/>
      <w:bookmarkStart w:id="207" w:name="Tc_p8g1yuQ-oUuEJO-7rAw0GA_4_0"/>
      <w:bookmarkStart w:id="208" w:name="Tc_-CJ266iM_EmHDtUA-HzE0g_3_5"/>
      <w:bookmarkStart w:id="209" w:name="Tc_onBqZy9YCkS_lH-t0K5jhw_3_2"/>
      <w:bookmarkStart w:id="210" w:name="Tc_6I0gzKcY30mVU9ktE4-jnA_2_2"/>
      <w:bookmarkStart w:id="211" w:name="Tc_DMsl5vayn0ehwaBUfgSi6w_1_2"/>
      <w:bookmarkStart w:id="212" w:name="_07b7a4fb_949a_435a_b975_527a98038a6a"/>
      <w:bookmarkStart w:id="213" w:name="Tc_hUdsHvrbkESm9m_S9GhKlQ_8_5"/>
      <w:bookmarkStart w:id="214" w:name="Tc_1HgoTmtGOU6EgOEKe0JqQw_8_2"/>
      <w:bookmarkStart w:id="215" w:name="Tc_3At4kJJh5U-ejCj1HBisag_8_0"/>
      <w:bookmarkStart w:id="216" w:name="Tc_c5DrEfxFvEeN1F04PQ3MRA_7_0"/>
      <w:bookmarkStart w:id="217" w:name="Tc_FndpIq2VfkWP1ipDTtqB7Q_6_0"/>
      <w:bookmarkStart w:id="218" w:name="Tc_n4QvFsp1IEOEJ80S7ooPsg_5_0"/>
      <w:bookmarkStart w:id="219" w:name="Tc_dnoFaszewEGC0kGWoREYEw_4_5"/>
      <w:bookmarkStart w:id="220" w:name="Tc_6xW3eu56PUKNwZSA2UUG2Q_4_2"/>
      <w:bookmarkStart w:id="221" w:name="Tc_p8g1yuQ-oUuEJO-7rAw0GA_4_0"/>
      <w:bookmarkStart w:id="222" w:name="Tc_-CJ266iM_EmHDtUA-HzE0g_3_5"/>
      <w:bookmarkStart w:id="223" w:name="Tc_onBqZy9YCkS_lH-t0K5jhw_3_2"/>
      <w:bookmarkStart w:id="224" w:name="Tc_6I0gzKcY30mVU9ktE4-jnA_2_2"/>
      <w:bookmarkStart w:id="225" w:name="Tc_DMsl5vayn0ehwaBUfgSi6w_1_2"/>
      <w:bookmarkStart w:id="226" w:name="_07b7a4fb_949a_435a_b975_527a98038a6a"/>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6635" w:type="dxa"/>
        <w:jc w:val="left"/>
        <w:tblInd w:w="0" w:type="dxa"/>
        <w:tblLayout w:type="fixed"/>
        <w:tblCellMar>
          <w:top w:w="0" w:type="dxa"/>
          <w:left w:w="0" w:type="dxa"/>
          <w:bottom w:w="0" w:type="dxa"/>
          <w:right w:w="0" w:type="dxa"/>
        </w:tblCellMar>
      </w:tblPr>
      <w:tblGrid>
        <w:gridCol w:w="4216"/>
        <w:gridCol w:w="109"/>
        <w:gridCol w:w="211"/>
        <w:gridCol w:w="811"/>
        <w:gridCol w:w="326"/>
        <w:gridCol w:w="211"/>
        <w:gridCol w:w="751"/>
      </w:tblGrid>
      <w:tr>
        <w:trPr/>
        <w:tc>
          <w:tcPr>
            <w:tcW w:w="4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14985" cy="175260"/>
                      <wp:effectExtent l="0" t="0" r="0" b="0"/>
                      <wp:wrapNone/>
                      <wp:docPr id="25" name="Frame2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76885" cy="175260"/>
                      <wp:effectExtent l="0" t="0" r="0" b="0"/>
                      <wp:wrapNone/>
                      <wp:docPr id="28" name="Frame2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4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42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(26,287)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w:t>
            </w:r>
          </w:p>
        </w:tc>
      </w:tr>
      <w:tr>
        <w:trPr/>
        <w:tc>
          <w:tcPr>
            <w:tcW w:w="42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comprehensive income (loss), net of tax:</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  </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gain (loss)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(6,683)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8,432</w:t>
            </w:r>
          </w:p>
        </w:tc>
      </w:tr>
      <w:tr>
        <w:trPr/>
        <w:tc>
          <w:tcPr>
            <w:tcW w:w="42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comprehensive income (loss), net of tax</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(6,683)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8,432</w:t>
            </w:r>
          </w:p>
        </w:tc>
      </w:tr>
      <w:tr>
        <w:trPr/>
        <w:tc>
          <w:tcPr>
            <w:tcW w:w="42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Comprehensive income (loss)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(32,970)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3,267</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27" w:name="_6b8330eb_4e12_46e2_85fc_002706928a25"/>
      <w:bookmarkEnd w:id="227"/>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228" w:name="CONDENSEDCONSOLIDATEDSTATEMENTSOFSEQTD"/>
      <w:bookmarkEnd w:id="228"/>
      <w:r>
        <w:rPr>
          <w:rFonts w:ascii="Arial;Helvetica;sans-serif" w:hAnsi="Arial;Helvetica;sans-serif"/>
          <w:b/>
          <w:sz w:val="20"/>
        </w:rPr>
        <w:t>CONDENSED CONSOLIDATED STATEMENTS OF SHAREHOLDERS’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9" w:name="Tc_DgX3H0tzUEqcoCr-STZrAw_21_13"/>
      <w:bookmarkStart w:id="230" w:name="Tc_87HFhoHxnEGkMujy8EyawA_21_10"/>
      <w:bookmarkStart w:id="231" w:name="Tc_DWGpVywyw0GHxZivOUiXGA_21_7"/>
      <w:bookmarkStart w:id="232" w:name="Tc_K1vA-12QEk6sTWxUPstHMA_21_4"/>
      <w:bookmarkStart w:id="233" w:name="Tc_4_5jgQHnTkqN6n5YPV-fBw_21_0"/>
      <w:bookmarkStart w:id="234" w:name="Tc_AQO4bnj4d0iJ7Ho6izIwAA_20_11"/>
      <w:bookmarkStart w:id="235" w:name="Tc_yovhkZl1o0yUfXiONUHazQ_20_8"/>
      <w:bookmarkStart w:id="236" w:name="Tc_HjLwMiAErUGAdPVrn1K5bg_20_2"/>
      <w:bookmarkStart w:id="237" w:name="Tc__DeMPJPxSUC6rQsBPXggsw_20_0"/>
      <w:bookmarkStart w:id="238" w:name="Tc_Hfnbr2WWPkSls2xPsv6D1g_19_11"/>
      <w:bookmarkStart w:id="239" w:name="Tc_vkh6Gkxsb0S5kfi5Rwpodg_19_8"/>
      <w:bookmarkStart w:id="240" w:name="Tc_Z40DtuCdyEaf9YNAixHBxw_19_0"/>
      <w:bookmarkStart w:id="241" w:name="Tc_E4pIqXhbqkmezd_gDCEi3w_18_11"/>
      <w:bookmarkStart w:id="242" w:name="Tc_WOF1SRbYvU2t_yXkmZUa5Q_18_8"/>
      <w:bookmarkStart w:id="243" w:name="Tc_jyaVqs5Ad0umRC5X4bXyXA_18_0"/>
      <w:bookmarkStart w:id="244" w:name="Tc_40K0BbjVhUCMBANzynQ9hg_17_8"/>
      <w:bookmarkStart w:id="245" w:name="Tc_e6GJDoN1QEu94Fd42kUBlw_17_5"/>
      <w:bookmarkStart w:id="246" w:name="Tc_X50-8W-z9E2Id1bwAdm5MQ_17_2"/>
      <w:bookmarkStart w:id="247" w:name="Tc_6DWtauPRnEqAmCE1mddV5A_17_0"/>
      <w:bookmarkStart w:id="248" w:name="Tc_oGrwgRBpoUKJgTRIeUm_qA_16_11"/>
      <w:bookmarkStart w:id="249" w:name="Tc_r-nAu2zQSEmuUXhy6TvmGA_16_5"/>
      <w:bookmarkStart w:id="250" w:name="Tc_Z2VjSdcBi0KcD9xd0_wmrw_16_2"/>
      <w:bookmarkStart w:id="251" w:name="Tc_FJnn5yBhC0iuhAIzmKwVxg_16_0"/>
      <w:bookmarkStart w:id="252" w:name="Tc_ejWWPn1k20Srg9CMxB2f5A_15_13"/>
      <w:bookmarkStart w:id="253" w:name="Tc_wwgqiL3L7kWZ1HQ5W7jTvg_15_10"/>
      <w:bookmarkStart w:id="254" w:name="Tc_J2dF0k1eYECG8v4uyfsH-w_15_7"/>
      <w:bookmarkStart w:id="255" w:name="Tc_m9IJeiWhpketAVO_3pyvoA_15_4"/>
      <w:bookmarkStart w:id="256" w:name="Tc_BrZWSikl7k279WZMy6XTSg_15_0"/>
      <w:bookmarkStart w:id="257" w:name="Tc_NtUrbQvBN0KHPpFc5qpCyA_13_13"/>
      <w:bookmarkStart w:id="258" w:name="Tc_ReGF-YSNFEq3HC_WuiWTlA_13_10"/>
      <w:bookmarkStart w:id="259" w:name="Tc_4a7I6FweF0iFhnp-HW5szA_13_7"/>
      <w:bookmarkStart w:id="260" w:name="Tc_5TSdDBcPHEGpLP4Lpi41jQ_13_4"/>
      <w:bookmarkStart w:id="261" w:name="Tc_iP1hy_hkP06kKKOLff6_-Q_13_0"/>
      <w:bookmarkStart w:id="262" w:name="Tc_wXRrj1HBKUaaK-GnFhdqfA_12_11"/>
      <w:bookmarkStart w:id="263" w:name="Tc_Q5r6SN0u_UazQKd3UImvlQ_12_8"/>
      <w:bookmarkStart w:id="264" w:name="Tc_brzzZ4hNBk6umzA7d0yrzQ_12_2"/>
      <w:bookmarkStart w:id="265" w:name="Tc_ms511udWFkuPF-tDMsQljA_12_0"/>
      <w:bookmarkStart w:id="266" w:name="Tc_JZ1LC-Gf8kuRtkEGOHP36A_11_11"/>
      <w:bookmarkStart w:id="267" w:name="Tc_eEqJbsLseE6v_4LXKiAXEw_11_8"/>
      <w:bookmarkStart w:id="268" w:name="Tc_yTewl9-H3kCq35jzf2792w_11_0"/>
      <w:bookmarkStart w:id="269" w:name="Tc_noyrhFuyt0amaCgjdQ-3aQ_10_11"/>
      <w:bookmarkStart w:id="270" w:name="Tc_cT25wNhDcEWvAJcNNapP-g_10_8"/>
      <w:bookmarkStart w:id="271" w:name="Tc_8wYrHN6AbE6WpdT9x9AxWQ_10_2"/>
      <w:bookmarkStart w:id="272" w:name="Tc_LGu1ar0ZoUaBBO9iVTh7HA_10_0"/>
      <w:bookmarkStart w:id="273" w:name="Tc_kp7eBybDK0GX9ahdmxjLhA_9_11"/>
      <w:bookmarkStart w:id="274" w:name="Tc_INWAyLKFL02huvB1_FkLYw_9_8"/>
      <w:bookmarkStart w:id="275" w:name="Tc_LYyVw6hKSEKK2JbiKL18gw_9_0"/>
      <w:bookmarkStart w:id="276" w:name="Tc_uthB_ZKI0EulsOBjcB-iLA_8_11"/>
      <w:bookmarkStart w:id="277" w:name="Tc_NnlTJ433V0KlIM7IwCqrSA_8_8"/>
      <w:bookmarkStart w:id="278" w:name="Tc_W2BYD_Z3MEyHBwnAOCn9Qw_8_2"/>
      <w:bookmarkStart w:id="279" w:name="Tc_05eNlKlxiEex90v32Xx3xA_8_0"/>
      <w:bookmarkStart w:id="280" w:name="Tc_TQMZCgGoRUiH0kW7pSYdMg_7_8"/>
      <w:bookmarkStart w:id="281" w:name="Tc_tX0sZCJKT0ugc2qeLbYWyA_7_5"/>
      <w:bookmarkStart w:id="282" w:name="Tc_bbi5tDuYxk-Vx5qZT0u-Zg_7_2"/>
      <w:bookmarkStart w:id="283" w:name="Tc_MbXX7Sp3lkizgbBLHsAiKw_7_0"/>
      <w:bookmarkStart w:id="284" w:name="Tc_X5rY3H5HrUu5SewS6yO3jA_6_11"/>
      <w:bookmarkStart w:id="285" w:name="Tc_lvgXtfcb5USufqnoKVfuJw_6_5"/>
      <w:bookmarkStart w:id="286" w:name="Tc_BQ9gh6tWlUCAm2A-cDnGOg_6_2"/>
      <w:bookmarkStart w:id="287" w:name="Tc_HUBy7xFm2UKhSTxaa-FNtw_6_0"/>
      <w:bookmarkStart w:id="288" w:name="Tc_E-ReDEOhe0WbB3BV-d16uA_5_13"/>
      <w:bookmarkStart w:id="289" w:name="Tc_sDIwokKRckSDPjaIgxweQg_5_10"/>
      <w:bookmarkStart w:id="290" w:name="Tc_5N7Oex3Z6Ui32OgnTt6YXg_5_7"/>
      <w:bookmarkStart w:id="291" w:name="Tc_QmiOXBv_9kGzerOaBINFDw_5_4"/>
      <w:bookmarkStart w:id="292" w:name="Tc_anGwhybgNEOU8rhrQQPi2A_5_0"/>
      <w:bookmarkStart w:id="293" w:name="Tc_v2S4eR81okKEemTvQ3V2dQ_4_13"/>
      <w:bookmarkStart w:id="294" w:name="Tc_oE1Xy4E81U-A5nzvJ1di5Q_4_10"/>
      <w:bookmarkStart w:id="295" w:name="Tc_PUFHYgUDR0uhaiBICwOUwQ_4_7"/>
      <w:bookmarkStart w:id="296" w:name="Tc_iqvGvdc7sEOKb7K7Ubi80g_4_4"/>
      <w:bookmarkStart w:id="297" w:name="Tc_V5Mn4Mwa-kqNDCPdTF7qqg_4_2"/>
      <w:bookmarkStart w:id="298" w:name="Tc_xyRVlf07YE6SX4n9hq2M9A_3_13"/>
      <w:bookmarkStart w:id="299" w:name="Tc_62vpSPzGIkKw_6PPGGJjiA_3_10"/>
      <w:bookmarkStart w:id="300" w:name="Tc_9lCGmypUOkyME5CddZQTnw_3_7"/>
      <w:bookmarkStart w:id="301" w:name="Tc_tXh2WwRvYEa1aiiOyBZn5Q_3_2"/>
      <w:bookmarkStart w:id="302" w:name="Tc_fFdcwCTcMU-E6TOLN54cbA_2_13"/>
      <w:bookmarkStart w:id="303" w:name="Tc_flnsslycIUeGXIFIW5P21Q_2_10"/>
      <w:bookmarkStart w:id="304" w:name="Tc_iUGTCKUyz0-sPeWskhQRzg_1_10"/>
      <w:bookmarkStart w:id="305" w:name="_3eab777f_da29_4e15_9d61_25b7ae7f3dd3"/>
      <w:bookmarkStart w:id="306" w:name="Tc_DgX3H0tzUEqcoCr-STZrAw_21_13"/>
      <w:bookmarkStart w:id="307" w:name="Tc_87HFhoHxnEGkMujy8EyawA_21_10"/>
      <w:bookmarkStart w:id="308" w:name="Tc_DWGpVywyw0GHxZivOUiXGA_21_7"/>
      <w:bookmarkStart w:id="309" w:name="Tc_K1vA-12QEk6sTWxUPstHMA_21_4"/>
      <w:bookmarkStart w:id="310" w:name="Tc_4_5jgQHnTkqN6n5YPV-fBw_21_0"/>
      <w:bookmarkStart w:id="311" w:name="Tc_AQO4bnj4d0iJ7Ho6izIwAA_20_11"/>
      <w:bookmarkStart w:id="312" w:name="Tc_yovhkZl1o0yUfXiONUHazQ_20_8"/>
      <w:bookmarkStart w:id="313" w:name="Tc_HjLwMiAErUGAdPVrn1K5bg_20_2"/>
      <w:bookmarkStart w:id="314" w:name="Tc__DeMPJPxSUC6rQsBPXggsw_20_0"/>
      <w:bookmarkStart w:id="315" w:name="Tc_Hfnbr2WWPkSls2xPsv6D1g_19_11"/>
      <w:bookmarkStart w:id="316" w:name="Tc_vkh6Gkxsb0S5kfi5Rwpodg_19_8"/>
      <w:bookmarkStart w:id="317" w:name="Tc_Z40DtuCdyEaf9YNAixHBxw_19_0"/>
      <w:bookmarkStart w:id="318" w:name="Tc_E4pIqXhbqkmezd_gDCEi3w_18_11"/>
      <w:bookmarkStart w:id="319" w:name="Tc_WOF1SRbYvU2t_yXkmZUa5Q_18_8"/>
      <w:bookmarkStart w:id="320" w:name="Tc_jyaVqs5Ad0umRC5X4bXyXA_18_0"/>
      <w:bookmarkStart w:id="321" w:name="Tc_40K0BbjVhUCMBANzynQ9hg_17_8"/>
      <w:bookmarkStart w:id="322" w:name="Tc_e6GJDoN1QEu94Fd42kUBlw_17_5"/>
      <w:bookmarkStart w:id="323" w:name="Tc_X50-8W-z9E2Id1bwAdm5MQ_17_2"/>
      <w:bookmarkStart w:id="324" w:name="Tc_6DWtauPRnEqAmCE1mddV5A_17_0"/>
      <w:bookmarkStart w:id="325" w:name="Tc_oGrwgRBpoUKJgTRIeUm_qA_16_11"/>
      <w:bookmarkStart w:id="326" w:name="Tc_r-nAu2zQSEmuUXhy6TvmGA_16_5"/>
      <w:bookmarkStart w:id="327" w:name="Tc_Z2VjSdcBi0KcD9xd0_wmrw_16_2"/>
      <w:bookmarkStart w:id="328" w:name="Tc_FJnn5yBhC0iuhAIzmKwVxg_16_0"/>
      <w:bookmarkStart w:id="329" w:name="Tc_ejWWPn1k20Srg9CMxB2f5A_15_13"/>
      <w:bookmarkStart w:id="330" w:name="Tc_wwgqiL3L7kWZ1HQ5W7jTvg_15_10"/>
      <w:bookmarkStart w:id="331" w:name="Tc_J2dF0k1eYECG8v4uyfsH-w_15_7"/>
      <w:bookmarkStart w:id="332" w:name="Tc_m9IJeiWhpketAVO_3pyvoA_15_4"/>
      <w:bookmarkStart w:id="333" w:name="Tc_BrZWSikl7k279WZMy6XTSg_15_0"/>
      <w:bookmarkStart w:id="334" w:name="Tc_NtUrbQvBN0KHPpFc5qpCyA_13_13"/>
      <w:bookmarkStart w:id="335" w:name="Tc_ReGF-YSNFEq3HC_WuiWTlA_13_10"/>
      <w:bookmarkStart w:id="336" w:name="Tc_4a7I6FweF0iFhnp-HW5szA_13_7"/>
      <w:bookmarkStart w:id="337" w:name="Tc_5TSdDBcPHEGpLP4Lpi41jQ_13_4"/>
      <w:bookmarkStart w:id="338" w:name="Tc_iP1hy_hkP06kKKOLff6_-Q_13_0"/>
      <w:bookmarkStart w:id="339" w:name="Tc_wXRrj1HBKUaaK-GnFhdqfA_12_11"/>
      <w:bookmarkStart w:id="340" w:name="Tc_Q5r6SN0u_UazQKd3UImvlQ_12_8"/>
      <w:bookmarkStart w:id="341" w:name="Tc_brzzZ4hNBk6umzA7d0yrzQ_12_2"/>
      <w:bookmarkStart w:id="342" w:name="Tc_ms511udWFkuPF-tDMsQljA_12_0"/>
      <w:bookmarkStart w:id="343" w:name="Tc_JZ1LC-Gf8kuRtkEGOHP36A_11_11"/>
      <w:bookmarkStart w:id="344" w:name="Tc_eEqJbsLseE6v_4LXKiAXEw_11_8"/>
      <w:bookmarkStart w:id="345" w:name="Tc_yTewl9-H3kCq35jzf2792w_11_0"/>
      <w:bookmarkStart w:id="346" w:name="Tc_noyrhFuyt0amaCgjdQ-3aQ_10_11"/>
      <w:bookmarkStart w:id="347" w:name="Tc_cT25wNhDcEWvAJcNNapP-g_10_8"/>
      <w:bookmarkStart w:id="348" w:name="Tc_8wYrHN6AbE6WpdT9x9AxWQ_10_2"/>
      <w:bookmarkStart w:id="349" w:name="Tc_LGu1ar0ZoUaBBO9iVTh7HA_10_0"/>
      <w:bookmarkStart w:id="350" w:name="Tc_kp7eBybDK0GX9ahdmxjLhA_9_11"/>
      <w:bookmarkStart w:id="351" w:name="Tc_INWAyLKFL02huvB1_FkLYw_9_8"/>
      <w:bookmarkStart w:id="352" w:name="Tc_LYyVw6hKSEKK2JbiKL18gw_9_0"/>
      <w:bookmarkStart w:id="353" w:name="Tc_uthB_ZKI0EulsOBjcB-iLA_8_11"/>
      <w:bookmarkStart w:id="354" w:name="Tc_NnlTJ433V0KlIM7IwCqrSA_8_8"/>
      <w:bookmarkStart w:id="355" w:name="Tc_W2BYD_Z3MEyHBwnAOCn9Qw_8_2"/>
      <w:bookmarkStart w:id="356" w:name="Tc_05eNlKlxiEex90v32Xx3xA_8_0"/>
      <w:bookmarkStart w:id="357" w:name="Tc_TQMZCgGoRUiH0kW7pSYdMg_7_8"/>
      <w:bookmarkStart w:id="358" w:name="Tc_tX0sZCJKT0ugc2qeLbYWyA_7_5"/>
      <w:bookmarkStart w:id="359" w:name="Tc_bbi5tDuYxk-Vx5qZT0u-Zg_7_2"/>
      <w:bookmarkStart w:id="360" w:name="Tc_MbXX7Sp3lkizgbBLHsAiKw_7_0"/>
      <w:bookmarkStart w:id="361" w:name="Tc_X5rY3H5HrUu5SewS6yO3jA_6_11"/>
      <w:bookmarkStart w:id="362" w:name="Tc_lvgXtfcb5USufqnoKVfuJw_6_5"/>
      <w:bookmarkStart w:id="363" w:name="Tc_BQ9gh6tWlUCAm2A-cDnGOg_6_2"/>
      <w:bookmarkStart w:id="364" w:name="Tc_HUBy7xFm2UKhSTxaa-FNtw_6_0"/>
      <w:bookmarkStart w:id="365" w:name="Tc_E-ReDEOhe0WbB3BV-d16uA_5_13"/>
      <w:bookmarkStart w:id="366" w:name="Tc_sDIwokKRckSDPjaIgxweQg_5_10"/>
      <w:bookmarkStart w:id="367" w:name="Tc_5N7Oex3Z6Ui32OgnTt6YXg_5_7"/>
      <w:bookmarkStart w:id="368" w:name="Tc_QmiOXBv_9kGzerOaBINFDw_5_4"/>
      <w:bookmarkStart w:id="369" w:name="Tc_anGwhybgNEOU8rhrQQPi2A_5_0"/>
      <w:bookmarkStart w:id="370" w:name="Tc_v2S4eR81okKEemTvQ3V2dQ_4_13"/>
      <w:bookmarkStart w:id="371" w:name="Tc_oE1Xy4E81U-A5nzvJ1di5Q_4_10"/>
      <w:bookmarkStart w:id="372" w:name="Tc_PUFHYgUDR0uhaiBICwOUwQ_4_7"/>
      <w:bookmarkStart w:id="373" w:name="Tc_iqvGvdc7sEOKb7K7Ubi80g_4_4"/>
      <w:bookmarkStart w:id="374" w:name="Tc_V5Mn4Mwa-kqNDCPdTF7qqg_4_2"/>
      <w:bookmarkStart w:id="375" w:name="Tc_xyRVlf07YE6SX4n9hq2M9A_3_13"/>
      <w:bookmarkStart w:id="376" w:name="Tc_62vpSPzGIkKw_6PPGGJjiA_3_10"/>
      <w:bookmarkStart w:id="377" w:name="Tc_9lCGmypUOkyME5CddZQTnw_3_7"/>
      <w:bookmarkStart w:id="378" w:name="Tc_tXh2WwRvYEa1aiiOyBZn5Q_3_2"/>
      <w:bookmarkStart w:id="379" w:name="Tc_fFdcwCTcMU-E6TOLN54cbA_2_13"/>
      <w:bookmarkStart w:id="380" w:name="Tc_flnsslycIUeGXIFIW5P21Q_2_10"/>
      <w:bookmarkStart w:id="381" w:name="Tc_iUGTCKUyz0-sPeWskhQRzg_1_10"/>
      <w:bookmarkStart w:id="382" w:name="_3eab777f_da29_4e15_9d61_25b7ae7f3dd3"/>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tbl>
      <w:tblPr>
        <w:tblW w:w="10205" w:type="dxa"/>
        <w:jc w:val="left"/>
        <w:tblInd w:w="0" w:type="dxa"/>
        <w:tblLayout w:type="fixed"/>
        <w:tblCellMar>
          <w:top w:w="0" w:type="dxa"/>
          <w:left w:w="0" w:type="dxa"/>
          <w:bottom w:w="0" w:type="dxa"/>
          <w:right w:w="0" w:type="dxa"/>
        </w:tblCellMar>
      </w:tblPr>
      <w:tblGrid>
        <w:gridCol w:w="2609"/>
        <w:gridCol w:w="326"/>
        <w:gridCol w:w="796"/>
        <w:gridCol w:w="326"/>
        <w:gridCol w:w="211"/>
        <w:gridCol w:w="961"/>
        <w:gridCol w:w="326"/>
        <w:gridCol w:w="211"/>
        <w:gridCol w:w="802"/>
        <w:gridCol w:w="326"/>
        <w:gridCol w:w="308"/>
        <w:gridCol w:w="1253"/>
        <w:gridCol w:w="326"/>
        <w:gridCol w:w="232"/>
        <w:gridCol w:w="1192"/>
      </w:tblGrid>
      <w:tr>
        <w:trPr/>
        <w:tc>
          <w:tcPr>
            <w:tcW w:w="26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30" name="Frame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10235" cy="175260"/>
                      <wp:effectExtent l="0" t="0" r="0" b="0"/>
                      <wp:wrapNone/>
                      <wp:docPr id="33" name="Frame3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9270" cy="175260"/>
                      <wp:effectExtent l="0" t="0" r="0" b="0"/>
                      <wp:wrapNone/>
                      <wp:docPr id="36" name="Frame35"/>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95580" cy="175260"/>
                      <wp:effectExtent l="0" t="0" r="0" b="0"/>
                      <wp:wrapNone/>
                      <wp:docPr id="38" name="Frame3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95655" cy="175260"/>
                      <wp:effectExtent l="0" t="0" r="0" b="0"/>
                      <wp:wrapNone/>
                      <wp:docPr id="39" name="Frame38"/>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7320" cy="175260"/>
                      <wp:effectExtent l="0" t="0" r="0" b="0"/>
                      <wp:wrapNone/>
                      <wp:docPr id="41" name="Frame4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56920" cy="175260"/>
                      <wp:effectExtent l="0" t="0" r="0" b="0"/>
                      <wp:wrapNone/>
                      <wp:docPr id="42" name="Frame41"/>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b/>
                <w:sz w:val="20"/>
              </w:rPr>
              <w:t>Accumulated</w:t>
            </w:r>
            <w:r>
              <w:rPr>
                <w:rFonts w:ascii="Arial;Helvetica;sans-serif" w:hAnsi="Arial;Helvetica;sans-serif"/>
                <w:sz w:val="20"/>
              </w:rPr>
              <w:t xml:space="preserve"> </w:t>
            </w:r>
          </w:p>
        </w:tc>
        <w:tc>
          <w:tcPr>
            <w:tcW w:w="326" w:type="dxa"/>
            <w:tcBorders/>
            <w:vAlign w:val="center"/>
          </w:tcPr>
          <w:p>
            <w:pPr>
              <w:pStyle w:val="TableContents"/>
              <w:bidi w:val="0"/>
              <w:spacing w:before="0" w:after="1"/>
              <w:ind w:left="0" w:right="0" w:hanging="0"/>
              <w:jc w:val="center"/>
              <w:rPr/>
            </w:pPr>
            <w:r>
              <w:rPr/>
              <w:t>​</w:t>
            </w:r>
          </w:p>
        </w:tc>
        <w:tc>
          <w:tcPr>
            <w:tcW w:w="232"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center"/>
              <w:rPr/>
            </w:pPr>
            <w:r>
              <w:rPr/>
              <w:t>​</w:t>
            </w:r>
          </w:p>
        </w:tc>
      </w:tr>
      <w:tr>
        <w:trPr/>
        <w:tc>
          <w:tcPr>
            <w:tcW w:w="26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Other</w:t>
            </w:r>
          </w:p>
        </w:tc>
        <w:tc>
          <w:tcPr>
            <w:tcW w:w="326" w:type="dxa"/>
            <w:tcBorders/>
            <w:vAlign w:val="center"/>
          </w:tcPr>
          <w:p>
            <w:pPr>
              <w:pStyle w:val="TableContents"/>
              <w:bidi w:val="0"/>
              <w:spacing w:before="0" w:after="1"/>
              <w:ind w:left="0" w:right="0" w:hanging="0"/>
              <w:jc w:val="center"/>
              <w:rPr/>
            </w:pPr>
            <w:r>
              <w:rPr/>
              <w:t>​</w:t>
            </w:r>
          </w:p>
        </w:tc>
        <w:tc>
          <w:tcPr>
            <w:tcW w:w="14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6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Common Stock</w:t>
            </w:r>
          </w:p>
        </w:tc>
        <w:tc>
          <w:tcPr>
            <w:tcW w:w="326" w:type="dxa"/>
            <w:tcBorders/>
            <w:vAlign w:val="center"/>
          </w:tcPr>
          <w:p>
            <w:pPr>
              <w:pStyle w:val="TableContents"/>
              <w:bidi w:val="0"/>
              <w:spacing w:before="0" w:after="1"/>
              <w:ind w:left="0" w:right="0" w:hanging="0"/>
              <w:jc w:val="center"/>
              <w:rPr/>
            </w:pPr>
            <w:r>
              <w:rPr/>
              <w:t>​</w:t>
            </w:r>
          </w:p>
        </w:tc>
        <w:tc>
          <w:tcPr>
            <w:tcW w:w="1013"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Retained</w:t>
            </w:r>
          </w:p>
        </w:tc>
        <w:tc>
          <w:tcPr>
            <w:tcW w:w="326" w:type="dxa"/>
            <w:tcBorders/>
            <w:vAlign w:val="center"/>
          </w:tcPr>
          <w:p>
            <w:pPr>
              <w:pStyle w:val="TableContents"/>
              <w:bidi w:val="0"/>
              <w:spacing w:before="0" w:after="1"/>
              <w:ind w:left="0" w:right="0" w:hanging="0"/>
              <w:jc w:val="center"/>
              <w:rPr/>
            </w:pPr>
            <w:r>
              <w:rPr/>
              <w:t>​</w:t>
            </w:r>
          </w:p>
        </w:tc>
        <w:tc>
          <w:tcPr>
            <w:tcW w:w="156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Comprehensive</w:t>
            </w:r>
          </w:p>
        </w:tc>
        <w:tc>
          <w:tcPr>
            <w:tcW w:w="326" w:type="dxa"/>
            <w:tcBorders/>
            <w:vAlign w:val="center"/>
          </w:tcPr>
          <w:p>
            <w:pPr>
              <w:pStyle w:val="TableContents"/>
              <w:bidi w:val="0"/>
              <w:spacing w:before="0" w:after="1"/>
              <w:ind w:left="0" w:right="0" w:hanging="0"/>
              <w:jc w:val="center"/>
              <w:rPr/>
            </w:pPr>
            <w:r>
              <w:rPr/>
              <w:t>​</w:t>
            </w:r>
          </w:p>
        </w:tc>
        <w:tc>
          <w:tcPr>
            <w:tcW w:w="14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Shareholders’</w:t>
            </w:r>
          </w:p>
        </w:tc>
      </w:tr>
      <w:tr>
        <w:trPr/>
        <w:tc>
          <w:tcPr>
            <w:tcW w:w="26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Earnings</w:t>
            </w:r>
          </w:p>
        </w:tc>
        <w:tc>
          <w:tcPr>
            <w:tcW w:w="326" w:type="dxa"/>
            <w:tcBorders/>
            <w:vAlign w:val="center"/>
          </w:tcPr>
          <w:p>
            <w:pPr>
              <w:pStyle w:val="TableContents"/>
              <w:bidi w:val="0"/>
              <w:spacing w:before="0" w:after="1"/>
              <w:ind w:left="0" w:right="0" w:hanging="0"/>
              <w:jc w:val="center"/>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Loss</w:t>
            </w:r>
          </w:p>
        </w:tc>
        <w:tc>
          <w:tcPr>
            <w:tcW w:w="326" w:type="dxa"/>
            <w:tcBorders/>
            <w:vAlign w:val="center"/>
          </w:tcPr>
          <w:p>
            <w:pPr>
              <w:pStyle w:val="TableContents"/>
              <w:bidi w:val="0"/>
              <w:spacing w:before="0" w:after="1"/>
              <w:ind w:left="0" w:right="0" w:hanging="0"/>
              <w:jc w:val="center"/>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Equity</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152,291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1,271,565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312,450</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(83,015)</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1,501,000</w:t>
            </w:r>
          </w:p>
        </w:tc>
      </w:tr>
      <w:tr>
        <w:trPr/>
        <w:tc>
          <w:tcPr>
            <w:tcW w:w="260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(26,287)</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(26,287)</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(6,683)</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(6,683)</w:t>
            </w:r>
          </w:p>
        </w:tc>
      </w:tr>
      <w:tr>
        <w:trPr/>
        <w:tc>
          <w:tcPr>
            <w:tcW w:w="260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Settlement of convertible debt conversion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(5,032)</w:t>
            </w:r>
          </w:p>
        </w:tc>
      </w:tr>
      <w:tr>
        <w:trPr/>
        <w:tc>
          <w:tcPr>
            <w:tcW w:w="260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Termination of capped calls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4,381</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(2,071)</w:t>
            </w:r>
          </w:p>
        </w:tc>
      </w:tr>
      <w:tr>
        <w:trPr/>
        <w:tc>
          <w:tcPr>
            <w:tcW w:w="260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1,598</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152,450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1,270,357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286,163</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(89,698)</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1,466,822</w:t>
            </w:r>
          </w:p>
        </w:tc>
      </w:tr>
      <w:tr>
        <w:trPr/>
        <w:tc>
          <w:tcPr>
            <w:tcW w:w="26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left"/>
              <w:rPr/>
            </w:pPr>
            <w:r>
              <w:rPr/>
              <w:t>​</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1,298,740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323,288</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(105,319)</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1,516,709</w:t>
            </w:r>
          </w:p>
        </w:tc>
      </w:tr>
      <w:tr>
        <w:trPr/>
        <w:tc>
          <w:tcPr>
            <w:tcW w:w="260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8,432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8,432</w:t>
            </w:r>
          </w:p>
        </w:tc>
      </w:tr>
      <w:tr>
        <w:trPr/>
        <w:tc>
          <w:tcPr>
            <w:tcW w:w="260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Repurchases of common stock</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19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(5,006)</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Activity in company stock plans, net and other</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(742)</w:t>
            </w:r>
          </w:p>
        </w:tc>
      </w:tr>
      <w:tr>
        <w:trPr/>
        <w:tc>
          <w:tcPr>
            <w:tcW w:w="260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1,492</w:t>
            </w:r>
          </w:p>
        </w:tc>
      </w:tr>
      <w:tr>
        <w:trPr/>
        <w:tc>
          <w:tcPr>
            <w:tcW w:w="260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151,494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1,294,484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318,123</w:t>
            </w:r>
          </w:p>
        </w:tc>
        <w:tc>
          <w:tcPr>
            <w:tcW w:w="326"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(96,887)</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1,515,720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83" w:name="_dc1a3e0e_6ea1_4490_8716_59c666115a7d"/>
      <w:bookmarkEnd w:id="383"/>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384" w:name="CONDENSEDCONSOLIDATEDSTATEMENTSOFCASHFLO"/>
      <w:bookmarkEnd w:id="384"/>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5" w:name="Tc_NepGNqvC50SpFYSrzTDCQA_45_5"/>
      <w:bookmarkStart w:id="386" w:name="Tc_IUjPjg2_K02bcbMqf7LmeA_45_2"/>
      <w:bookmarkStart w:id="387" w:name="Tc_b9ufyCwhyEOXnHSaratEow_45_0"/>
      <w:bookmarkStart w:id="388" w:name="Tc_ieo0fmRTzkaQcE_WbR_gUg_44_0"/>
      <w:bookmarkStart w:id="389" w:name="Tc_x6HIzAUVy0K37ULeMn_oXg_43_0"/>
      <w:bookmarkStart w:id="390" w:name="Tc__CY1kA-GuEGUIgL_mmXnzw_42_0"/>
      <w:bookmarkStart w:id="391" w:name="Tc_k4-cKibXpUyn0rx0FFnUew_41_0"/>
      <w:bookmarkStart w:id="392" w:name="Tc_S7b_QViHZUOqYXn5JmrSBw_39_0"/>
      <w:bookmarkStart w:id="393" w:name="Tc_CdDCmdTU7US4os3iHuOmqQ_38_0"/>
      <w:bookmarkStart w:id="394" w:name="Tc__hsaB4gU4EiZoXBtcFV8FQ_37_0"/>
      <w:bookmarkStart w:id="395" w:name="Tc_2H8MO_VEJ0qLNZ1jnneazQ_36_0"/>
      <w:bookmarkStart w:id="396" w:name="Tc_tEhIQzCpR0ivXlJFwvoXSA_35_6"/>
      <w:bookmarkStart w:id="397" w:name="Tc_pk7gpELit0S9o_dXysrieQ_35_0"/>
      <w:bookmarkStart w:id="398" w:name="Tc_Wlv6srTPAUSEB4faFBszjQ_34_6"/>
      <w:bookmarkStart w:id="399" w:name="Tc_-3bN41O3fUK_U2s2tDTSqQ_34_0"/>
      <w:bookmarkStart w:id="400" w:name="Tc_1_KXu66BAkK_Yld3M9318w_33_0"/>
      <w:bookmarkStart w:id="401" w:name="Tc_E1SnSvVbI0yna_j89EF3NQ_32_6"/>
      <w:bookmarkStart w:id="402" w:name="Tc_IhntlPyiXUSRgh7fDVfS9w_32_0"/>
      <w:bookmarkStart w:id="403" w:name="Tc_VQXFv73DQkmG5xINLMa11g_31_0"/>
      <w:bookmarkStart w:id="404" w:name="Tc_KOTEtc1jf0q17YcJQcwFIQ_29_0"/>
      <w:bookmarkStart w:id="405" w:name="Tc_C7MVorai506BsvlmBSbE2Q_28_6"/>
      <w:bookmarkStart w:id="406" w:name="Tc_DCsPhbnfvUO7iikJkIs_cg_28_0"/>
      <w:bookmarkStart w:id="407" w:name="Tc_wfUh3_eoY0Gf7W0cJ0OWXw_27_3"/>
      <w:bookmarkStart w:id="408" w:name="Tc_asONu5shvkCmiRI-vsJBWw_27_0"/>
      <w:bookmarkStart w:id="409" w:name="Tc_HSMqi6mQvkebnAQFpZkYWA_26_0"/>
      <w:bookmarkStart w:id="410" w:name="Tc_GLYpn82GSUes7JgCc5XXRQ_25_0"/>
      <w:bookmarkStart w:id="411" w:name="Tc_YTm3Le9AVkC5xZm6QLVNug_23_0"/>
      <w:bookmarkStart w:id="412" w:name="Tc_jn5yE7A9_kKeA7eKHUzj8Q_22_0"/>
      <w:bookmarkStart w:id="413" w:name="Tc_jWZOta999U2R9MUMwzdGfQ_21_0"/>
      <w:bookmarkStart w:id="414" w:name="Tc_HPcyWuWU2U20hWFiqcTQeQ_20_0"/>
      <w:bookmarkStart w:id="415" w:name="Tc_yt6rjCtN40SEHkrtfFlEdw_19_0"/>
      <w:bookmarkStart w:id="416" w:name="Tc_w6YMsStnTUSRCYQZgTt9KQ_18_0"/>
      <w:bookmarkStart w:id="417" w:name="Tc_7x7f-KT4pEGybnpstfclqQ_17_0"/>
      <w:bookmarkStart w:id="418" w:name="Tc_n9PbqVauQ0u0JUPyiF6BvQ_16_0"/>
      <w:bookmarkStart w:id="419" w:name="Tc_U0cVVG7jAUyARAYzcctgWA_15_3"/>
      <w:bookmarkStart w:id="420" w:name="Tc_s1vHQTsfwU-Pbnvz-Wl_LQ_15_0"/>
      <w:bookmarkStart w:id="421" w:name="Tc_kyXtLCRRI0K8oAdfZ1aS9w_14_0"/>
      <w:bookmarkStart w:id="422" w:name="Tc__INahfBc0k6qItTHd6iNoQ_13_6"/>
      <w:bookmarkStart w:id="423" w:name="Tc_-R55SykWw0aRFUFyjT1A2Q_13_0"/>
      <w:bookmarkStart w:id="424" w:name="Tc_tT8RQjOUB0OYYXwSz9066Q_12_0"/>
      <w:bookmarkStart w:id="425" w:name="Tc_gi-H-tSFFkKDmIyep24rug_11_0"/>
      <w:bookmarkStart w:id="426" w:name="Tc_pMBq46rdrUC90zEfAr2brQ_10_0"/>
      <w:bookmarkStart w:id="427" w:name="Tc_-f8XNl_Lqky-H8rgTULLCA_9_0"/>
      <w:bookmarkStart w:id="428" w:name="Tc_b0N1FvhUkk6VKr1qZ7EadQ_8_6"/>
      <w:bookmarkStart w:id="429" w:name="Tc_eg9mBcLqq0CSdO1cUbqo8w_8_0"/>
      <w:bookmarkStart w:id="430" w:name="Tc_LxwbWTgjCk2rQWk95ydHlA_7_0"/>
      <w:bookmarkStart w:id="431" w:name="Tc_e6jSZRLgKUaNra-gGt45rQ_6_0"/>
      <w:bookmarkStart w:id="432" w:name="Tc_Zh3FEM1BxUi4b4cMvXUXcQ_5_5"/>
      <w:bookmarkStart w:id="433" w:name="Tc_ImFwGHmUJ0mvhiy3zedxLA_5_2"/>
      <w:bookmarkStart w:id="434" w:name="Tc_FYa-YNLxx0WF-78hLCEVDQ_5_0"/>
      <w:bookmarkStart w:id="435" w:name="Tc_5BgzAzlC7kWrXICOUiMTBg_4_0"/>
      <w:bookmarkStart w:id="436" w:name="Tc_NjV_Pizakkax2EeYCdABfQ_3_5"/>
      <w:bookmarkStart w:id="437" w:name="Tc_VAQk4Y119UKkffirwDKNMg_3_2"/>
      <w:bookmarkStart w:id="438" w:name="Tc_CF5f14wP40OyNBSrLyEkGg_2_2"/>
      <w:bookmarkStart w:id="439" w:name="Tc_V9-_MrQ6NU-qbop4D65K-A_1_2"/>
      <w:bookmarkStart w:id="440" w:name="_3998c0c7_db44_429e_9867_29ed561ad449"/>
      <w:bookmarkStart w:id="441" w:name="Tc_NepGNqvC50SpFYSrzTDCQA_45_5"/>
      <w:bookmarkStart w:id="442" w:name="Tc_IUjPjg2_K02bcbMqf7LmeA_45_2"/>
      <w:bookmarkStart w:id="443" w:name="Tc_b9ufyCwhyEOXnHSaratEow_45_0"/>
      <w:bookmarkStart w:id="444" w:name="Tc_ieo0fmRTzkaQcE_WbR_gUg_44_0"/>
      <w:bookmarkStart w:id="445" w:name="Tc_x6HIzAUVy0K37ULeMn_oXg_43_0"/>
      <w:bookmarkStart w:id="446" w:name="Tc__CY1kA-GuEGUIgL_mmXnzw_42_0"/>
      <w:bookmarkStart w:id="447" w:name="Tc_k4-cKibXpUyn0rx0FFnUew_41_0"/>
      <w:bookmarkStart w:id="448" w:name="Tc_S7b_QViHZUOqYXn5JmrSBw_39_0"/>
      <w:bookmarkStart w:id="449" w:name="Tc_CdDCmdTU7US4os3iHuOmqQ_38_0"/>
      <w:bookmarkStart w:id="450" w:name="Tc__hsaB4gU4EiZoXBtcFV8FQ_37_0"/>
      <w:bookmarkStart w:id="451" w:name="Tc_2H8MO_VEJ0qLNZ1jnneazQ_36_0"/>
      <w:bookmarkStart w:id="452" w:name="Tc_tEhIQzCpR0ivXlJFwvoXSA_35_6"/>
      <w:bookmarkStart w:id="453" w:name="Tc_pk7gpELit0S9o_dXysrieQ_35_0"/>
      <w:bookmarkStart w:id="454" w:name="Tc_Wlv6srTPAUSEB4faFBszjQ_34_6"/>
      <w:bookmarkStart w:id="455" w:name="Tc_-3bN41O3fUK_U2s2tDTSqQ_34_0"/>
      <w:bookmarkStart w:id="456" w:name="Tc_1_KXu66BAkK_Yld3M9318w_33_0"/>
      <w:bookmarkStart w:id="457" w:name="Tc_E1SnSvVbI0yna_j89EF3NQ_32_6"/>
      <w:bookmarkStart w:id="458" w:name="Tc_IhntlPyiXUSRgh7fDVfS9w_32_0"/>
      <w:bookmarkStart w:id="459" w:name="Tc_VQXFv73DQkmG5xINLMa11g_31_0"/>
      <w:bookmarkStart w:id="460" w:name="Tc_KOTEtc1jf0q17YcJQcwFIQ_29_0"/>
      <w:bookmarkStart w:id="461" w:name="Tc_C7MVorai506BsvlmBSbE2Q_28_6"/>
      <w:bookmarkStart w:id="462" w:name="Tc_DCsPhbnfvUO7iikJkIs_cg_28_0"/>
      <w:bookmarkStart w:id="463" w:name="Tc_wfUh3_eoY0Gf7W0cJ0OWXw_27_3"/>
      <w:bookmarkStart w:id="464" w:name="Tc_asONu5shvkCmiRI-vsJBWw_27_0"/>
      <w:bookmarkStart w:id="465" w:name="Tc_HSMqi6mQvkebnAQFpZkYWA_26_0"/>
      <w:bookmarkStart w:id="466" w:name="Tc_GLYpn82GSUes7JgCc5XXRQ_25_0"/>
      <w:bookmarkStart w:id="467" w:name="Tc_YTm3Le9AVkC5xZm6QLVNug_23_0"/>
      <w:bookmarkStart w:id="468" w:name="Tc_jn5yE7A9_kKeA7eKHUzj8Q_22_0"/>
      <w:bookmarkStart w:id="469" w:name="Tc_jWZOta999U2R9MUMwzdGfQ_21_0"/>
      <w:bookmarkStart w:id="470" w:name="Tc_HPcyWuWU2U20hWFiqcTQeQ_20_0"/>
      <w:bookmarkStart w:id="471" w:name="Tc_yt6rjCtN40SEHkrtfFlEdw_19_0"/>
      <w:bookmarkStart w:id="472" w:name="Tc_w6YMsStnTUSRCYQZgTt9KQ_18_0"/>
      <w:bookmarkStart w:id="473" w:name="Tc_7x7f-KT4pEGybnpstfclqQ_17_0"/>
      <w:bookmarkStart w:id="474" w:name="Tc_n9PbqVauQ0u0JUPyiF6BvQ_16_0"/>
      <w:bookmarkStart w:id="475" w:name="Tc_U0cVVG7jAUyARAYzcctgWA_15_3"/>
      <w:bookmarkStart w:id="476" w:name="Tc_s1vHQTsfwU-Pbnvz-Wl_LQ_15_0"/>
      <w:bookmarkStart w:id="477" w:name="Tc_kyXtLCRRI0K8oAdfZ1aS9w_14_0"/>
      <w:bookmarkStart w:id="478" w:name="Tc__INahfBc0k6qItTHd6iNoQ_13_6"/>
      <w:bookmarkStart w:id="479" w:name="Tc_-R55SykWw0aRFUFyjT1A2Q_13_0"/>
      <w:bookmarkStart w:id="480" w:name="Tc_tT8RQjOUB0OYYXwSz9066Q_12_0"/>
      <w:bookmarkStart w:id="481" w:name="Tc_gi-H-tSFFkKDmIyep24rug_11_0"/>
      <w:bookmarkStart w:id="482" w:name="Tc_pMBq46rdrUC90zEfAr2brQ_10_0"/>
      <w:bookmarkStart w:id="483" w:name="Tc_-f8XNl_Lqky-H8rgTULLCA_9_0"/>
      <w:bookmarkStart w:id="484" w:name="Tc_b0N1FvhUkk6VKr1qZ7EadQ_8_6"/>
      <w:bookmarkStart w:id="485" w:name="Tc_eg9mBcLqq0CSdO1cUbqo8w_8_0"/>
      <w:bookmarkStart w:id="486" w:name="Tc_LxwbWTgjCk2rQWk95ydHlA_7_0"/>
      <w:bookmarkStart w:id="487" w:name="Tc_e6jSZRLgKUaNra-gGt45rQ_6_0"/>
      <w:bookmarkStart w:id="488" w:name="Tc_Zh3FEM1BxUi4b4cMvXUXcQ_5_5"/>
      <w:bookmarkStart w:id="489" w:name="Tc_ImFwGHmUJ0mvhiy3zedxLA_5_2"/>
      <w:bookmarkStart w:id="490" w:name="Tc_FYa-YNLxx0WF-78hLCEVDQ_5_0"/>
      <w:bookmarkStart w:id="491" w:name="Tc_5BgzAzlC7kWrXICOUiMTBg_4_0"/>
      <w:bookmarkStart w:id="492" w:name="Tc_NjV_Pizakkax2EeYCdABfQ_3_5"/>
      <w:bookmarkStart w:id="493" w:name="Tc_VAQk4Y119UKkffirwDKNMg_3_2"/>
      <w:bookmarkStart w:id="494" w:name="Tc_CF5f14wP40OyNBSrLyEkGg_2_2"/>
      <w:bookmarkStart w:id="495" w:name="Tc_V9-_MrQ6NU-qbop4D65K-A_1_2"/>
      <w:bookmarkStart w:id="496" w:name="_3998c0c7_db44_429e_9867_29ed561ad449"/>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tbl>
      <w:tblPr>
        <w:tblW w:w="9953" w:type="dxa"/>
        <w:jc w:val="left"/>
        <w:tblInd w:w="0" w:type="dxa"/>
        <w:tblLayout w:type="fixed"/>
        <w:tblCellMar>
          <w:top w:w="0" w:type="dxa"/>
          <w:left w:w="0" w:type="dxa"/>
          <w:bottom w:w="0" w:type="dxa"/>
          <w:right w:w="0" w:type="dxa"/>
        </w:tblCellMar>
      </w:tblPr>
      <w:tblGrid>
        <w:gridCol w:w="6886"/>
        <w:gridCol w:w="326"/>
        <w:gridCol w:w="211"/>
        <w:gridCol w:w="811"/>
        <w:gridCol w:w="326"/>
        <w:gridCol w:w="211"/>
        <w:gridCol w:w="811"/>
        <w:gridCol w:w="371"/>
      </w:tblGrid>
      <w:tr>
        <w:trPr/>
        <w:tc>
          <w:tcPr>
            <w:tcW w:w="6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14985" cy="175260"/>
                      <wp:effectExtent l="0" t="0" r="0" b="0"/>
                      <wp:wrapNone/>
                      <wp:docPr id="45" name="Frame4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14985" cy="175260"/>
                      <wp:effectExtent l="0" t="0" r="0" b="0"/>
                      <wp:wrapNone/>
                      <wp:docPr id="48" name="Frame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5585" cy="175260"/>
                      <wp:effectExtent l="0" t="0" r="0" b="0"/>
                      <wp:wrapNone/>
                      <wp:docPr id="49" name="Frame4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 xml:space="preserve">Three Months Ended </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March 31, </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2024</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9"/>
              </w:rPr>
            </w:pPr>
            <w:r>
              <w:rPr>
                <w:rFonts w:ascii="Arial;Helvetica;sans-serif" w:hAnsi="Arial;Helvetica;sans-serif"/>
                <w:b/>
                <w:sz w:val="19"/>
              </w:rPr>
              <w:t>2023</w:t>
            </w:r>
          </w:p>
        </w:tc>
        <w:tc>
          <w:tcPr>
            <w:tcW w:w="371" w:type="dxa"/>
            <w:tcBorders/>
            <w:vAlign w:val="center"/>
          </w:tcPr>
          <w:p>
            <w:pPr>
              <w:pStyle w:val="TableContents"/>
              <w:bidi w:val="0"/>
              <w:spacing w:before="0" w:after="1"/>
              <w:ind w:left="0" w:right="0" w:hanging="0"/>
              <w:jc w:val="center"/>
              <w:rPr/>
            </w:pPr>
            <w:r>
              <w:rPr/>
              <w:t>    </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(26,287)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(5,165)</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Adjustments to reconcile net loss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46,353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37,537</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Amortization of debt issuance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596</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1,711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1,575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(574)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(1,306)</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(Gain) loss on disposition of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150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Losses related to convertible senior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20,922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Unrealized foreign currency (gain)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2,117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(3,333)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Change in fair value of contingent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3,992</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59,059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(2,484)</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Income tax receivable, net of income tax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(2,510)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(2,419)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23,196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(1,961)</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(50,489)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(18,036)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Deferred recertification and dry dock costs,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(9,594)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(17,154)</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3,133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provided by (used in)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64,484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(5,392)</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Capital expenditures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(3,605)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(6,665)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sale of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365</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insurance 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363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(3,242)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(6,300)</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Payments related to convertible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(60,699)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Repayment of MARAD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(4,322)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(4,116)</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settlement of capped calls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4,381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Debt issuance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(984)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(4,177)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(4,983)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Payments related to tax withholding for share-based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(4,003)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(564)</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Proceeds from issuance of ESPP shares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500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239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(69,304)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(9,424)</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Effect of exchange rate changes on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(280)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1,187</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(8,342)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(19,929)</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886" w:type="dxa"/>
            <w:tcBorders/>
            <w:shd w:fill="CCEEFF" w:val="cle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beginning of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332,191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189,111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886" w:type="dxa"/>
            <w:tcBorders/>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Balance, end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323,849</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9"/>
              </w:rPr>
            </w:pPr>
            <w:r>
              <w:rPr>
                <w:rFonts w:ascii="Arial;Helvetica;sans-serif" w:hAnsi="Arial;Helvetica;sans-serif"/>
                <w:sz w:val="19"/>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169,182</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497" w:name="_582ff35a_c4d8_4362_826d_720e8078c5b4"/>
      <w:bookmarkStart w:id="498" w:name="_Hlk115244436"/>
      <w:bookmarkEnd w:id="497"/>
      <w:bookmarkEnd w:id="498"/>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bookmarkStart w:id="499" w:name="NOTESTOCONDENSEDCONSOLIDATEDFINANCIALSTA"/>
      <w:bookmarkEnd w:id="499"/>
      <w:r>
        <w:rPr>
          <w:rFonts w:ascii="Arial;Helvetica;sans-serif" w:hAnsi="Arial;Helvetica;sans-serif"/>
          <w:b/>
          <w:sz w:val="20"/>
        </w:rPr>
        <w:t>NOTES TO CONDENSED CONSOLIDATED FINANCIAL STATEMENTS (UNAUDITED)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 — Basis of Presentation and 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three-month period ended March 31, 2024 are not necessarily indicative of the results that may be expected for the year ending December 31, 2024. Our balance sheet as of December 31, 2023 included herein has been derived from the audited balance sheet as of December 31, 2023 included in our 2023 Annual Report on Form 10-K (our “2023 Form 10-K”). These unaudited condensed consolidated financial statements should be read in conjunction with the audited annual consolidated financial statements and notes thereto included in our 2023 Form 10-K.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Certain reclassifications were made to previously reported amounts in the consolidated financial statements and notes thereto to make them consistent with the current presentation format.</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New accounting standards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November 2023, the Financial Accounting Standards Board (the “FASB”) issued Accounting Standards Update (“ASU”) No. 2023-07, “Improvements to Reportable Segment Disclosures,” which requires entities to disclose, on an annual and interim basis, significant segment expenses that are regularly provided to the chief operating decision maker (the “CODM”) and included within each reported measure of segment profit or loss as well as an amount for other segment items by reportable segment and a description of its composition. ASU No. 2023-07 requires all annual disclosures about a reportable segment’s profit or loss and assets to be provided in interim periods as well. Among other things, this ASU also requires that a public entity disclose the title and position of the CODM and an explanation of how the CODM uses the reported measure(s) of segment profit or loss in assessing segment performance and deciding how to allocate resources. ASU No. 2023-07 will be effective on a retrospective basis for annual periods beginning January 1, 2024 and for interim periods beginning January 1, 2025. This ASU is not expected to have a material impact on our consolidated financial statements other than increased disclosure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the FASB issued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ASU No. 2023-09 will be effective for us for annual periods beginning January 1, 2025. This ASU is not expected to have a material impact on our consolidated financial statements other than increased disclosure requirements.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do not expect other recently issued accounting standards to have a material impact on our financial position, results of operations or cash flows when they become effective.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2 — Company Overview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an international offshore energy services company that provides specialty services to the offshore energy industry, with a focus on well intervention, robotics and decommissioning operations. Our services are key in supporting a global energy transition: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Production maximization</w:t>
            </w:r>
            <w:r>
              <w:rPr>
                <w:caps w:val="false"/>
                <w:smallCaps w:val="false"/>
              </w:rPr>
              <w:t xml:space="preserve"> — </w:t>
            </w:r>
            <w:r>
              <w:rPr>
                <w:rFonts w:ascii="Arial;Helvetica;sans-serif" w:hAnsi="Arial;Helvetica;sans-serif"/>
                <w:b w:val="false"/>
                <w:i w:val="false"/>
                <w:caps w:val="false"/>
                <w:smallCaps w:val="false"/>
                <w:sz w:val="20"/>
              </w:rPr>
              <w:t>our assets and methodologies are specifically designed to efficiently enhance and extend the lives of existing oil and gas reserves; we also offer an alternative to take over end-of-life reserves in preparation for their abandonment;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Decommissioning</w:t>
            </w:r>
            <w:r>
              <w:rPr>
                <w:caps w:val="false"/>
                <w:smallCaps w:val="false"/>
              </w:rPr>
              <w:t xml:space="preserve"> — </w:t>
            </w:r>
            <w:r>
              <w:rPr>
                <w:rFonts w:ascii="Arial;Helvetica;sans-serif" w:hAnsi="Arial;Helvetica;sans-serif"/>
                <w:b w:val="false"/>
                <w:i w:val="false"/>
                <w:caps w:val="false"/>
                <w:smallCaps w:val="false"/>
                <w:sz w:val="20"/>
              </w:rPr>
              <w:t>we are a full-field abandonment contractor and believe that regulatory push for plug and abandonment (“P&amp;A”) and transition to renewable energy will facilitate the continued growth of the abandonment market;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Renewables</w:t>
            </w:r>
            <w:r>
              <w:rPr>
                <w:caps w:val="false"/>
                <w:smallCaps w:val="false"/>
              </w:rPr>
              <w:t xml:space="preserve"> — </w:t>
            </w:r>
            <w:r>
              <w:rPr>
                <w:rFonts w:ascii="Arial;Helvetica;sans-serif" w:hAnsi="Arial;Helvetica;sans-serif"/>
                <w:b w:val="false"/>
                <w:i w:val="false"/>
                <w:caps w:val="false"/>
                <w:smallCaps w:val="false"/>
                <w:sz w:val="20"/>
              </w:rPr>
              <w:t>we are an established global leader in jet trenching and provide specialty support services to renewable energy developments such as offshore wind farms, including boulder removal and unexploded ordnance clearance.</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provide a range of services to the oil and gas and renewable energy markets primarily in the Gulf of Mexico (deepwater and shelf), U.S. East Coast, Brazil, North Sea, Asia Pacific and West Africa regions. Our North Sea operations and our Gulf of Mexico shelf operations are usually subject to seasonal changes in demand, which generally peaks in the summer months and declines in the winter months. Our services are segregated into four reportable business segments: Well Intervention, Robotics, Shallow Water Abandonment and Production Facilities.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Well Enhancer</w:t>
      </w:r>
      <w:r>
        <w:rPr>
          <w:rFonts w:ascii="Arial;Helvetica;sans-serif" w:hAnsi="Arial;Helvetica;sans-serif"/>
          <w:sz w:val="20"/>
        </w:rPr>
        <w:t xml:space="preserve">, and two chartered monohull vessels, the </w:t>
      </w:r>
      <w:r>
        <w:rPr>
          <w:rFonts w:ascii="Arial;Helvetica;sans-serif" w:hAnsi="Arial;Helvetica;sans-serif"/>
          <w:i/>
          <w:sz w:val="20"/>
        </w:rPr>
        <w:t>Siem H</w:t>
      </w:r>
      <w:r>
        <w:rPr>
          <w:rFonts w:ascii="Arial;Helvetica;sans-serif" w:hAnsi="Arial;Helvetica;sans-serif"/>
          <w:sz w:val="20"/>
        </w:rPr>
        <w:t>elix </w:t>
      </w:r>
      <w:r>
        <w:rPr>
          <w:rFonts w:ascii="Arial;Helvetica;sans-serif" w:hAnsi="Arial;Helvetica;sans-serif"/>
          <w:i/>
          <w:sz w:val="20"/>
        </w:rPr>
        <w:t>1</w:t>
      </w:r>
      <w:r>
        <w:rPr>
          <w:rFonts w:ascii="Arial;Helvetica;sans-serif" w:hAnsi="Arial;Helvetica;sans-serif"/>
          <w:sz w:val="20"/>
        </w:rPr>
        <w:t xml:space="preserve"> and the </w:t>
      </w:r>
      <w:r>
        <w:rPr>
          <w:rFonts w:ascii="Arial;Helvetica;sans-serif" w:hAnsi="Arial;Helvetica;sans-serif"/>
          <w:i/>
          <w:sz w:val="20"/>
        </w:rPr>
        <w:t>Siem Helix 2</w:t>
      </w:r>
      <w:r>
        <w:rPr>
          <w:rFonts w:ascii="Arial;Helvetica;sans-serif" w:hAnsi="Arial;Helvetica;sans-serif"/>
          <w:sz w:val="20"/>
        </w:rPr>
        <w:t>. Our well intervention equipment includes intervention systems such as intervention riser systems (“IRSs”), subsea intervention lubricators (“SILs”) and the Riserless Open-water Abandonment Module, some of which we provide on a stand-alone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segment provides services in support of the upstream and midstream ‎industries predominantly in the Gulf of Mexico shelf, including offshore oilfield decommissioning and ‎reclamation, project management, engineered solutions, intervention, maintenance, repair, heavy lift and commercial diving services. Our Shallow Water Abandonment segment includes Helix Alliance that was acquired in July 2022, which offers a diversified fleet of marine assets including liftboats, offshore supply vessels (“OSVs”), dive support vessels (“DSVs”), a heavy lift derrick barge, a crew boat, P&amp;A systems and coiled tubing (“CT”) systems.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segment includes the </w:t>
      </w:r>
      <w:r>
        <w:rPr>
          <w:rFonts w:ascii="Arial;Helvetica;sans-serif" w:hAnsi="Arial;Helvetica;sans-serif"/>
          <w:i/>
          <w:sz w:val="20"/>
        </w:rPr>
        <w:t>Helix Producer</w:t>
      </w:r>
      <w:r>
        <w:rPr>
          <w:rFonts w:ascii="Arial;Helvetica;sans-serif" w:hAnsi="Arial;Helvetica;sans-serif"/>
          <w:sz w:val="20"/>
        </w:rPr>
        <w:t> </w:t>
      </w:r>
      <w:r>
        <w:rPr>
          <w:rFonts w:ascii="Arial;Helvetica;sans-serif" w:hAnsi="Arial;Helvetica;sans-serif"/>
          <w:i/>
          <w:sz w:val="20"/>
        </w:rPr>
        <w:t>I</w:t>
      </w:r>
      <w:r>
        <w:rPr>
          <w:rFonts w:ascii="Arial;Helvetica;sans-serif" w:hAnsi="Arial;Helvetica;sans-serif"/>
          <w:sz w:val="20"/>
        </w:rPr>
        <w:t xml:space="preserve"> (the “</w:t>
      </w:r>
      <w:r>
        <w:rPr>
          <w:rFonts w:ascii="Arial;Helvetica;sans-serif" w:hAnsi="Arial;Helvetica;sans-serif"/>
          <w:i/>
          <w:sz w:val="20"/>
        </w:rPr>
        <w:t>HP I</w:t>
      </w:r>
      <w:r>
        <w:rPr>
          <w:rFonts w:ascii="Arial;Helvetica;sans-serif" w:hAnsi="Arial;Helvetica;sans-serif"/>
          <w:sz w:val="20"/>
        </w:rPr>
        <w:t xml:space="preserve">”), a ship-shaped dynamically positioned floating production vessel, the Helix Fast Response System (the “HFRS”), which combines the </w:t>
      </w:r>
      <w:r>
        <w:rPr>
          <w:rFonts w:ascii="Arial;Helvetica;sans-serif" w:hAnsi="Arial;Helvetica;sans-serif"/>
          <w:i/>
          <w:sz w:val="20"/>
        </w:rPr>
        <w:t>HP 1</w:t>
      </w:r>
      <w:r>
        <w:rPr>
          <w:rFonts w:ascii="Arial;Helvetica;sans-serif" w:hAnsi="Arial;Helvetica;sans-serif"/>
          <w:sz w:val="20"/>
        </w:rPr>
        <w:t xml:space="preserve">,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with certain well control equipment that can be deployed to respond to a well control incident, and our ownership of mature oil and gas properties. All of our current Production Facilities activities are located in the Gulf of Mexico.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500" w:name="Tc_SH0Ui5hhX0WB1cPsIeg5VA_9_5"/>
      <w:bookmarkStart w:id="501" w:name="Tc_GOUDjUXoyUaJGQEt3CxSVA_9_2"/>
      <w:bookmarkStart w:id="502" w:name="Tc_-Plt5B-kA0mvkurHMnUILA_9_0"/>
      <w:bookmarkStart w:id="503" w:name="Tc_AXxCz7WEGUmll4CvZo7Skw_8_0"/>
      <w:bookmarkStart w:id="504" w:name="Tc_QGF3snpkC02SNEsRi9u66Q_7_0"/>
      <w:bookmarkStart w:id="505" w:name="Tc_9vPWTbZbIUaUZEyByqeAnw_6_0"/>
      <w:bookmarkStart w:id="506" w:name="Tc_bBlQkm5ZGE6-RsB96_a65w_5_3"/>
      <w:bookmarkStart w:id="507" w:name="Tc_RXPJhPhRUUWACUO03mvttA_5_0"/>
      <w:bookmarkStart w:id="508" w:name="Tc_iI7qpt_qj0O2hu2lYofguQ_4_0"/>
      <w:bookmarkStart w:id="509" w:name="Tc_2wEv1P6q10ec92UPHsidQQ_3_5"/>
      <w:bookmarkStart w:id="510" w:name="Tc_ZVcRjwfYFUC0QfHIdnwKEg_3_2"/>
      <w:bookmarkStart w:id="511" w:name="Tc_G77osurryU6JQG6frK5SHg_3_0"/>
      <w:bookmarkStart w:id="512" w:name="Tc_RvSzJzqb6EOl6sCKrcqtAw_2_5"/>
      <w:bookmarkStart w:id="513" w:name="Tc_ep32HD-VLkmPWlBo7n996A_2_2"/>
      <w:bookmarkStart w:id="514" w:name="Tc_2HIjBVRapkeAWmcf0V1oZQ_1_5"/>
      <w:bookmarkStart w:id="515" w:name="Tc_HgxUnJgc0ka2C8uh1qxFOQ_1_2"/>
      <w:bookmarkStart w:id="516" w:name="_a3ff5a9d_4c0e_4126_ad9b_ddbef402b6a0"/>
      <w:bookmarkStart w:id="517" w:name="Tc_t3rUPLNGFUqJ_qJmxLOFSw_8_5"/>
      <w:bookmarkStart w:id="518" w:name="Tc_WMw4UIs87kiD9ZCz_gHeaQ_8_2"/>
      <w:bookmarkStart w:id="519" w:name="Tc_vE5Odf82jEOkMf8LcO8gzg_8_0"/>
      <w:bookmarkStart w:id="520" w:name="Tc_DILDwmq8-kufYF0exmJAKw_7_0"/>
      <w:bookmarkStart w:id="521" w:name="Tc_t5WEjZbdvUWe7GivOWwIUA_6_0"/>
      <w:bookmarkStart w:id="522" w:name="Tc_9wWXYKrwjUuYR8jOWX5Akg_5_0"/>
      <w:bookmarkStart w:id="523" w:name="Tc_3ZzKVUG-70aDBrAlWmaYlQ_4_0"/>
      <w:bookmarkStart w:id="524" w:name="Tc_tU1E45G9pki3OZYfj7IedQ_3_5"/>
      <w:bookmarkStart w:id="525" w:name="Tc_DUJ0DyS-OUOwqCWdu9fNMQ_3_2"/>
      <w:bookmarkStart w:id="526" w:name="Tc_sD7YhFoTvUObe08lAfxCPg_3_0"/>
      <w:bookmarkStart w:id="527" w:name="Tc_cpZmYPs4H0Wm2hPCKA7nFQ_2_5"/>
      <w:bookmarkStart w:id="528" w:name="Tc_UoA3rG944k-UddXKjlvuuA_2_2"/>
      <w:bookmarkStart w:id="529" w:name="Tc_Ov_JBDx5EkiWjTWvzopAtg_1_5"/>
      <w:bookmarkStart w:id="530" w:name="Tc_WGICWe7NnE-AINxtbx48aw_1_2"/>
      <w:bookmarkStart w:id="531" w:name="_0abacb42_57b8_447d_8868_c58cbeccf6a6"/>
      <w:bookmarkStart w:id="532" w:name="Tc_X1u3PzoxXEWv-63zQJtzLA_8_5"/>
      <w:bookmarkStart w:id="533" w:name="Tc_faB32YWcZkaXb4E-zHivSQ_8_2"/>
      <w:bookmarkStart w:id="534" w:name="Tc_SAzZ9ERCl0SuZBOozXBtog_8_0"/>
      <w:bookmarkStart w:id="535" w:name="Tc_z98LMxZXKEyJNf4s_-P5xg_7_0"/>
      <w:bookmarkStart w:id="536" w:name="Tc_xXXPFzRNv0K93YuQGycu3Q_6_0"/>
      <w:bookmarkStart w:id="537" w:name="Tc_9yKH3HaNpEmtXTwUWTFEhA_5_0"/>
      <w:bookmarkStart w:id="538" w:name="Tc_sRUGRx4A00uv1ezI9h7G9A_4_6"/>
      <w:bookmarkStart w:id="539" w:name="Tc_wNUVoR37zkyYMZDFSOOceg_4_0"/>
      <w:bookmarkStart w:id="540" w:name="Tc_6rGgest3hEuitK7XLtktcw_3_5"/>
      <w:bookmarkStart w:id="541" w:name="Tc_33NPtxfIo0ynSelROvon5g_3_2"/>
      <w:bookmarkStart w:id="542" w:name="Tc_bZgRCmiuX0-IjCPb_2SORQ_3_0"/>
      <w:bookmarkStart w:id="543" w:name="Tc_PpmkD1zQAEGmLOeNC_Kd8w_2_5"/>
      <w:bookmarkStart w:id="544" w:name="Tc_ed5F71fGc0yIvLLlcwcGoQ_2_2"/>
      <w:bookmarkStart w:id="545" w:name="Tc_X7lFjVChikmvr1RMK0mu3A_1_5"/>
      <w:bookmarkStart w:id="546" w:name="Tc_9t06as9Z30-NfHj0hyW5VQ_1_2"/>
      <w:bookmarkStart w:id="547" w:name="_6de66bd6_b159_4d26_a2e4_6df2c78160a4"/>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Pr>
          <w:rFonts w:ascii="Arial;Helvetica;sans-serif" w:hAnsi="Arial;Helvetica;sans-serif"/>
          <w:b/>
          <w:sz w:val="20"/>
        </w:rPr>
        <w:t>Note 3 — Details of Certain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current assets consist of the following (in thousands):</w:t>
      </w:r>
    </w:p>
    <w:p>
      <w:pPr>
        <w:pStyle w:val="TextBody"/>
        <w:bidi w:val="0"/>
        <w:spacing w:before="0" w:after="240"/>
        <w:ind w:left="0" w:right="0" w:firstLine="720"/>
        <w:jc w:val="left"/>
        <w:rPr/>
      </w:pPr>
      <w:r>
        <w:rPr/>
        <w:t>​</w:t>
      </w:r>
    </w:p>
    <w:tbl>
      <w:tblPr>
        <w:tblW w:w="5543" w:type="dxa"/>
        <w:jc w:val="left"/>
        <w:tblInd w:w="0" w:type="dxa"/>
        <w:tblLayout w:type="fixed"/>
        <w:tblCellMar>
          <w:top w:w="0" w:type="dxa"/>
          <w:left w:w="0" w:type="dxa"/>
          <w:bottom w:w="0" w:type="dxa"/>
          <w:right w:w="0" w:type="dxa"/>
        </w:tblCellMar>
      </w:tblPr>
      <w:tblGrid>
        <w:gridCol w:w="2356"/>
        <w:gridCol w:w="326"/>
        <w:gridCol w:w="249"/>
        <w:gridCol w:w="816"/>
        <w:gridCol w:w="326"/>
        <w:gridCol w:w="303"/>
        <w:gridCol w:w="1167"/>
      </w:tblGrid>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8115" cy="175260"/>
                      <wp:effectExtent l="0" t="0" r="0" b="0"/>
                      <wp:wrapNone/>
                      <wp:docPr id="51" name="Frame5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18160" cy="175260"/>
                      <wp:effectExtent l="0" t="0" r="0" b="0"/>
                      <wp:wrapNone/>
                      <wp:docPr id="52" name="Frame51"/>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2405" cy="175260"/>
                      <wp:effectExtent l="0" t="0" r="0" b="0"/>
                      <wp:wrapNone/>
                      <wp:docPr id="54" name="Frame5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41045" cy="175260"/>
                      <wp:effectExtent l="0" t="0" r="0" b="0"/>
                      <wp:wrapNone/>
                      <wp:docPr id="55" name="Frame54"/>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Prepaids</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23,813</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28,352</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receivable</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pPr>
            <w:r>
              <w:rPr/>
              <w:t>—</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Contract assets (Note 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5,520</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5,824</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costs (Note 8)</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21,581</w:t>
            </w:r>
          </w:p>
        </w:tc>
        <w:tc>
          <w:tcPr>
            <w:tcW w:w="32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36,041</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10,703</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15,006</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current assets</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62,064</w:t>
            </w:r>
          </w:p>
        </w:tc>
        <w:tc>
          <w:tcPr>
            <w:tcW w:w="32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85,223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assets, net consist of the following (in thousands):</w:t>
      </w:r>
    </w:p>
    <w:p>
      <w:pPr>
        <w:pStyle w:val="TextBody"/>
        <w:bidi w:val="0"/>
        <w:spacing w:before="0" w:after="0"/>
        <w:ind w:left="0" w:right="0" w:firstLine="720"/>
        <w:jc w:val="left"/>
        <w:rPr/>
      </w:pPr>
      <w:r>
        <w:rPr/>
        <w:t>​</w:t>
      </w:r>
    </w:p>
    <w:tbl>
      <w:tblPr>
        <w:tblW w:w="6533" w:type="dxa"/>
        <w:jc w:val="left"/>
        <w:tblInd w:w="0" w:type="dxa"/>
        <w:tblLayout w:type="fixed"/>
        <w:tblCellMar>
          <w:top w:w="0" w:type="dxa"/>
          <w:left w:w="0" w:type="dxa"/>
          <w:bottom w:w="0" w:type="dxa"/>
          <w:right w:w="0" w:type="dxa"/>
        </w:tblCellMar>
      </w:tblPr>
      <w:tblGrid>
        <w:gridCol w:w="3346"/>
        <w:gridCol w:w="326"/>
        <w:gridCol w:w="249"/>
        <w:gridCol w:w="816"/>
        <w:gridCol w:w="326"/>
        <w:gridCol w:w="303"/>
        <w:gridCol w:w="1167"/>
      </w:tblGrid>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8115" cy="175260"/>
                      <wp:effectExtent l="0" t="0" r="0" b="0"/>
                      <wp:wrapNone/>
                      <wp:docPr id="57" name="Frame5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18160" cy="175260"/>
                      <wp:effectExtent l="0" t="0" r="0" b="0"/>
                      <wp:wrapNone/>
                      <wp:docPr id="58" name="Frame57"/>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92405" cy="175260"/>
                      <wp:effectExtent l="0" t="0" r="0" b="0"/>
                      <wp:wrapNone/>
                      <wp:docPr id="60" name="Frame5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41045" cy="175260"/>
                      <wp:effectExtent l="0" t="0" r="0" b="0"/>
                      <wp:wrapNone/>
                      <wp:docPr id="61" name="Frame60"/>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Prepaid charter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12,544</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costs (Note 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2,450</w:t>
            </w:r>
          </w:p>
        </w:tc>
        <w:tc>
          <w:tcPr>
            <w:tcW w:w="32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587</w:t>
            </w:r>
          </w:p>
        </w:tc>
      </w:tr>
      <w:tr>
        <w:trPr/>
        <w:tc>
          <w:tcPr>
            <w:tcW w:w="334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receivable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26,236</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pPr>
            <w:r>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25,623</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Intangible assets with finite lives, net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3,968</w:t>
            </w:r>
          </w:p>
        </w:tc>
        <w:tc>
          <w:tcPr>
            <w:tcW w:w="326" w:type="dxa"/>
            <w:tcBorders/>
            <w:vAlign w:val="center"/>
          </w:tcPr>
          <w:p>
            <w:pPr>
              <w:pStyle w:val="TableContents"/>
              <w:bidi w:val="0"/>
              <w:spacing w:before="0" w:after="1"/>
              <w:ind w:left="0" w:right="0" w:hanging="0"/>
              <w:jc w:val="left"/>
              <w:rPr/>
            </w:pPr>
            <w:r>
              <w:rPr/>
              <w:t> </w:t>
            </w:r>
          </w:p>
        </w:tc>
        <w:tc>
          <w:tcPr>
            <w:tcW w:w="303"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4,105</w:t>
            </w:r>
          </w:p>
        </w:tc>
      </w:tr>
      <w:tr>
        <w:trPr/>
        <w:tc>
          <w:tcPr>
            <w:tcW w:w="33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1,848</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1,964</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assets, net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47,046</w:t>
            </w:r>
          </w:p>
        </w:tc>
        <w:tc>
          <w:tcPr>
            <w:tcW w:w="326" w:type="dxa"/>
            <w:tcBorders/>
            <w:vAlign w:val="center"/>
          </w:tcPr>
          <w:p>
            <w:pPr>
              <w:pStyle w:val="TableContents"/>
              <w:bidi w:val="0"/>
              <w:spacing w:before="0" w:after="1"/>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44,823</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Represents prepayments to the owner of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1</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2</w:t>
            </w:r>
            <w:r>
              <w:rPr>
                <w:caps w:val="false"/>
                <w:smallCaps w:val="false"/>
              </w:rPr>
              <w:t xml:space="preserve"> </w:t>
            </w:r>
            <w:r>
              <w:rPr>
                <w:rFonts w:ascii="Arial;Helvetica;sans-serif" w:hAnsi="Arial;Helvetica;sans-serif"/>
                <w:b w:val="false"/>
                <w:i w:val="false"/>
                <w:caps w:val="false"/>
                <w:smallCaps w:val="false"/>
                <w:sz w:val="20"/>
              </w:rPr>
              <w:t>to offset certain payment obligations associated with the vessels at the end of their respective charter term.</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present value of the agreed-upon amounts that we are entitled to receive from Marathon Oil Corporation (“Marathon Oil”) for remaining P&amp;A work to be performed by us on Droshky oil and gas properties we acquired from Marathon Oil in 2019.</w:t>
            </w:r>
          </w:p>
        </w:tc>
      </w:tr>
    </w:tbl>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Accrued liabilities consist of the following (in thousands):</w:t>
      </w:r>
    </w:p>
    <w:p>
      <w:pPr>
        <w:pStyle w:val="TextBody"/>
        <w:bidi w:val="0"/>
        <w:spacing w:before="0" w:after="240"/>
        <w:ind w:left="0" w:right="0" w:firstLine="720"/>
        <w:jc w:val="left"/>
        <w:rPr/>
      </w:pPr>
      <w:r>
        <w:rPr/>
        <w:t>​</w:t>
      </w:r>
    </w:p>
    <w:tbl>
      <w:tblPr>
        <w:tblW w:w="6428" w:type="dxa"/>
        <w:jc w:val="left"/>
        <w:tblInd w:w="0" w:type="dxa"/>
        <w:tblLayout w:type="fixed"/>
        <w:tblCellMar>
          <w:top w:w="0" w:type="dxa"/>
          <w:left w:w="0" w:type="dxa"/>
          <w:bottom w:w="0" w:type="dxa"/>
          <w:right w:w="0" w:type="dxa"/>
        </w:tblCellMar>
      </w:tblPr>
      <w:tblGrid>
        <w:gridCol w:w="3241"/>
        <w:gridCol w:w="326"/>
        <w:gridCol w:w="223"/>
        <w:gridCol w:w="842"/>
        <w:gridCol w:w="326"/>
        <w:gridCol w:w="275"/>
        <w:gridCol w:w="1195"/>
      </w:tblGrid>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1605" cy="175260"/>
                      <wp:effectExtent l="0" t="0" r="0" b="0"/>
                      <wp:wrapNone/>
                      <wp:docPr id="63" name="Frame6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34670" cy="175260"/>
                      <wp:effectExtent l="0" t="0" r="0" b="0"/>
                      <wp:wrapNone/>
                      <wp:docPr id="64" name="Frame63"/>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74625" cy="175260"/>
                      <wp:effectExtent l="0" t="0" r="0" b="0"/>
                      <wp:wrapNone/>
                      <wp:docPr id="66" name="Frame6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58825" cy="175260"/>
                      <wp:effectExtent l="0" t="0" r="0" b="0"/>
                      <wp:wrapNone/>
                      <wp:docPr id="67" name="Frame66"/>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center"/>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payroll and related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31,472</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59,010</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interest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2,720</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4,181</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1,938</w:t>
            </w:r>
          </w:p>
        </w:tc>
      </w:tr>
      <w:tr>
        <w:trPr/>
        <w:tc>
          <w:tcPr>
            <w:tcW w:w="32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 (Note 8)</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20,856</w:t>
            </w:r>
          </w:p>
        </w:tc>
        <w:tc>
          <w:tcPr>
            <w:tcW w:w="326" w:type="dxa"/>
            <w:tcBorders/>
            <w:vAlign w:val="center"/>
          </w:tcPr>
          <w:p>
            <w:pPr>
              <w:pStyle w:val="TableContents"/>
              <w:bidi w:val="0"/>
              <w:spacing w:before="0" w:after="1"/>
              <w:ind w:left="0" w:right="0" w:hanging="0"/>
              <w:jc w:val="left"/>
              <w:rPr/>
            </w:pPr>
            <w:r>
              <w:rPr/>
              <w:t> </w:t>
            </w:r>
          </w:p>
        </w:tc>
        <w:tc>
          <w:tcPr>
            <w:tcW w:w="275" w:type="dxa"/>
            <w:tcBorders/>
            <w:vAlign w:val="center"/>
          </w:tcPr>
          <w:p>
            <w:pPr>
              <w:pStyle w:val="TableContents"/>
              <w:bidi w:val="0"/>
              <w:spacing w:before="0" w:after="1"/>
              <w:ind w:left="0" w:right="0" w:hanging="0"/>
              <w:jc w:val="left"/>
              <w:rPr/>
            </w:pPr>
            <w:r>
              <w:rPr/>
              <w:t>​</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32,763</w:t>
            </w:r>
          </w:p>
        </w:tc>
      </w:tr>
      <w:tr>
        <w:trPr/>
        <w:tc>
          <w:tcPr>
            <w:tcW w:w="324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Earn-out consideration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shd w:fill="CCEEFF" w:val="clear"/>
            <w:vAlign w:val="center"/>
          </w:tcPr>
          <w:p>
            <w:pPr>
              <w:pStyle w:val="TableContents"/>
              <w:bidi w:val="0"/>
              <w:spacing w:before="0" w:after="1"/>
              <w:ind w:left="0" w:right="0" w:hanging="0"/>
              <w:jc w:val="left"/>
              <w:rPr/>
            </w:pPr>
            <w:r>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r>
      <w:tr>
        <w:trPr/>
        <w:tc>
          <w:tcPr>
            <w:tcW w:w="324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23,749</w:t>
            </w:r>
          </w:p>
        </w:tc>
        <w:tc>
          <w:tcPr>
            <w:tcW w:w="326" w:type="dxa"/>
            <w:tcBorders/>
            <w:vAlign w:val="center"/>
          </w:tcPr>
          <w:p>
            <w:pPr>
              <w:pStyle w:val="TableContents"/>
              <w:bidi w:val="0"/>
              <w:spacing w:before="0" w:after="1"/>
              <w:ind w:left="0" w:right="0" w:hanging="0"/>
              <w:jc w:val="left"/>
              <w:rPr/>
            </w:pPr>
            <w:r>
              <w:rPr/>
              <w:t> </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20,220</w:t>
            </w:r>
          </w:p>
        </w:tc>
      </w:tr>
      <w:tr>
        <w:trPr/>
        <w:tc>
          <w:tcPr>
            <w:tcW w:w="32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163,797</w:t>
            </w:r>
          </w:p>
        </w:tc>
        <w:tc>
          <w:tcPr>
            <w:tcW w:w="326" w:type="dxa"/>
            <w:tcBorders/>
            <w:shd w:fill="CCEEFF" w:val="clear"/>
            <w:vAlign w:val="center"/>
          </w:tcPr>
          <w:p>
            <w:pPr>
              <w:pStyle w:val="TableContents"/>
              <w:bidi w:val="0"/>
              <w:spacing w:before="0" w:after="1"/>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203,112</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final amount of the earn-out consideration associated with the acquisition of the Alliance group of companies (collectively “Alliance”) on July 1, 2022, which was paid to the seller of Alliance in cash on April 3, 2024.</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Amounts as of March 31, 2024 and December 31, 2023 included $11.6</w:t>
            </w:r>
            <w:r>
              <w:rPr>
                <w:caps w:val="false"/>
                <w:smallCaps w:val="false"/>
              </w:rPr>
              <w:t xml:space="preserve"> </w:t>
            </w:r>
            <w:r>
              <w:rPr>
                <w:rFonts w:ascii="Arial;Helvetica;sans-serif" w:hAnsi="Arial;Helvetica;sans-serif"/>
                <w:b w:val="false"/>
                <w:i w:val="false"/>
                <w:caps w:val="false"/>
                <w:smallCaps w:val="false"/>
                <w:sz w:val="20"/>
              </w:rPr>
              <w:t>million and $9.0</w:t>
            </w:r>
            <w:r>
              <w:rPr>
                <w:caps w:val="false"/>
                <w:smallCaps w:val="false"/>
              </w:rPr>
              <w:t xml:space="preserve"> </w:t>
            </w:r>
            <w:r>
              <w:rPr>
                <w:rFonts w:ascii="Arial;Helvetica;sans-serif" w:hAnsi="Arial;Helvetica;sans-serif"/>
                <w:b w:val="false"/>
                <w:i w:val="false"/>
                <w:caps w:val="false"/>
                <w:smallCaps w:val="false"/>
                <w:sz w:val="20"/>
              </w:rPr>
              <w:t>million, respectively, of credits towards future services that we granted for the purchase of</w:t>
            </w:r>
            <w:r>
              <w:rPr>
                <w:caps w:val="false"/>
                <w:smallCaps w:val="false"/>
              </w:rPr>
              <w:t xml:space="preserve"> </w:t>
            </w:r>
            <w:r>
              <w:rPr>
                <w:rFonts w:ascii="Arial;Helvetica;sans-serif" w:hAnsi="Arial;Helvetica;sans-serif"/>
                <w:b w:val="false"/>
                <w:i w:val="false"/>
                <w:caps w:val="false"/>
                <w:smallCaps w:val="false"/>
                <w:sz w:val="20"/>
              </w:rPr>
              <w:t>five</w:t>
            </w:r>
            <w:r>
              <w:rPr>
                <w:caps w:val="false"/>
                <w:smallCaps w:val="false"/>
              </w:rPr>
              <w:t xml:space="preserve"> </w:t>
            </w:r>
            <w:r>
              <w:rPr>
                <w:rFonts w:ascii="Arial;Helvetica;sans-serif" w:hAnsi="Arial;Helvetica;sans-serif"/>
                <w:b w:val="false"/>
                <w:i w:val="false"/>
                <w:caps w:val="false"/>
                <w:smallCaps w:val="false"/>
                <w:sz w:val="20"/>
              </w:rPr>
              <w:t>P&amp;A systems and other assets.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548" w:name="Tc_ohu1dimteUiX9BCIZz56jQ_5_5"/>
      <w:bookmarkStart w:id="549" w:name="Tc_9fCtUqVGfkiiJT5lACCxcA_5_2"/>
      <w:bookmarkStart w:id="550" w:name="Tc_2eyUCl07G0OO-t3y--RqlQ_5_0"/>
      <w:bookmarkStart w:id="551" w:name="Tc_RIlvnZ3r5EmXNqKBoJTweQ_4_0"/>
      <w:bookmarkStart w:id="552" w:name="Tc_-gGAzD3xSUylpU7zEiqwXA_3_5"/>
      <w:bookmarkStart w:id="553" w:name="Tc_6oGwyaT_QUaymu_ilDDcCw_3_2"/>
      <w:bookmarkStart w:id="554" w:name="Tc_MOPa4zEHjk6nG698MzohuA_3_0"/>
      <w:bookmarkStart w:id="555" w:name="Tc_7ByKej79GU262HhRPzP9IA_2_5"/>
      <w:bookmarkStart w:id="556" w:name="Tc_4Ovmal2QQ06uvf8jEE_ERg_2_2"/>
      <w:bookmarkStart w:id="557" w:name="Tc_CN4xCNmysk-EVH0tD9MPrQ_1_5"/>
      <w:bookmarkStart w:id="558" w:name="Tc_K1rJoRjHHE2eLeofqu5nwQ_1_2"/>
      <w:bookmarkStart w:id="559" w:name="_c0e38dfd_e717_445a_8858_70836d22dc2b"/>
      <w:bookmarkEnd w:id="548"/>
      <w:bookmarkEnd w:id="549"/>
      <w:bookmarkEnd w:id="550"/>
      <w:bookmarkEnd w:id="551"/>
      <w:bookmarkEnd w:id="552"/>
      <w:bookmarkEnd w:id="553"/>
      <w:bookmarkEnd w:id="554"/>
      <w:bookmarkEnd w:id="555"/>
      <w:bookmarkEnd w:id="556"/>
      <w:bookmarkEnd w:id="557"/>
      <w:bookmarkEnd w:id="558"/>
      <w:bookmarkEnd w:id="559"/>
      <w:r>
        <w:rPr>
          <w:rFonts w:ascii="Arial;Helvetica;sans-serif" w:hAnsi="Arial;Helvetica;sans-serif"/>
          <w:sz w:val="20"/>
        </w:rPr>
        <w:t>Other non-current liabilities consist of the following (in thousands):</w:t>
      </w:r>
    </w:p>
    <w:p>
      <w:pPr>
        <w:pStyle w:val="TextBody"/>
        <w:bidi w:val="0"/>
        <w:spacing w:before="0" w:after="240"/>
        <w:ind w:left="0" w:right="0" w:firstLine="720"/>
        <w:jc w:val="left"/>
        <w:rPr/>
      </w:pPr>
      <w:r>
        <w:rPr/>
        <w:t>​</w:t>
      </w:r>
    </w:p>
    <w:tbl>
      <w:tblPr>
        <w:tblW w:w="6593" w:type="dxa"/>
        <w:jc w:val="left"/>
        <w:tblInd w:w="0" w:type="dxa"/>
        <w:tblLayout w:type="fixed"/>
        <w:tblCellMar>
          <w:top w:w="0" w:type="dxa"/>
          <w:left w:w="0" w:type="dxa"/>
          <w:bottom w:w="0" w:type="dxa"/>
          <w:right w:w="0" w:type="dxa"/>
        </w:tblCellMar>
      </w:tblPr>
      <w:tblGrid>
        <w:gridCol w:w="3406"/>
        <w:gridCol w:w="326"/>
        <w:gridCol w:w="249"/>
        <w:gridCol w:w="816"/>
        <w:gridCol w:w="326"/>
        <w:gridCol w:w="303"/>
        <w:gridCol w:w="1167"/>
      </w:tblGrid>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58115" cy="175260"/>
                      <wp:effectExtent l="0" t="0" r="0" b="0"/>
                      <wp:wrapNone/>
                      <wp:docPr id="69" name="Frame6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18160" cy="175260"/>
                      <wp:effectExtent l="0" t="0" r="0" b="0"/>
                      <wp:wrapNone/>
                      <wp:docPr id="70" name="Frame69"/>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2405" cy="175260"/>
                      <wp:effectExtent l="0" t="0" r="0" b="0"/>
                      <wp:wrapNone/>
                      <wp:docPr id="72" name="Frame7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41045" cy="175260"/>
                      <wp:effectExtent l="0" t="0" r="0" b="0"/>
                      <wp:wrapNone/>
                      <wp:docPr id="73" name="Frame72"/>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 retirement obligations (Note 12)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62,732</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61,356</w:t>
            </w:r>
          </w:p>
        </w:tc>
      </w:tr>
      <w:tr>
        <w:trPr/>
        <w:tc>
          <w:tcPr>
            <w:tcW w:w="340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Other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2,700</w:t>
            </w:r>
          </w:p>
        </w:tc>
        <w:tc>
          <w:tcPr>
            <w:tcW w:w="326" w:type="dxa"/>
            <w:tcBorders/>
            <w:vAlign w:val="center"/>
          </w:tcPr>
          <w:p>
            <w:pPr>
              <w:pStyle w:val="TableContents"/>
              <w:bidi w:val="0"/>
              <w:spacing w:before="0" w:after="1"/>
              <w:ind w:left="0" w:right="0" w:hanging="0"/>
              <w:jc w:val="left"/>
              <w:rPr/>
            </w:pPr>
            <w:r>
              <w:rPr/>
              <w:t> </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4,892</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65,432</w:t>
            </w:r>
          </w:p>
        </w:tc>
        <w:tc>
          <w:tcPr>
            <w:tcW w:w="326" w:type="dxa"/>
            <w:tcBorders/>
            <w:shd w:fill="CCEEFF" w:val="clear"/>
            <w:vAlign w:val="center"/>
          </w:tcPr>
          <w:p>
            <w:pPr>
              <w:pStyle w:val="TableContents"/>
              <w:bidi w:val="0"/>
              <w:spacing w:before="0" w:after="1"/>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66,248</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Amount as of December 31, 2023 included $2.6</w:t>
            </w:r>
            <w:r>
              <w:rPr>
                <w:caps w:val="false"/>
                <w:smallCaps w:val="false"/>
              </w:rPr>
              <w:t xml:space="preserve"> </w:t>
            </w:r>
            <w:r>
              <w:rPr>
                <w:rFonts w:ascii="Arial;Helvetica;sans-serif" w:hAnsi="Arial;Helvetica;sans-serif"/>
                <w:b w:val="false"/>
                <w:i w:val="false"/>
                <w:caps w:val="false"/>
                <w:smallCaps w:val="false"/>
                <w:sz w:val="20"/>
              </w:rPr>
              <w:t>million of credits offered by us in exchange for the purchase of P&amp;A equipment (see above).</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560" w:name="Tc_XkTgPydMfUOxBHm43tnWJA_15_8"/>
      <w:bookmarkStart w:id="561" w:name="Tc_IG5X_7RBLUG_0ZRutfdFNw_15_5"/>
      <w:bookmarkStart w:id="562" w:name="Tc_twzCqtH2UkyyfzDhby3PzA_15_2"/>
      <w:bookmarkStart w:id="563" w:name="Tc_5cMvs9K3KUe5nTriQGO-8g_15_0"/>
      <w:bookmarkStart w:id="564" w:name="Tc_ZVYRKBuuXkmTYZ_6NIT-HA_14_0"/>
      <w:bookmarkStart w:id="565" w:name="Tc_TPnQ5UyAP06r7hOnMrd_OA_13_8"/>
      <w:bookmarkStart w:id="566" w:name="Tc_3T000Lo_tEKFka4ACpuu6w_13_5"/>
      <w:bookmarkStart w:id="567" w:name="Tc_KA8GyJMWckyUON3N0uL6fQ_13_2"/>
      <w:bookmarkStart w:id="568" w:name="Tc_1hT-g9aUJE68G51zNjjt1g_13_0"/>
      <w:bookmarkStart w:id="569" w:name="Tc_-jcj7HZJ7U-QDfG3bbdGgw_11_8"/>
      <w:bookmarkStart w:id="570" w:name="Tc_WeT2B_uLR0updn5_reO0sg_11_5"/>
      <w:bookmarkStart w:id="571" w:name="Tc_8P7nWKbspESuBPFiwUgTEA_11_2"/>
      <w:bookmarkStart w:id="572" w:name="Tc_0pNzcS6RZkit2gohFr8Wqw_11_0"/>
      <w:bookmarkStart w:id="573" w:name="Tc_XpJH3iI5zU2GwHa6rTxrew_10_0"/>
      <w:bookmarkStart w:id="574" w:name="Tc_IgJpEf7nEkmqyRDAn8cl2g_9_8"/>
      <w:bookmarkStart w:id="575" w:name="Tc_uJRsdzoKvEu2V7_2fXAQqg_9_5"/>
      <w:bookmarkStart w:id="576" w:name="Tc_jJEjEq9kwUKSir-Nfiq83g_9_2"/>
      <w:bookmarkStart w:id="577" w:name="Tc_Nj_tVgK000i6VPQuIVRGaA_9_0"/>
      <w:bookmarkStart w:id="578" w:name="Tc_se9KNAEQCUCKmzkqhYt3GA_8_0"/>
      <w:bookmarkStart w:id="579" w:name="Tc_nYuaBht5RkuFnU7CPnN16g_7_0"/>
      <w:bookmarkStart w:id="580" w:name="Tc_ANgVklA3KEunv1z48HgEhQ_6_0"/>
      <w:bookmarkStart w:id="581" w:name="Tc_Hw-nqygRzkK4PilyFiGIkA_5_0"/>
      <w:bookmarkStart w:id="582" w:name="Tc_RA2-BAzTMUieFMZK7dXtzg_4_0"/>
      <w:bookmarkStart w:id="583" w:name="Tc_nZ2QlMJlQ0ii4VrcwnfjwQ_3_8"/>
      <w:bookmarkStart w:id="584" w:name="Tc_WavNOctCCEO64dBvM_VsgA_3_5"/>
      <w:bookmarkStart w:id="585" w:name="Tc_cVKAt1gfXkq_tqzG0FxENA_3_2"/>
      <w:bookmarkStart w:id="586" w:name="Tc_76-HKe6lzECxDL_bw3YfEA_3_0"/>
      <w:bookmarkStart w:id="587" w:name="Tc_Ep7z7GTaAUalXYXHLmlAkw_2_8"/>
      <w:bookmarkStart w:id="588" w:name="Tc_45v-Jtcwr0Wq61mrru9YiA_2_5"/>
      <w:bookmarkStart w:id="589" w:name="Tc_HhZ_j27mf0CUH1ZqogEyAg_2_2"/>
      <w:bookmarkStart w:id="590" w:name="Tc_oEizTO2V8kKlxkNoRe6PAg_1_5"/>
      <w:bookmarkStart w:id="591" w:name="_894f9919_3306_4bf2_be97_13f1dfc8727d"/>
      <w:bookmarkStart w:id="592" w:name="Tc_7eXhKRooZE2N-8m3nycPug_8_5"/>
      <w:bookmarkStart w:id="593" w:name="Tc_Gks35-XSsUeYLCb2OVlPnA_8_2"/>
      <w:bookmarkStart w:id="594" w:name="Tc__n5ASvxIfEKmTcp7rc2htw_8_0"/>
      <w:bookmarkStart w:id="595" w:name="Tc_gdwYLMLd4Eact0AW2WAkjw_7_0"/>
      <w:bookmarkStart w:id="596" w:name="Tc_43yk9hz91E-IsWV55ZvKew_6_0"/>
      <w:bookmarkStart w:id="597" w:name="Tc_w-Bw91MqyU2fUfEdAfyEEw_5_0"/>
      <w:bookmarkStart w:id="598" w:name="Tc_WN9x1ufob0KW9hOBF6IHow_4_5"/>
      <w:bookmarkStart w:id="599" w:name="Tc_wgd5F3kum027qawOtZaa_w_4_2"/>
      <w:bookmarkStart w:id="600" w:name="Tc_unyJdaq1AUKSdyOTq3NhZw_4_0"/>
      <w:bookmarkStart w:id="601" w:name="Tc_KgcoU1ZoPU-dGfHVAw5vBw_3_5"/>
      <w:bookmarkStart w:id="602" w:name="Tc_WDvaBICfGE2kDHmhPH-otA_3_2"/>
      <w:bookmarkStart w:id="603" w:name="Tc_3ggGrtgTQkSttv86ucu3vQ_2_2"/>
      <w:bookmarkStart w:id="604" w:name="Tc_4y4BTIW-dkWVRgTJ7by-wg_1_2"/>
      <w:bookmarkStart w:id="605" w:name="_5815b568_cda6_4a89_b819_fb63f2c0c290"/>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Pr>
          <w:rFonts w:ascii="Arial;Helvetica;sans-serif" w:hAnsi="Arial;Helvetica;sans-serif"/>
          <w:b/>
          <w:sz w:val="20"/>
        </w:rPr>
        <w:t>Note 4 — 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charter vessels and lease facilities and equipment under non-cancelable contracts that expire on various dates through 2031.</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lease cost (in thousands):</w:t>
      </w:r>
    </w:p>
    <w:p>
      <w:pPr>
        <w:pStyle w:val="TextBody"/>
        <w:bidi w:val="0"/>
        <w:spacing w:before="0" w:after="240"/>
        <w:ind w:left="0" w:right="0" w:firstLine="720"/>
        <w:jc w:val="left"/>
        <w:rPr/>
      </w:pPr>
      <w:r>
        <w:rPr/>
        <w:t>​</w:t>
      </w:r>
    </w:p>
    <w:tbl>
      <w:tblPr>
        <w:tblW w:w="4569" w:type="dxa"/>
        <w:jc w:val="left"/>
        <w:tblInd w:w="0" w:type="dxa"/>
        <w:tblLayout w:type="fixed"/>
        <w:tblCellMar>
          <w:top w:w="0" w:type="dxa"/>
          <w:left w:w="0" w:type="dxa"/>
          <w:bottom w:w="0" w:type="dxa"/>
          <w:right w:w="0" w:type="dxa"/>
        </w:tblCellMar>
      </w:tblPr>
      <w:tblGrid>
        <w:gridCol w:w="1996"/>
        <w:gridCol w:w="326"/>
        <w:gridCol w:w="211"/>
        <w:gridCol w:w="691"/>
        <w:gridCol w:w="326"/>
        <w:gridCol w:w="211"/>
        <w:gridCol w:w="808"/>
      </w:tblGrid>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38785" cy="175260"/>
                      <wp:effectExtent l="0" t="0" r="0" b="0"/>
                      <wp:wrapNone/>
                      <wp:docPr id="76" name="Frame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13080" cy="175260"/>
                      <wp:effectExtent l="0" t="0" r="0" b="0"/>
                      <wp:wrapNone/>
                      <wp:docPr id="79" name="Frame78"/>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20,475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17,006</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4,910</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8,914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6,977</w:t>
            </w:r>
          </w:p>
        </w:tc>
      </w:tr>
      <w:tr>
        <w:trPr/>
        <w:tc>
          <w:tcPr>
            <w:tcW w:w="19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Sublease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w:t>
            </w:r>
          </w:p>
        </w:tc>
      </w:tr>
      <w:tr>
        <w:trPr/>
        <w:tc>
          <w:tcPr>
            <w:tcW w:w="19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28,562</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March 31, 2024 are as follows (in thousands):</w:t>
      </w:r>
    </w:p>
    <w:p>
      <w:pPr>
        <w:pStyle w:val="TextBody"/>
        <w:bidi w:val="0"/>
        <w:spacing w:before="0" w:after="240"/>
        <w:ind w:left="0" w:right="0" w:firstLine="720"/>
        <w:jc w:val="left"/>
        <w:rPr/>
      </w:pPr>
      <w:r>
        <w:rPr/>
        <w:t>​</w:t>
      </w:r>
    </w:p>
    <w:tbl>
      <w:tblPr>
        <w:tblW w:w="7943" w:type="dxa"/>
        <w:jc w:val="left"/>
        <w:tblInd w:w="0" w:type="dxa"/>
        <w:tblLayout w:type="fixed"/>
        <w:tblCellMar>
          <w:top w:w="0" w:type="dxa"/>
          <w:left w:w="0" w:type="dxa"/>
          <w:bottom w:w="0" w:type="dxa"/>
          <w:right w:w="0" w:type="dxa"/>
        </w:tblCellMar>
      </w:tblPr>
      <w:tblGrid>
        <w:gridCol w:w="3316"/>
        <w:gridCol w:w="326"/>
        <w:gridCol w:w="211"/>
        <w:gridCol w:w="916"/>
        <w:gridCol w:w="326"/>
        <w:gridCol w:w="315"/>
        <w:gridCol w:w="1035"/>
        <w:gridCol w:w="326"/>
        <w:gridCol w:w="211"/>
        <w:gridCol w:w="961"/>
      </w:tblGrid>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81660" cy="175260"/>
                      <wp:effectExtent l="0" t="0" r="0" b="0"/>
                      <wp:wrapNone/>
                      <wp:docPr id="82" name="Frame8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0025" cy="175260"/>
                      <wp:effectExtent l="0" t="0" r="0" b="0"/>
                      <wp:wrapNone/>
                      <wp:docPr id="84" name="Frame83"/>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225" cy="175260"/>
                      <wp:effectExtent l="0" t="0" r="0" b="0"/>
                      <wp:wrapNone/>
                      <wp:docPr id="85" name="Frame84"/>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10235" cy="175260"/>
                      <wp:effectExtent l="0" t="0" r="0" b="0"/>
                      <wp:wrapNone/>
                      <wp:docPr id="88" name="Frame8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5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Vessels</w:t>
            </w:r>
          </w:p>
        </w:tc>
        <w:tc>
          <w:tcPr>
            <w:tcW w:w="326" w:type="dxa"/>
            <w:tcBorders/>
            <w:vAlign w:val="center"/>
          </w:tcPr>
          <w:p>
            <w:pPr>
              <w:pStyle w:val="TableContents"/>
              <w:bidi w:val="0"/>
              <w:spacing w:before="0" w:after="1"/>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75,235</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6,232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81,467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76,992</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79,567</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63,907</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65,177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61,941</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63,203</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53,539</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54,708</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125,999</w:t>
            </w:r>
          </w:p>
        </w:tc>
        <w:tc>
          <w:tcPr>
            <w:tcW w:w="32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1,656</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127,655</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457,613</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14,164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471,777</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(100,746)</w:t>
            </w:r>
          </w:p>
        </w:tc>
        <w:tc>
          <w:tcPr>
            <w:tcW w:w="32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(102,534)</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356,867</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12,376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369,243</w:t>
            </w:r>
          </w:p>
        </w:tc>
      </w:tr>
      <w:tr>
        <w:trPr/>
        <w:tc>
          <w:tcPr>
            <w:tcW w:w="33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49,135</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5,757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54,892</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307,732</w:t>
            </w:r>
          </w:p>
        </w:tc>
        <w:tc>
          <w:tcPr>
            <w:tcW w:w="326" w:type="dxa"/>
            <w:tcBorders/>
            <w:vAlign w:val="center"/>
          </w:tcPr>
          <w:p>
            <w:pPr>
              <w:pStyle w:val="TableContents"/>
              <w:bidi w:val="0"/>
              <w:spacing w:before="0" w:after="1"/>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6,619</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314,351</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356,867</w:t>
            </w:r>
          </w:p>
        </w:tc>
        <w:tc>
          <w:tcPr>
            <w:tcW w:w="326" w:type="dxa"/>
            <w:tcBorders/>
            <w:shd w:fill="CCEEFF" w:val="clear"/>
            <w:vAlign w:val="center"/>
          </w:tcPr>
          <w:p>
            <w:pPr>
              <w:pStyle w:val="TableContents"/>
              <w:bidi w:val="0"/>
              <w:spacing w:before="0" w:after="1"/>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12,376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369,243</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606" w:name="Tc_mhYZh-vTCUugPuXOT1w73g_5_0"/>
      <w:bookmarkStart w:id="607" w:name="Tc_cjF06XXdi0Sm5b676OhCdA_4_5"/>
      <w:bookmarkStart w:id="608" w:name="Tc_1pv11Wum1kWz56VNQVbQ_A_4_2"/>
      <w:bookmarkStart w:id="609" w:name="Tc_Rg1uAqWv5Uq69uIpiu8JTg_4_0"/>
      <w:bookmarkStart w:id="610" w:name="Tc_GcbDQCdCBU6aqN-Afq18VQ_3_5"/>
      <w:bookmarkStart w:id="611" w:name="Tc_iqxBtlLi30eGMPhvTx1kyw_3_2"/>
      <w:bookmarkStart w:id="612" w:name="Tc_N3AWWFoAz0CEBblsWdfrKw_2_2"/>
      <w:bookmarkStart w:id="613" w:name="Tc_VQESmQYJKkWSeUH8xudFaA_1_2"/>
      <w:bookmarkStart w:id="614" w:name="_bdc31c5c_b885_4a6a_8f96_8e56da4fc7da"/>
      <w:bookmarkStart w:id="615" w:name="Tc_5DPE47U8tUqIqw5eLw-ZMQ_4_6"/>
      <w:bookmarkStart w:id="616" w:name="Tc_Vt5JvOFxZEiHj1TLcWh59g_4_3"/>
      <w:bookmarkStart w:id="617" w:name="Tc_Pf2d3BgS90KQc8QHY-MQvg_4_0"/>
      <w:bookmarkStart w:id="618" w:name="Tc_qgnSGxA27EeSuiroDxsnmg_3_6"/>
      <w:bookmarkStart w:id="619" w:name="Tc_91yO1JyKH06PwBr-DPfAeA_3_3"/>
      <w:bookmarkStart w:id="620" w:name="Tc_iciwFmA03kmoXMa_q6SBYA_3_0"/>
      <w:bookmarkStart w:id="621" w:name="Tc_e_wVGJQqWke0xzJLz0S-Cw_2_5"/>
      <w:bookmarkStart w:id="622" w:name="Tc_BXvLby-O3UGZxNJjfPhIPQ_2_2"/>
      <w:bookmarkStart w:id="623" w:name="Tc_EufsgFbXwEe3TU7usR6Ucw_1_5"/>
      <w:bookmarkStart w:id="624" w:name="Tc__0ogVVufdkC0kEYhJ5IKTQ_1_2"/>
      <w:bookmarkStart w:id="625" w:name="_dcb7d764_413d_4029_9877_b9dc0aedaf7a"/>
      <w:bookmarkStart w:id="626" w:name="Tc_z26ChgJMUEej3car4bCWHg_15_8"/>
      <w:bookmarkStart w:id="627" w:name="Tc_A2mcPbn_BUy2vjjpQB39wA_15_5"/>
      <w:bookmarkStart w:id="628" w:name="Tc_pIWJB4ipKkKRff4cyjHJYw_15_2"/>
      <w:bookmarkStart w:id="629" w:name="Tc_iRVoW67a90WQYlCdLWmARQ_15_0"/>
      <w:bookmarkStart w:id="630" w:name="Tc_QiDjW-JGHUe9tuZxq9tK-Q_14_0"/>
      <w:bookmarkStart w:id="631" w:name="Tc_17vlHDPBaUukNn4dBFeMfQ_13_8"/>
      <w:bookmarkStart w:id="632" w:name="Tc_f-gXvvnU-06vQx0mJB0v2A_13_5"/>
      <w:bookmarkStart w:id="633" w:name="Tc_C5VuUCWKAEOV3YB8BSac6Q_13_2"/>
      <w:bookmarkStart w:id="634" w:name="Tc_WW9CeXqgb0OM0oKmNT2lZQ_13_0"/>
      <w:bookmarkStart w:id="635" w:name="Tc_DfrQTiVhJkaQQDbaOupEwg_11_8"/>
      <w:bookmarkStart w:id="636" w:name="Tc_uY1VEMK5XEqH3CMBMdVmsQ_11_5"/>
      <w:bookmarkStart w:id="637" w:name="Tc_in7ASrzOTkursUX-Ubzrzg_11_2"/>
      <w:bookmarkStart w:id="638" w:name="Tc_Qsy1u7aTdEa8tkc8aGqoVg_11_0"/>
      <w:bookmarkStart w:id="639" w:name="Tc_Yt86Qi_QakuXBeD_TqwY3A_10_0"/>
      <w:bookmarkStart w:id="640" w:name="Tc_rhcUzQENl0OdwXY0qk8qgQ_9_8"/>
      <w:bookmarkStart w:id="641" w:name="Tc_KlWHQdMTdUOC7u4er33xkQ_9_5"/>
      <w:bookmarkStart w:id="642" w:name="Tc_AG8DlV3ME0CfazKZFC93GQ_9_2"/>
      <w:bookmarkStart w:id="643" w:name="Tc_0HsdegQOLkCwUxmV6udFrQ_9_0"/>
      <w:bookmarkStart w:id="644" w:name="Tc_0GE0Ftgw5U6tJxNnGaYYQQ_8_3"/>
      <w:bookmarkStart w:id="645" w:name="Tc_O9wFwb8B5Um0ZwDFVn8DzQ_8_0"/>
      <w:bookmarkStart w:id="646" w:name="Tc_i8jqGDnR9UKIfFcmACzEAw_7_0"/>
      <w:bookmarkStart w:id="647" w:name="Tc_08LSgMdYzU-hIxBqccz5zg_6_0"/>
      <w:bookmarkStart w:id="648" w:name="Tc_0uSNXcOVm0Ga5YYgv6Qssw_5_0"/>
      <w:bookmarkStart w:id="649" w:name="Tc_Z38OU7ipOU-FFMRwVLaDfA_4_0"/>
      <w:bookmarkStart w:id="650" w:name="Tc_U7iE_CCIikCnw9EhxZEXvw_3_8"/>
      <w:bookmarkStart w:id="651" w:name="Tc_qDPbwXue_UyZIw-F53C7Rg_3_5"/>
      <w:bookmarkStart w:id="652" w:name="Tc_H3zELsB2xEKEwADq7NL83A_3_2"/>
      <w:bookmarkStart w:id="653" w:name="Tc_FRkmNzc7PUK9BQ0MeS6Tng_3_0"/>
      <w:bookmarkStart w:id="654" w:name="Tc_yMdrVPS79kuLP3XmhgSQ7A_2_8"/>
      <w:bookmarkStart w:id="655" w:name="Tc_MV0Ca7XqIEKdqDFUYQr92g_2_5"/>
      <w:bookmarkStart w:id="656" w:name="Tc_cvV2tiW-OEyY_y37qEWDxw_2_2"/>
      <w:bookmarkStart w:id="657" w:name="Tc_V1eKECGJPk-QkdP9T3tiHQ_1_5"/>
      <w:bookmarkStart w:id="658" w:name="_2fc97759_1d90_49a8_8242_fb3ef4c48b40"/>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Pr>
          <w:rFonts w:ascii="Arial;Helvetica;sans-serif" w:hAnsi="Arial;Helvetica;sans-serif"/>
          <w:sz w:val="20"/>
        </w:rPr>
        <w:t>Maturities of our operating lease liabilities as of December 31, 2023 are as follows (in thousands):</w:t>
      </w:r>
    </w:p>
    <w:p>
      <w:pPr>
        <w:pStyle w:val="TextBody"/>
        <w:bidi w:val="0"/>
        <w:spacing w:before="0" w:after="240"/>
        <w:ind w:left="0" w:right="0" w:firstLine="720"/>
        <w:jc w:val="left"/>
        <w:rPr/>
      </w:pPr>
      <w:r>
        <w:rPr/>
        <w:t>​</w:t>
      </w:r>
    </w:p>
    <w:tbl>
      <w:tblPr>
        <w:tblW w:w="7790" w:type="dxa"/>
        <w:jc w:val="left"/>
        <w:tblInd w:w="0" w:type="dxa"/>
        <w:tblLayout w:type="fixed"/>
        <w:tblCellMar>
          <w:top w:w="0" w:type="dxa"/>
          <w:left w:w="0" w:type="dxa"/>
          <w:bottom w:w="0" w:type="dxa"/>
          <w:right w:w="0" w:type="dxa"/>
        </w:tblCellMar>
      </w:tblPr>
      <w:tblGrid>
        <w:gridCol w:w="3316"/>
        <w:gridCol w:w="326"/>
        <w:gridCol w:w="211"/>
        <w:gridCol w:w="811"/>
        <w:gridCol w:w="326"/>
        <w:gridCol w:w="315"/>
        <w:gridCol w:w="1035"/>
        <w:gridCol w:w="326"/>
        <w:gridCol w:w="211"/>
        <w:gridCol w:w="913"/>
      </w:tblGrid>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14985" cy="175260"/>
                      <wp:effectExtent l="0" t="0" r="0" b="0"/>
                      <wp:wrapNone/>
                      <wp:docPr id="91" name="Frame9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0025" cy="175260"/>
                      <wp:effectExtent l="0" t="0" r="0" b="0"/>
                      <wp:wrapNone/>
                      <wp:docPr id="93" name="Frame9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57225" cy="175260"/>
                      <wp:effectExtent l="0" t="0" r="0" b="0"/>
                      <wp:wrapNone/>
                      <wp:docPr id="94" name="Frame93"/>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9755" cy="175260"/>
                      <wp:effectExtent l="0" t="0" r="0" b="0"/>
                      <wp:wrapNone/>
                      <wp:docPr id="97" name="Frame96"/>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26" w:type="dxa"/>
            <w:tcBorders/>
            <w:vAlign w:val="center"/>
          </w:tcPr>
          <w:p>
            <w:pPr>
              <w:pStyle w:val="TableContents"/>
              <w:bidi w:val="0"/>
              <w:spacing w:before="0" w:after="0"/>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67,488</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6,639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74,127</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55,453</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58,961</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35,200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36,489</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26,245</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27,517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3,040</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4,284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1,926</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187,426</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15,878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203,304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(22,419)</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(24,457)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165,007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178,847</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56,602</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62,662</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108,405</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7,780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116,185</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165,007</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13,840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Arial;Helvetica;sans-serif" w:hAnsi="Arial;Helvetica;sans-serif"/>
                <w:sz w:val="20"/>
              </w:rPr>
            </w:pPr>
            <w:r>
              <w:rPr>
                <w:rFonts w:ascii="Arial;Helvetica;sans-serif" w:hAnsi="Arial;Helvetica;sans-serif"/>
                <w:sz w:val="20"/>
              </w:rPr>
              <w:t>178,847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weighted average remaining lease term and discount rate:</w:t>
      </w:r>
    </w:p>
    <w:p>
      <w:pPr>
        <w:pStyle w:val="TextBody"/>
        <w:bidi w:val="0"/>
        <w:spacing w:before="0" w:after="240"/>
        <w:ind w:left="0" w:right="0" w:firstLine="720"/>
        <w:jc w:val="left"/>
        <w:rPr/>
      </w:pPr>
      <w:r>
        <w:rPr/>
        <w:t>​</w:t>
      </w:r>
    </w:p>
    <w:tbl>
      <w:tblPr>
        <w:tblW w:w="6528" w:type="dxa"/>
        <w:jc w:val="left"/>
        <w:tblInd w:w="0" w:type="dxa"/>
        <w:tblLayout w:type="fixed"/>
        <w:tblCellMar>
          <w:top w:w="0" w:type="dxa"/>
          <w:left w:w="0" w:type="dxa"/>
          <w:bottom w:w="0" w:type="dxa"/>
          <w:right w:w="0" w:type="dxa"/>
        </w:tblCellMar>
      </w:tblPr>
      <w:tblGrid>
        <w:gridCol w:w="3556"/>
        <w:gridCol w:w="326"/>
        <w:gridCol w:w="481"/>
        <w:gridCol w:w="586"/>
        <w:gridCol w:w="109"/>
        <w:gridCol w:w="635"/>
        <w:gridCol w:w="835"/>
      </w:tblGrid>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05435" cy="175260"/>
                      <wp:effectExtent l="0" t="0" r="0" b="0"/>
                      <wp:wrapNone/>
                      <wp:docPr id="99" name="Frame9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72110" cy="175260"/>
                      <wp:effectExtent l="0" t="0" r="0" b="0"/>
                      <wp:wrapNone/>
                      <wp:docPr id="100" name="Frame9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03225" cy="175260"/>
                      <wp:effectExtent l="0" t="0" r="0" b="0"/>
                      <wp:wrapNone/>
                      <wp:docPr id="102" name="Frame101"/>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30225" cy="175260"/>
                      <wp:effectExtent l="0" t="0" r="0" b="0"/>
                      <wp:wrapNone/>
                      <wp:docPr id="103" name="Frame10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5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remaining lease term</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5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w:t>
            </w:r>
          </w:p>
        </w:tc>
        <w:tc>
          <w:tcPr>
            <w:tcW w:w="83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years</w:t>
            </w:r>
          </w:p>
        </w:tc>
      </w:tr>
      <w:tr>
        <w:trPr/>
        <w:tc>
          <w:tcPr>
            <w:tcW w:w="35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 average discount rate</w:t>
            </w:r>
          </w:p>
        </w:tc>
        <w:tc>
          <w:tcPr>
            <w:tcW w:w="32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7.96</w:t>
            </w:r>
          </w:p>
        </w:tc>
        <w:tc>
          <w:tcPr>
            <w:tcW w:w="5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109"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8.20</w:t>
            </w:r>
          </w:p>
        </w:tc>
        <w:tc>
          <w:tcPr>
            <w:tcW w:w="83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other information related to our operating leases (in thousands):</w:t>
      </w:r>
    </w:p>
    <w:p>
      <w:pPr>
        <w:pStyle w:val="TextBody"/>
        <w:bidi w:val="0"/>
        <w:spacing w:before="0" w:after="240"/>
        <w:ind w:left="0" w:right="0" w:firstLine="720"/>
        <w:jc w:val="left"/>
        <w:rPr/>
      </w:pPr>
      <w:r>
        <w:rPr/>
        <w:t>​</w:t>
      </w:r>
    </w:p>
    <w:tbl>
      <w:tblPr>
        <w:tblW w:w="9447" w:type="dxa"/>
        <w:jc w:val="left"/>
        <w:tblInd w:w="0" w:type="dxa"/>
        <w:tblLayout w:type="fixed"/>
        <w:tblCellMar>
          <w:top w:w="0" w:type="dxa"/>
          <w:left w:w="0" w:type="dxa"/>
          <w:bottom w:w="0" w:type="dxa"/>
          <w:right w:w="0" w:type="dxa"/>
        </w:tblCellMar>
      </w:tblPr>
      <w:tblGrid>
        <w:gridCol w:w="6841"/>
        <w:gridCol w:w="326"/>
        <w:gridCol w:w="211"/>
        <w:gridCol w:w="796"/>
        <w:gridCol w:w="326"/>
        <w:gridCol w:w="211"/>
        <w:gridCol w:w="736"/>
      </w:tblGrid>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05460" cy="175260"/>
                      <wp:effectExtent l="0" t="0" r="0" b="0"/>
                      <wp:wrapNone/>
                      <wp:docPr id="106" name="Frame1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67360" cy="175260"/>
                      <wp:effectExtent l="0" t="0" r="0" b="0"/>
                      <wp:wrapNone/>
                      <wp:docPr id="109" name="Frame10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8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6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8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18,720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16,184</w:t>
            </w:r>
          </w:p>
        </w:tc>
      </w:tr>
      <w:tr>
        <w:trPr/>
        <w:tc>
          <w:tcPr>
            <w:tcW w:w="684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Right-of-use assets obtained in exchange for new operating lease liabilities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203,040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6,070</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Our operating lease additions during the three-month period ended March 31, 2024 are primarily related to the charter extensions for</w:t>
            </w:r>
            <w:r>
              <w:rPr>
                <w:caps w:val="false"/>
                <w:smallCaps w:val="false"/>
              </w:rPr>
              <w:t xml:space="preserve"> </w:t>
            </w:r>
            <w:r>
              <w:rPr>
                <w:rFonts w:ascii="Arial;Helvetica;sans-serif" w:hAnsi="Arial;Helvetica;sans-serif"/>
                <w:b w:val="false"/>
                <w:i w:val="false"/>
                <w:caps w:val="false"/>
                <w:smallCaps w:val="false"/>
                <w:sz w:val="20"/>
              </w:rPr>
              <w:t xml:space="preserve">the </w:t>
            </w:r>
            <w:r>
              <w:rPr>
                <w:rFonts w:ascii="Arial;Helvetica;sans-serif" w:hAnsi="Arial;Helvetica;sans-serif"/>
                <w:b w:val="false"/>
                <w:i/>
                <w:sz w:val="20"/>
              </w:rPr>
              <w:t>Siem Helix 1</w:t>
            </w:r>
            <w:r>
              <w:rPr>
                <w:rFonts w:ascii="Arial;Helvetica;sans-serif" w:hAnsi="Arial;Helvetica;sans-serif"/>
                <w:b w:val="false"/>
                <w:i w:val="false"/>
                <w:caps w:val="false"/>
                <w:smallCaps w:val="false"/>
                <w:sz w:val="20"/>
              </w:rPr>
              <w:t xml:space="preserve">, the </w:t>
            </w:r>
            <w:r>
              <w:rPr>
                <w:rFonts w:ascii="Arial;Helvetica;sans-serif" w:hAnsi="Arial;Helvetica;sans-serif"/>
                <w:b w:val="false"/>
                <w:i/>
                <w:sz w:val="20"/>
              </w:rPr>
              <w:t>Siem Helix 2</w:t>
            </w:r>
            <w:r>
              <w:rPr>
                <w:rFonts w:ascii="Arial;Helvetica;sans-serif" w:hAnsi="Arial;Helvetica;sans-serif"/>
                <w:b w:val="false"/>
                <w:i w:val="false"/>
                <w:caps w:val="false"/>
                <w:smallCaps w:val="false"/>
                <w:sz w:val="20"/>
              </w:rPr>
              <w:t xml:space="preserve">, the </w:t>
            </w:r>
            <w:r>
              <w:rPr>
                <w:rFonts w:ascii="Arial;Helvetica;sans-serif" w:hAnsi="Arial;Helvetica;sans-serif"/>
                <w:b w:val="false"/>
                <w:i/>
                <w:sz w:val="20"/>
              </w:rPr>
              <w:t>Grand Canyon II</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Shelia Bordelon</w:t>
            </w:r>
            <w:r>
              <w:rPr>
                <w:caps w:val="false"/>
                <w:smallCaps w:val="false"/>
              </w:rPr>
              <w:t xml:space="preserve"> </w:t>
            </w:r>
            <w:r>
              <w:rPr>
                <w:rFonts w:ascii="Arial;Helvetica;sans-serif" w:hAnsi="Arial;Helvetica;sans-serif"/>
                <w:b w:val="false"/>
                <w:i w:val="false"/>
                <w:caps w:val="false"/>
                <w:smallCaps w:val="false"/>
                <w:sz w:val="20"/>
              </w:rPr>
              <w:t>(Note 13).</w:t>
            </w:r>
            <w:r>
              <w:rPr>
                <w:caps w:val="false"/>
                <w:smallCaps w:val="false"/>
              </w:rPr>
              <w:t xml:space="preserve"> </w:t>
            </w:r>
            <w:r>
              <w:rPr>
                <w:rFonts w:ascii="Arial;Helvetica;sans-serif" w:hAnsi="Arial;Helvetica;sans-serif"/>
                <w:b w:val="false"/>
                <w:i w:val="false"/>
                <w:caps w:val="false"/>
                <w:smallCaps w:val="false"/>
                <w:sz w:val="20"/>
              </w:rPr>
              <w:t xml:space="preserve">Our operating lease additions during the three-month period ended March 31, 2023 are primarily related to the vessel charter for the </w:t>
            </w:r>
            <w:r>
              <w:rPr>
                <w:rFonts w:ascii="Arial;Helvetica;sans-serif" w:hAnsi="Arial;Helvetica;sans-serif"/>
                <w:b w:val="false"/>
                <w:i/>
                <w:sz w:val="20"/>
              </w:rPr>
              <w:t>Glomar Wave</w:t>
            </w:r>
            <w:r>
              <w:rPr>
                <w:rFonts w:ascii="Arial;Helvetica;sans-serif" w:hAnsi="Arial;Helvetica;sans-serif"/>
                <w:b w:val="false"/>
                <w:i w:val="false"/>
                <w:caps w:val="false"/>
                <w:smallCaps w:val="false"/>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659" w:name="_Hlk84236071"/>
      <w:bookmarkStart w:id="660" w:name="_Hlk84236044"/>
      <w:bookmarkStart w:id="661" w:name="_Hlk84234521"/>
      <w:bookmarkStart w:id="662" w:name="Tc_9hxx1rs5_kW10Jwx1xlfmg_14_8"/>
      <w:bookmarkStart w:id="663" w:name="Tc_TELrAsGlmEqqt1YIz71Kmw_14_5"/>
      <w:bookmarkStart w:id="664" w:name="Tc_vFnmTA503UaZJanNvk3kVg_14_2"/>
      <w:bookmarkStart w:id="665" w:name="Tc_seX4cx85CkGQ6XpPC5OPbw_14_0"/>
      <w:bookmarkStart w:id="666" w:name="Tc_Q_k3nZEoYEWKok5PKm4iOQ_13_6"/>
      <w:bookmarkStart w:id="667" w:name="Tc_FauGsTQzaEKO-gTo_2Y7Tg_13_0"/>
      <w:bookmarkStart w:id="668" w:name="Tc_rEwmDgdng0u0TP8UnfvwUA_12_0"/>
      <w:bookmarkStart w:id="669" w:name="Tc_odnGK3rK1067WqIqi0U3uw_11_0"/>
      <w:bookmarkStart w:id="670" w:name="Tc_Mf24O0b22Ei_vwN6ZWUViw_10_3"/>
      <w:bookmarkStart w:id="671" w:name="Tc_8e7QoO_d90uCBUzedkDfCg_10_0"/>
      <w:bookmarkStart w:id="672" w:name="Tc_36A2D7gKpk2tsNtsDIBQew_9_0"/>
      <w:bookmarkStart w:id="673" w:name="Tc_oeRTHnAqVEuCZqOwBMJSaw_8_3"/>
      <w:bookmarkStart w:id="674" w:name="Tc_ka8nsQ9j0UeiQKDNPGb3YQ_8_0"/>
      <w:bookmarkStart w:id="675" w:name="Tc_39Nuha0vEU24exIsJ_DfnQ_7_9"/>
      <w:bookmarkStart w:id="676" w:name="Tc_AXtXHzRmtU6yS3MQN98Nog_7_6"/>
      <w:bookmarkStart w:id="677" w:name="Tc_n1PJdrKXtkKtEIKS-j_7Tw_7_3"/>
      <w:bookmarkStart w:id="678" w:name="Tc_mbAFlMF7wEuhfTd8aC0xFA_7_0"/>
      <w:bookmarkStart w:id="679" w:name="Tc_wdqRrRuSpEq3xVq6NrdzAw_6_9"/>
      <w:bookmarkStart w:id="680" w:name="Tc_oZRP3_wO5kKfgP60WCS3MA_6_6"/>
      <w:bookmarkStart w:id="681" w:name="Tc_5BNJg3cqSkiS9eWB52QHKg_6_3"/>
      <w:bookmarkStart w:id="682" w:name="Tc_aZdqWdfBXUGY4kRymwAB3A_6_0"/>
      <w:bookmarkStart w:id="683" w:name="Tc_KxsOeqcXGkGkEGwyHbeIIA_5_6"/>
      <w:bookmarkStart w:id="684" w:name="Tc_N2IFUunTAUi1sXm-M-Ffcg_5_0"/>
      <w:bookmarkStart w:id="685" w:name="Tc_oOPfIX49VkO5Cm2WYCaPzw_4_6"/>
      <w:bookmarkStart w:id="686" w:name="Tc_-Xr-dCNG80WnFbbzEUFywg_4_0"/>
      <w:bookmarkStart w:id="687" w:name="Tc_8jiZB5HTFkyWtTfIXPAY8A_3_8"/>
      <w:bookmarkStart w:id="688" w:name="Tc_P-OpCZQZJEOBSPFG4Y6Qrw_3_6"/>
      <w:bookmarkStart w:id="689" w:name="Tc_VSHwPPsFyU2IoDn4XEC9fg_3_5"/>
      <w:bookmarkStart w:id="690" w:name="Tc_5XDcNGY8tEiCNQ5HDIIa-Q_3_2"/>
      <w:bookmarkStart w:id="691" w:name="Tc_vP6cpGeatkqBaI9TQcXUIg_3_0"/>
      <w:bookmarkStart w:id="692" w:name="Tc_Qb_vTFpmG0iGYExKOaWVWA_2_8"/>
      <w:bookmarkStart w:id="693" w:name="Tc_e2vEF69DbkqTikJxfem00A_2_5"/>
      <w:bookmarkStart w:id="694" w:name="Tc_g8WQcKfIl0WZmRyQfXUA4Q_2_2"/>
      <w:bookmarkStart w:id="695" w:name="Tc_ozx6YYwp2Ey52eqGx-VfLQ_1_5"/>
      <w:bookmarkStart w:id="696" w:name="Tc_tDSobyFBE0W4o4qt3Czhvw_1_2"/>
      <w:bookmarkStart w:id="697" w:name="_76dcbd0c_fd5a_4625_a29a_3ed6e1b6ef1c"/>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Pr>
          <w:rFonts w:ascii="Arial;Helvetica;sans-serif" w:hAnsi="Arial;Helvetica;sans-serif"/>
          <w:b/>
          <w:sz w:val="20"/>
        </w:rPr>
        <w:t>Note 5 — Long-Term Debt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Scheduled maturities of our long-term debt outstanding as of March 31, 2024 are as follows (in thousands):</w:t>
      </w:r>
    </w:p>
    <w:p>
      <w:pPr>
        <w:pStyle w:val="TextBody"/>
        <w:bidi w:val="0"/>
        <w:spacing w:before="0" w:after="240"/>
        <w:ind w:left="0" w:right="0" w:firstLine="720"/>
        <w:jc w:val="left"/>
        <w:rPr/>
      </w:pPr>
      <w:r>
        <w:rPr/>
        <w:t>​</w:t>
      </w:r>
    </w:p>
    <w:tbl>
      <w:tblPr>
        <w:tblW w:w="7297" w:type="dxa"/>
        <w:jc w:val="left"/>
        <w:tblInd w:w="0" w:type="dxa"/>
        <w:tblLayout w:type="fixed"/>
        <w:tblCellMar>
          <w:top w:w="0" w:type="dxa"/>
          <w:left w:w="0" w:type="dxa"/>
          <w:bottom w:w="0" w:type="dxa"/>
          <w:right w:w="0" w:type="dxa"/>
        </w:tblCellMar>
      </w:tblPr>
      <w:tblGrid>
        <w:gridCol w:w="3271"/>
        <w:gridCol w:w="326"/>
        <w:gridCol w:w="211"/>
        <w:gridCol w:w="706"/>
        <w:gridCol w:w="326"/>
        <w:gridCol w:w="211"/>
        <w:gridCol w:w="796"/>
        <w:gridCol w:w="326"/>
        <w:gridCol w:w="211"/>
        <w:gridCol w:w="913"/>
      </w:tblGrid>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48310" cy="175260"/>
                      <wp:effectExtent l="0" t="0" r="0" b="0"/>
                      <wp:wrapNone/>
                      <wp:docPr id="112" name="Frame11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5460" cy="175260"/>
                      <wp:effectExtent l="0" t="0" r="0" b="0"/>
                      <wp:wrapNone/>
                      <wp:docPr id="115" name="Frame1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79755" cy="175260"/>
                      <wp:effectExtent l="0" t="0" r="0" b="0"/>
                      <wp:wrapNone/>
                      <wp:docPr id="118" name="Frame117"/>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MARAD</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center"/>
              <w:rPr/>
            </w:pPr>
            <w:r>
              <w:rPr/>
              <w:t>​</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Debt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Notes</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One to two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9,412</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9,881</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Over five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328,258</w:t>
            </w:r>
          </w:p>
        </w:tc>
      </w:tr>
      <w:tr>
        <w:trPr/>
        <w:tc>
          <w:tcPr>
            <w:tcW w:w="327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discount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(1,351)</w:t>
            </w:r>
          </w:p>
        </w:tc>
      </w:tr>
      <w:tr>
        <w:trPr/>
        <w:tc>
          <w:tcPr>
            <w:tcW w:w="327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Unamortized debt issuance costs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(7,280)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(8,743)</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291,369</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318,164</w:t>
            </w:r>
          </w:p>
        </w:tc>
      </w:tr>
      <w:tr>
        <w:trPr/>
        <w:tc>
          <w:tcPr>
            <w:tcW w:w="32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current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r>
      <w:tr>
        <w:trPr/>
        <w:tc>
          <w:tcPr>
            <w:tcW w:w="32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291,369</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309,199</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Debt discount and debt issuance costs are amortized to interest expense over the term of the applicable debt agreement.</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Below is a summary of our indebtedness: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Agreement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September 30, 2021 we entered into an asset-based credit agreement with Bank of America, N.A. (“Bank of America”), Wells Fargo Bank, N.A. and Zions Bancorporation and subsequently we entered into amendments to the credit agreement on July 1, 2022, June 23, 2023 and November 15, 2023 (collectively, the “Amended ABL Facility”). The Amended ABL Facility provides a $120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$20 million sub-limit for the issuance of letters of credit. As of March 31, 2024, we had no borrowings under the Amended ABL Facility, and our available borrowing capacity, based on the borrowing base, totaled $95.6 million, net of $3.4 million of letters of credit issued.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U.S. borrowings under the Amended ABL Facility bear interest at the Term SOFR rate (also known as CME Term SOFR as administered by CME Group, Inc.) plus a margin of 1.50% to 2.00% or at a base rate plus a margin of 0.50% to 1.00%. U.K. borrowings under the Amended ABL Facility denominated in U.S. dollars bear interest at the </w:t>
      </w:r>
      <w:r>
        <w:rPr>
          <w:rFonts w:ascii="Arial;Helvetica;sans-serif" w:hAnsi="Arial;Helvetica;sans-serif"/>
          <w:b w:val="false"/>
          <w:i w:val="false"/>
          <w:caps w:val="false"/>
          <w:smallCaps w:val="false"/>
          <w:sz w:val="20"/>
        </w:rPr>
        <w:t>Term SOFR</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rate</w:t>
      </w:r>
      <w:r>
        <w:rPr>
          <w:rFonts w:ascii="Arial;Helvetica;sans-serif" w:hAnsi="Arial;Helvetica;sans-serif"/>
          <w:sz w:val="20"/>
        </w:rPr>
        <w:t xml:space="preserve"> with SOFR adjustment of 0.10% and U.K. borrowings denominated in the British pound bear interest at the SONIA daily rate, each plus a margin of 1.50% to 2.00%. We also pay a commitment fee of 0.375% to 0.50% per annum on the unused portion of the facility.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bookmarkStart w:id="698" w:name="Tc_DgzlFwY3yEGNAfZFLi1CSA_5_0"/>
      <w:bookmarkStart w:id="699" w:name="Tc_C4bCoiYvWkq206-OZvmf1g_4_0"/>
      <w:bookmarkStart w:id="700" w:name="Tc_p8K5_HXE2kmApL8pzkYhyQ_3_0"/>
      <w:bookmarkStart w:id="701" w:name="Tc_7YPqlxetVkq-TlxDlUp60A_2_2"/>
      <w:bookmarkStart w:id="702" w:name="Tc_GXDFHlSPkEyQMukqtWjxag_2_0"/>
      <w:bookmarkStart w:id="703" w:name="Tc_2W71k-62Y0uq-HS9L0F8Ag_1_2"/>
      <w:bookmarkStart w:id="704" w:name="_d87b7b94_7049_45ac_b9d5_4237b123b252"/>
      <w:bookmarkEnd w:id="698"/>
      <w:bookmarkEnd w:id="699"/>
      <w:bookmarkEnd w:id="700"/>
      <w:bookmarkEnd w:id="701"/>
      <w:bookmarkEnd w:id="702"/>
      <w:bookmarkEnd w:id="703"/>
      <w:bookmarkEnd w:id="704"/>
      <w:r>
        <w:rPr>
          <w:rFonts w:ascii="Arial;Helvetica;sans-serif" w:hAnsi="Arial;Helvetica;sans-serif"/>
          <w:sz w:val="20"/>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MARAD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2005, Helix’s subsidiary CDI – Title XI issued its U.S. Government Guaranteed Ship Financing Bonds, Q4000 Series, to refinance the construction financing originally granted in 2002 of the </w:t>
      </w:r>
      <w:r>
        <w:rPr>
          <w:rFonts w:ascii="Arial;Helvetica;sans-serif" w:hAnsi="Arial;Helvetica;sans-serif"/>
          <w:i/>
          <w:sz w:val="20"/>
        </w:rPr>
        <w:t>Q4000</w:t>
      </w:r>
      <w:r>
        <w:rPr>
          <w:rFonts w:ascii="Arial;Helvetica;sans-serif" w:hAnsi="Arial;Helvetica;sans-serif"/>
          <w:sz w:val="20"/>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Helvetica;sans-serif" w:hAnsi="Arial;Helvetica;sans-serif"/>
          <w:i/>
          <w:sz w:val="20"/>
        </w:rPr>
        <w:t>Q4000</w:t>
      </w:r>
      <w:r>
        <w:rPr>
          <w:rFonts w:ascii="Arial;Helvetica;sans-serif" w:hAnsi="Arial;Helvetica;sans-serif"/>
          <w:sz w:val="20"/>
        </w:rPr>
        <w:t xml:space="preserve"> and is guaranteed 50% by us. In addition, we have agreed to bareboat charter the </w:t>
      </w:r>
      <w:r>
        <w:rPr>
          <w:rFonts w:ascii="Arial;Helvetica;sans-serif" w:hAnsi="Arial;Helvetica;sans-serif"/>
          <w:i/>
          <w:sz w:val="20"/>
        </w:rPr>
        <w:t>Q4000</w:t>
      </w:r>
      <w:r>
        <w:rPr>
          <w:rFonts w:ascii="Arial;Helvetica;sans-serif" w:hAnsi="Arial;Helvetica;sans-serif"/>
          <w:sz w:val="20"/>
        </w:rPr>
        <w:t xml:space="preserve"> from CDI Title XI for so long as the MARAD Debt remains outstanding. The MARAD Debt is payable in equal semi-annual installments through February 2027 and bears interest at a rate of 4.93%. We believe the agreements relating to the bonds and the terms and conditions of our obligations to MARAD in respect of the MARAD Debt were typical for U.S. government-guaranteed ship financing transactions when they were entered into, including customary restrictions on incurring additional liens on the </w:t>
      </w:r>
      <w:r>
        <w:rPr>
          <w:rFonts w:ascii="Arial;Helvetica;sans-serif" w:hAnsi="Arial;Helvetica;sans-serif"/>
          <w:i/>
          <w:sz w:val="20"/>
        </w:rPr>
        <w:t>Q4000</w:t>
      </w:r>
      <w:r>
        <w:rPr>
          <w:rFonts w:ascii="Arial;Helvetica;sans-serif" w:hAnsi="Arial;Helvetica;sans-serif"/>
          <w:sz w:val="20"/>
        </w:rPr>
        <w:t xml:space="preserve"> and trading restrictions with respect to the vessel as well as working capital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Senior Notes Due 2029 (“2029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retire the Convertible Senior Notes due 2026 (the “2026 Notes”). See details regarding the 2026 Notes below.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bear interest at a coupon interest rate of 9.75% per annum payable semi-annually in arrears on March 1 and September 1 of each year, beginning on March 1, 2024. The 2029 Notes mature on March 1, 2029 unless earlier redeemed or repurchased by us.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pStyle w:val="TextBody"/>
        <w:bidi w:val="0"/>
        <w:spacing w:before="0" w:after="240"/>
        <w:ind w:left="0" w:right="0" w:hanging="0"/>
        <w:jc w:val="left"/>
        <w:rPr/>
      </w:pPr>
      <w:r>
        <w:rPr/>
        <w:t>​</w:t>
      </w:r>
    </w:p>
    <w:tbl>
      <w:tblPr>
        <w:tblW w:w="3403" w:type="dxa"/>
        <w:jc w:val="left"/>
        <w:tblInd w:w="0" w:type="dxa"/>
        <w:tblLayout w:type="fixed"/>
        <w:tblCellMar>
          <w:top w:w="0" w:type="dxa"/>
          <w:left w:w="0" w:type="dxa"/>
          <w:bottom w:w="0" w:type="dxa"/>
          <w:right w:w="0" w:type="dxa"/>
        </w:tblCellMar>
      </w:tblPr>
      <w:tblGrid>
        <w:gridCol w:w="1801"/>
        <w:gridCol w:w="326"/>
        <w:gridCol w:w="1276"/>
      </w:tblGrid>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810260" cy="175260"/>
                      <wp:effectExtent l="0" t="0" r="0" b="0"/>
                      <wp:wrapNone/>
                      <wp:docPr id="120" name="Frame11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Redemption</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w:t>
            </w:r>
          </w:p>
        </w:tc>
        <w:tc>
          <w:tcPr>
            <w:tcW w:w="326" w:type="dxa"/>
            <w:tcBorders/>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104.875%</w:t>
            </w:r>
          </w:p>
        </w:tc>
      </w:tr>
      <w:tr>
        <w:trPr/>
        <w:tc>
          <w:tcPr>
            <w:tcW w:w="18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102.438%</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 and thereafter</w:t>
            </w:r>
          </w:p>
        </w:tc>
        <w:tc>
          <w:tcPr>
            <w:tcW w:w="32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100.000%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2026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December 2023 and the first quarter 2024, we retired the 2026 Notes through various transactions using proceeds from the 2029 Notes as well as the issuance of our common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we entered into privately negotiated agreements with certain holders of the 2026 Notes to repurchase $159.8 million aggregate principal amount of the 2026 Notes (the “2026 Notes Repurchases”) for 1.5 million shares of our common stock and aggregate cash payments of $229.7 million, plus accrued and unpaid cash interest of $3.8 million. We recognized pre-tax inducement charges of $37.4 million for the 2026 Notes Repurchases in the fourth quarter 2023, representing the total settlement value in excess of the total conversion value of the 2026 Notes Repurchases when the final negotiated offers were accepted. The conversion value paid in excess of the carrying amount of the 2026 Notes Repurchases is reflected in “Common stock” in the shareholders’ equity section of the accompanying condensed consolidated balance sheets.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$0.2 million aggregate principal amount of the 2026 Notes was tendered for conversion. We settled the conversions for $0.3 million cash in March 2024. The conversion value paid in excess of the $0.2 million carrying amount of the 2026 Notes that were tentered for conversion is reflected in “Common stock” in the shareholders’ equity section of the accompanying condensed consolidated balance sheet.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January 2024, we issued a notice for the redemption of the remaining $40.0 million aggregate principal amount of the 2026 Notes to be settled in March 2024 (the “2026 Notes Redemptions”). The redemption price consisted of the principal amount and the make-whole premium, plus accrued and unpaid interest. Our redemption notice enabled holders of $39.7 million aggregate principal amount of the 2026 Notes to tender their notes for conversion prior to the redemption date, with the remaining $0.3 million aggregate principal amount of the notes redeemed. We settled both the conversions and redemptions for an aggregate $60.2 million cash in March 2024 and recognized pre-tax losses of $20.9 million. These losses are reflected in “Losses related to convertible senior notes” in the accompanying condensed consolidated statement of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2026 Notes had a coupon interest rate of 6.75% per annum and an effective interest rate of 7.6%. For the three-month periods ended March 31, 2024 and 2023, total interest expense related to the 2026 Notes was $0.4 million and $3.7 million, respectively, with coupon interest expense of $0.3 million and $3.4 million, respectively, and the amortization of debt issuance costs of $0.1 million and $0.3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2026 Capped Calls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the 2026 Notes offering, we had entered into capped call transactions (the “2026 Capped Calls”) with three separate counterparties to hedge the dilution risk of the 2026 Notes. Concurrently with the 2026 Notes Repurchases in December 2023, we terminated a proportionate amount of the 2026 Capped Calls and received $15.6 million in cash, recognizing an increase to “Common stock” of $14.2 million and a $1.4 million gain. Concurrent with the settlement of the 2026 Notes Redemptions in March 2024, we terminated the remaining 2026 Capped Calls and received $4.4 million in cash, recognizing an increase to “Common stock” in the shareholders’ equity section of the accompanying condensed consolidated balance sheet.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bookmarkStart w:id="705" w:name="Tc_BsEFbDznIUinuODdR0dw4Q_6_5"/>
      <w:bookmarkStart w:id="706" w:name="Tc_6waKlFY070ORLLnBXW_VVg_6_2"/>
      <w:bookmarkStart w:id="707" w:name="Tc_3l8eBdm67EuH17w8oF-xqg_6_0"/>
      <w:bookmarkStart w:id="708" w:name="Tc_2IGtl28tD0ixzKGTPMBnlw_5_0"/>
      <w:bookmarkStart w:id="709" w:name="Tc_sToTWCus60CaXh7svpomog_4_5"/>
      <w:bookmarkStart w:id="710" w:name="Tc_BCDrBHkft0Gat5I6CxsS2Q_4_2"/>
      <w:bookmarkStart w:id="711" w:name="Tc_AsyZoVnVWUea69wPpj0YmQ_4_0"/>
      <w:bookmarkStart w:id="712" w:name="Tc_gAna-oyxXE6oiDrVNJ9U_A_3_5"/>
      <w:bookmarkStart w:id="713" w:name="Tc_9f3oECY3mE2lGhImBoSjLg_3_2"/>
      <w:bookmarkStart w:id="714" w:name="Tc_Cz58O5WJRUiy_KUJEn8juQ_2_2"/>
      <w:bookmarkStart w:id="715" w:name="Tc_z2jlVZb3nECjU4zPqnKe0w_1_2"/>
      <w:bookmarkStart w:id="716" w:name="_f9ae9937_1ce9_47cb_b736_1b6516d33057"/>
      <w:bookmarkEnd w:id="705"/>
      <w:bookmarkEnd w:id="706"/>
      <w:bookmarkEnd w:id="707"/>
      <w:bookmarkEnd w:id="708"/>
      <w:bookmarkEnd w:id="709"/>
      <w:bookmarkEnd w:id="710"/>
      <w:bookmarkEnd w:id="711"/>
      <w:bookmarkEnd w:id="712"/>
      <w:bookmarkEnd w:id="713"/>
      <w:bookmarkEnd w:id="714"/>
      <w:bookmarkEnd w:id="715"/>
      <w:bookmarkEnd w:id="716"/>
      <w:r>
        <w:rPr>
          <w:rFonts w:ascii="Arial;Helvetica;sans-serif" w:hAnsi="Arial;Helvetica;sans-serif"/>
          <w:b/>
          <w:i/>
          <w:sz w:val="20"/>
        </w:rPr>
        <w:t>Other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March 31, 2024, we were in compliance with these covenants.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Convertible Senior Notes due 2023 (the “2023 Notes”) matured on September 15, 2023. Upon maturity of the 2023 Notes, we paid $29.6 million in cash to settle the conversion of $29.2 million aggregate principal amount of the notes, plus accrued and unpaid interest. We recorded the conversion value in excess of such principal amount converted to “Common stock” in the accompanying condensed consolidated balance sheets. Notes representing the remaining $0.8 million aggregate principal amount of the 2023 Notes were redeemed at par, plus accrued and unpaid interest. The 2023 Notes had a coupon interest rate of 4.125% per annum and an effective interest rate of 4.8%. For the three-month period ended March 31, 2023, total interest expense related to the 2023 Notes was $0.4 million, primarily from coupon interest expense.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net interest expense (in thousands):</w:t>
      </w:r>
    </w:p>
    <w:p>
      <w:pPr>
        <w:pStyle w:val="TextBody"/>
        <w:bidi w:val="0"/>
        <w:spacing w:before="0" w:after="240"/>
        <w:ind w:left="0" w:right="0" w:firstLine="720"/>
        <w:jc w:val="left"/>
        <w:rPr/>
      </w:pPr>
      <w:r>
        <w:rPr/>
        <w:t>​</w:t>
      </w:r>
    </w:p>
    <w:tbl>
      <w:tblPr>
        <w:tblW w:w="4404" w:type="dxa"/>
        <w:jc w:val="left"/>
        <w:tblInd w:w="0" w:type="dxa"/>
        <w:tblLayout w:type="fixed"/>
        <w:tblCellMar>
          <w:top w:w="0" w:type="dxa"/>
          <w:left w:w="0" w:type="dxa"/>
          <w:bottom w:w="0" w:type="dxa"/>
          <w:right w:w="0" w:type="dxa"/>
        </w:tblCellMar>
      </w:tblPr>
      <w:tblGrid>
        <w:gridCol w:w="1921"/>
        <w:gridCol w:w="326"/>
        <w:gridCol w:w="211"/>
        <w:gridCol w:w="706"/>
        <w:gridCol w:w="326"/>
        <w:gridCol w:w="211"/>
        <w:gridCol w:w="703"/>
      </w:tblGrid>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48310" cy="175260"/>
                      <wp:effectExtent l="0" t="0" r="0" b="0"/>
                      <wp:wrapNone/>
                      <wp:docPr id="123" name="Frame12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46405" cy="175260"/>
                      <wp:effectExtent l="0" t="0" r="0" b="0"/>
                      <wp:wrapNone/>
                      <wp:docPr id="126" name="Frame125"/>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8,778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4,869</w:t>
            </w:r>
          </w:p>
        </w:tc>
      </w:tr>
      <w:tr>
        <w:trPr/>
        <w:tc>
          <w:tcPr>
            <w:tcW w:w="19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Interest income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(3,301)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(682)</w:t>
            </w:r>
          </w:p>
        </w:tc>
      </w:tr>
      <w:tr>
        <w:trPr/>
        <w:tc>
          <w:tcPr>
            <w:tcW w:w="19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5,477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4,187</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6 — 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the three-month periods ended March 31, 2024 and 2023, we recognized income tax benefit of $1.7 million and $2.0 million, respectively, resulting in effective tax rates of 6.1% and 28.1%, respectively. The effective tax rate for the three-month period ended March 31, 2024 was lower than the U.S. statutory rate primarily due to the non-deductibility of certain losses associated with the 2026 Notes Redemptions, which was characterized as a discrete event and reported in the current quarter. The effective tax rate for the three-month period ended March 31, 2023 was higher than the U.S. statutory rate primarily due to certain non-deductible expenses and non-creditable foreign income taxes.</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7 — Share Repurchase Programs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February 2023, our Board of Directors (our “Board”) authorized a share repurchase program to repurchase issued and outstanding shares of our common stock up to $200 million (the “2023 Repurchase Program”). During the three-month period ended March 31, 2024, we repurchased a total of 462,585 shares of our common stock pursuant to the 2023 Repurchase Program for approximately $5.0 million or an average of $10.88 per share, of which approximately $0.9 million was accrued as of March 31, 2024.</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717" w:name="Tc_txtMtx1LHkWyXVXL_IUNCA_15_17"/>
      <w:bookmarkStart w:id="718" w:name="Tc_9he2eyd4RU6DY-vhO4QEcQ_15_14"/>
      <w:bookmarkStart w:id="719" w:name="Tc_aT0C2ePIVEKKETqlnXElYw_15_11"/>
      <w:bookmarkStart w:id="720" w:name="Tc_1fOV8we-Zk2qv3g0SuLSCQ_15_8"/>
      <w:bookmarkStart w:id="721" w:name="Tc_RLpVeEd7dUyKSo01u8h--g_15_5"/>
      <w:bookmarkStart w:id="722" w:name="Tc_zft3iMaoqkmMZUBhqeNqIQ_15_2"/>
      <w:bookmarkStart w:id="723" w:name="Tc_BjwLt7k8yUuBQbyEZh2idw_15_0"/>
      <w:bookmarkStart w:id="724" w:name="Tc_VSqcXrLks0uxGMixsUZbaw_14_12"/>
      <w:bookmarkStart w:id="725" w:name="Tc_FRP7n2JCQEut0GrvqWYRlg_14_9"/>
      <w:bookmarkStart w:id="726" w:name="Tc_7fkSeCxJ-kioLNzala5QbA_14_0"/>
      <w:bookmarkStart w:id="727" w:name="Tc_z1OY4Mj930aycEravOHLng_13_12"/>
      <w:bookmarkStart w:id="728" w:name="Tc_6Y4otICUuU64gPPQCH7emw_13_9"/>
      <w:bookmarkStart w:id="729" w:name="Tc_0kg4PlvslEOF8rLWGIiwLQ_13_0"/>
      <w:bookmarkStart w:id="730" w:name="Tc_xtu4cOKVoUy_IhBfJWZSug_12_12"/>
      <w:bookmarkStart w:id="731" w:name="Tc_E3ELPLUEDU-s9RRKl5IkTw_12_0"/>
      <w:bookmarkStart w:id="732" w:name="Tc_CI7k2lfAVkqjmbAaSAWCYg_11_17"/>
      <w:bookmarkStart w:id="733" w:name="Tc_2mfJjXjo-02M4DkIE6vvAQ_11_14"/>
      <w:bookmarkStart w:id="734" w:name="Tc_PSStJ2NnT0iy0tmzdUTNUg_11_11"/>
      <w:bookmarkStart w:id="735" w:name="Tc_DBUT9ZKbD0O8G0e1l0-oag_11_8"/>
      <w:bookmarkStart w:id="736" w:name="Tc_Z-S8YwHrNkmqlcpOlqhTWQ_11_5"/>
      <w:bookmarkStart w:id="737" w:name="Tc_Ju6oYOeklESCYtXlQ3cjNA_11_2"/>
      <w:bookmarkStart w:id="738" w:name="Tc_ktL75ZVYf0OKp-bhC0jAIw_11_0"/>
      <w:bookmarkStart w:id="739" w:name="Tc_R3PpQX8scEafu_SStEb0yA_10_0"/>
      <w:bookmarkStart w:id="740" w:name="Tc_uqiDFZNtiE-YjEwnr3-BKQ_8_17"/>
      <w:bookmarkStart w:id="741" w:name="Tc_BMSBduAYr0S_QaE2_vUS9A_8_14"/>
      <w:bookmarkStart w:id="742" w:name="Tc_qcYKPoK4CEe1k3W8uwelGQ_8_11"/>
      <w:bookmarkStart w:id="743" w:name="Tc_z69BPNaZ9U-v9QyVlCE-1A_8_8"/>
      <w:bookmarkStart w:id="744" w:name="Tc_T3bGzUKYFk6crpqzKtcoVA_8_5"/>
      <w:bookmarkStart w:id="745" w:name="Tc_QuIrsdscqUqMfuPmkMi6CQ_8_2"/>
      <w:bookmarkStart w:id="746" w:name="Tc_v8x_epXSk0mtDccVR8h2QA_8_0"/>
      <w:bookmarkStart w:id="747" w:name="Tc_8AW67dPBUE62z9KI4Hm24A_7_12"/>
      <w:bookmarkStart w:id="748" w:name="Tc_wd3eWKX4bEOPvPsgLC9e9g_7_9"/>
      <w:bookmarkStart w:id="749" w:name="Tc_PjmeZPPyaUCd7_EexkAPfQ_7_0"/>
      <w:bookmarkStart w:id="750" w:name="Tc_r6FH0FrTkEaaeXT2D8L1Rw_6_12"/>
      <w:bookmarkStart w:id="751" w:name="Tc_nnTs3fB2Ak6vKZutB8xg1w_6_9"/>
      <w:bookmarkStart w:id="752" w:name="Tc_DGWHWdIAiUSX4crNt8pQww_6_0"/>
      <w:bookmarkStart w:id="753" w:name="Tc_40v4gWys10-PN5XQJc5fOQ_5_12"/>
      <w:bookmarkStart w:id="754" w:name="Tc_ExdgVAw94kaUwzAncj1maA_5_0"/>
      <w:bookmarkStart w:id="755" w:name="Tc_wIPAOz1VEE6P6dyKnyNsjw_4_17"/>
      <w:bookmarkStart w:id="756" w:name="Tc_F7QjGWk5DEK9pv39ByGy7Q_4_14"/>
      <w:bookmarkStart w:id="757" w:name="Tc_7LWoo7FKYUeU91eearo7zA_4_11"/>
      <w:bookmarkStart w:id="758" w:name="Tc_HPbC42EMTUSzKnVKvGrXkw_4_8"/>
      <w:bookmarkStart w:id="759" w:name="Tc_hR5I7fI3yUOlYPDurDasvw_4_5"/>
      <w:bookmarkStart w:id="760" w:name="Tc_g5pmcmKR-kiLsRbdM1nMnw_4_2"/>
      <w:bookmarkStart w:id="761" w:name="Tc_AxFdqTPrYkmv_rKxVGn2Kg_4_0"/>
      <w:bookmarkStart w:id="762" w:name="Tc_ZmyphDl_1k-IyjUNyfYrsw_3_0"/>
      <w:bookmarkStart w:id="763" w:name="Tc_HKcXo35mZEORO-JLhrR1Ow_2_17"/>
      <w:bookmarkStart w:id="764" w:name="Tc_3cQLnvcP2E2Uc-fWE4zWFQ_2_14"/>
      <w:bookmarkStart w:id="765" w:name="Tc_28mSUicCIEKWrTYnq0DSsQ_2_11"/>
      <w:bookmarkStart w:id="766" w:name="Tc_Hd10FxBMKUmw8K0CqsmFoA_2_8"/>
      <w:bookmarkStart w:id="767" w:name="Tc_A6tMXFVIUUOXyAYqIIHoIA_2_5"/>
      <w:bookmarkStart w:id="768" w:name="Tc_V-k3ZFopDUKshmryeLDe7g_2_2"/>
      <w:bookmarkStart w:id="769" w:name="Tc_fvS840XZqkOcLWYwUZNbMQ_1_17"/>
      <w:bookmarkStart w:id="770" w:name="Tc_ahNTIsbqeUifTbBHvtFmIQ_1_14"/>
      <w:bookmarkStart w:id="771" w:name="Tc_osZ671nteU-s278rFbNYvQ_1_11"/>
      <w:bookmarkStart w:id="772" w:name="Tc_X45BMmtSfEWJoO4Z7oe5OQ_1_8"/>
      <w:bookmarkStart w:id="773" w:name="Tc_VNrOSvAYQEGRzhM6-Rq3AA_1_2"/>
      <w:bookmarkStart w:id="774" w:name="Tc_RG3dGI5UyEekZibsbo9y-Q_11_17"/>
      <w:bookmarkStart w:id="775" w:name="Tc_CC95OaN_ZkK-I_N4JgHrlg_11_14"/>
      <w:bookmarkStart w:id="776" w:name="Tc_knPULwtdl0ub8cnA4a0vgA_11_11"/>
      <w:bookmarkStart w:id="777" w:name="Tc_UyrRqxbbD06Be7mYA7B8QA_11_8"/>
      <w:bookmarkStart w:id="778" w:name="Tc_xVxTva0X10-SmKTUzTEqZQ_11_5"/>
      <w:bookmarkStart w:id="779" w:name="Tc_NcGt8-3VvUm5To1WM5BGgQ_11_2"/>
      <w:bookmarkStart w:id="780" w:name="Tc_o8EpzjGh7Ue-b8f9dNREZA_11_0"/>
      <w:bookmarkStart w:id="781" w:name="Tc_RLfCM5pbD0qZLmnuB7dBRg_10_9"/>
      <w:bookmarkStart w:id="782" w:name="Tc_Mi-PfixvK02etswlAGub_A_10_0"/>
      <w:bookmarkStart w:id="783" w:name="Tc_sD8M5VB3-0CBYR7zzxvR4Q_9_17"/>
      <w:bookmarkStart w:id="784" w:name="Tc_ipq_-Cne20W5ZLWzc1VeUA_9_15"/>
      <w:bookmarkStart w:id="785" w:name="Tc_8wKGBzwh60KVQPgMMpynSg_9_14"/>
      <w:bookmarkStart w:id="786" w:name="Tc_aw1v77BIx0SJgOrdE-8UOg_9_12"/>
      <w:bookmarkStart w:id="787" w:name="Tc_G7-bKspCUkuCn44tkFUpBA_9_11"/>
      <w:bookmarkStart w:id="788" w:name="Tc_u2vWTmvZO0mNZiUrlkMmug_9_8"/>
      <w:bookmarkStart w:id="789" w:name="Tc_QoeBgAHG_0KvkOLSGIeVvA_9_5"/>
      <w:bookmarkStart w:id="790" w:name="Tc_uoCg-gmSa0GIrcddC8f7bg_9_2"/>
      <w:bookmarkStart w:id="791" w:name="Tc_t5UgDnRRwk2HBpRabagIMQ_9_0"/>
      <w:bookmarkStart w:id="792" w:name="Tc_y7Wpv7mqxkCx7G_t2HfNyg_8_0"/>
      <w:bookmarkStart w:id="793" w:name="Tc_U5jcQCVhvkmZTKvCJWCw4w_6_17"/>
      <w:bookmarkStart w:id="794" w:name="Tc_aG4kGMmX6Em_KyqhTqLAmA_6_14"/>
      <w:bookmarkStart w:id="795" w:name="Tc_IBpzh8K5O0WtgnDrXCEM2w_6_11"/>
      <w:bookmarkStart w:id="796" w:name="Tc_9BW3nRnV9U2Nfw4drBc88Q_6_8"/>
      <w:bookmarkStart w:id="797" w:name="Tc_rvjBDgqBdkuq9lPW7rfO4w_6_5"/>
      <w:bookmarkStart w:id="798" w:name="Tc_sGmRZ4DJ1ECB4hTd6FshZw_6_2"/>
      <w:bookmarkStart w:id="799" w:name="Tc_kfgGfOuWw0ymbwq66U3Hlw_6_0"/>
      <w:bookmarkStart w:id="800" w:name="Tc_OONeItoUN06vDcD0jy9hzg_5_0"/>
      <w:bookmarkStart w:id="801" w:name="Tc_QAruvR0EKk6DYQg7mlYRHw_4_17"/>
      <w:bookmarkStart w:id="802" w:name="Tc_a6239dabA02GX8bzWoHN3Q_4_14"/>
      <w:bookmarkStart w:id="803" w:name="Tc_BnRSQJBrl0KQ8EF83GAQBg_4_12"/>
      <w:bookmarkStart w:id="804" w:name="Tc_3kcrWZ3-IkWaztgPohDOAA_4_11"/>
      <w:bookmarkStart w:id="805" w:name="Tc_N2PULQl4W0OQOSgrrNEuuQ_4_8"/>
      <w:bookmarkStart w:id="806" w:name="Tc_jJxR5HP0lUatrYmmtbJL8w_4_5"/>
      <w:bookmarkStart w:id="807" w:name="Tc_dd_QYWJ75UerIBZqpeWoZA_4_2"/>
      <w:bookmarkStart w:id="808" w:name="Tc_5pNtBvkDnUyqklXXfYg-oQ_4_0"/>
      <w:bookmarkStart w:id="809" w:name="Tc_xIbcqrjhjkOSxu_8ktXI_A_3_0"/>
      <w:bookmarkStart w:id="810" w:name="Tc_ykJpmoFKQ0CJgBxn959zuA_2_17"/>
      <w:bookmarkStart w:id="811" w:name="Tc_mWJzyUbRrEa_BN02sAw7WQ_2_14"/>
      <w:bookmarkStart w:id="812" w:name="Tc_td93nJ8R4EmSHvwFUajzAg_2_11"/>
      <w:bookmarkStart w:id="813" w:name="Tc_ExJC9pG3a0KLLc3ht3Ob0A_2_8"/>
      <w:bookmarkStart w:id="814" w:name="Tc_OREMyIE9lkqojNxVctKjqw_2_5"/>
      <w:bookmarkStart w:id="815" w:name="Tc_9vLQ1vafS0-zxBiFTx3_Sg_2_2"/>
      <w:bookmarkStart w:id="816" w:name="Tc_Sz6rOwH5Q0mX1ZzTxHhOlw_1_17"/>
      <w:bookmarkStart w:id="817" w:name="Tc_4txj7kQpNEm0Vc7dIgS07w_1_14"/>
      <w:bookmarkStart w:id="818" w:name="Tc_lXN5rZPOp02E4Wa3wIXiXg_1_11"/>
      <w:bookmarkStart w:id="819" w:name="Tc_I-zLtj-xcE2jIoAQ-WGsCw_1_8"/>
      <w:bookmarkStart w:id="820" w:name="Tc_X7xy0CFtIUKNA4gGoCJ16A_1_2"/>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r>
        <w:rPr>
          <w:rFonts w:ascii="Arial;Helvetica;sans-serif" w:hAnsi="Arial;Helvetica;sans-serif"/>
          <w:b/>
          <w:sz w:val="20"/>
        </w:rPr>
        <w:t>Note 8 — Revenue from Contracts with Customers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Disaggregation of Revenue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revenues are primarily derived from short-term and long-term service contracts with customers.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039"/>
        <w:gridCol w:w="327"/>
        <w:gridCol w:w="254"/>
        <w:gridCol w:w="965"/>
        <w:gridCol w:w="326"/>
        <w:gridCol w:w="217"/>
        <w:gridCol w:w="714"/>
        <w:gridCol w:w="326"/>
        <w:gridCol w:w="337"/>
        <w:gridCol w:w="1074"/>
        <w:gridCol w:w="326"/>
        <w:gridCol w:w="266"/>
        <w:gridCol w:w="875"/>
        <w:gridCol w:w="326"/>
        <w:gridCol w:w="302"/>
        <w:gridCol w:w="1079"/>
        <w:gridCol w:w="326"/>
        <w:gridCol w:w="211"/>
        <w:gridCol w:w="915"/>
      </w:tblGrid>
      <w:tr>
        <w:trPr/>
        <w:tc>
          <w:tcPr>
            <w:tcW w:w="103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645" cy="175260"/>
                      <wp:effectExtent l="0" t="0" r="0" b="0"/>
                      <wp:wrapNone/>
                      <wp:docPr id="127" name="Frame12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1290" cy="175260"/>
                      <wp:effectExtent l="0" t="0" r="0" b="0"/>
                      <wp:wrapNone/>
                      <wp:docPr id="128" name="Frame12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12775" cy="175260"/>
                      <wp:effectExtent l="0" t="0" r="0" b="0"/>
                      <wp:wrapNone/>
                      <wp:docPr id="129" name="Frame128"/>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7795" cy="175260"/>
                      <wp:effectExtent l="0" t="0" r="0" b="0"/>
                      <wp:wrapNone/>
                      <wp:docPr id="131" name="Frame13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53390" cy="175260"/>
                      <wp:effectExtent l="0" t="0" r="0" b="0"/>
                      <wp:wrapNone/>
                      <wp:docPr id="132" name="Frame13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3995" cy="175260"/>
                      <wp:effectExtent l="0" t="0" r="0" b="0"/>
                      <wp:wrapNone/>
                      <wp:docPr id="134" name="Frame13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81990" cy="175260"/>
                      <wp:effectExtent l="0" t="0" r="0" b="0"/>
                      <wp:wrapNone/>
                      <wp:docPr id="135" name="Frame134"/>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8910" cy="175260"/>
                      <wp:effectExtent l="0" t="0" r="0" b="0"/>
                      <wp:wrapNone/>
                      <wp:docPr id="137" name="Frame1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55625" cy="175260"/>
                      <wp:effectExtent l="0" t="0" r="0" b="0"/>
                      <wp:wrapNone/>
                      <wp:docPr id="138" name="Frame13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91770" cy="175260"/>
                      <wp:effectExtent l="0" t="0" r="0" b="0"/>
                      <wp:wrapNone/>
                      <wp:docPr id="140" name="Frame139"/>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85165" cy="175260"/>
                      <wp:effectExtent l="0" t="0" r="0" b="0"/>
                      <wp:wrapNone/>
                      <wp:docPr id="141" name="Frame140"/>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81025" cy="175260"/>
                      <wp:effectExtent l="0" t="0" r="0" b="0"/>
                      <wp:wrapNone/>
                      <wp:docPr id="144" name="Frame143"/>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3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center"/>
              <w:rPr/>
            </w:pPr>
            <w:r>
              <w:rPr/>
              <w:t>​</w:t>
            </w:r>
          </w:p>
        </w:tc>
        <w:tc>
          <w:tcPr>
            <w:tcW w:w="1219"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Shallow Water</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103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center"/>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26" w:type="dxa"/>
            <w:tcBorders/>
            <w:vAlign w:val="center"/>
          </w:tcPr>
          <w:p>
            <w:pPr>
              <w:pStyle w:val="TableContents"/>
              <w:bidi w:val="0"/>
              <w:spacing w:before="0" w:after="1"/>
              <w:ind w:left="0" w:right="0" w:hanging="0"/>
              <w:jc w:val="center"/>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Abandonment</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26" w:type="dxa"/>
            <w:tcBorders/>
            <w:vAlign w:val="center"/>
          </w:tcPr>
          <w:p>
            <w:pPr>
              <w:pStyle w:val="TableContents"/>
              <w:bidi w:val="0"/>
              <w:spacing w:before="0" w:after="1"/>
              <w:ind w:left="0" w:right="0" w:hanging="0"/>
              <w:jc w:val="center"/>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2585"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103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7"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134,414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25,176</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25,363</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178,626</w:t>
            </w:r>
          </w:p>
        </w:tc>
      </w:tr>
      <w:tr>
        <w:trPr/>
        <w:tc>
          <w:tcPr>
            <w:tcW w:w="103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7"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82,045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25,133</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24,152</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117,585</w:t>
            </w:r>
          </w:p>
        </w:tc>
      </w:tr>
      <w:tr>
        <w:trPr/>
        <w:tc>
          <w:tcPr>
            <w:tcW w:w="103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7"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216,459</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50,309</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26,853</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24,152</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296,211</w:t>
            </w:r>
          </w:p>
        </w:tc>
      </w:tr>
      <w:tr>
        <w:trPr/>
        <w:tc>
          <w:tcPr>
            <w:tcW w:w="103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2585"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  </w:t>
            </w:r>
          </w:p>
        </w:tc>
      </w:tr>
      <w:tr>
        <w:trPr/>
        <w:tc>
          <w:tcPr>
            <w:tcW w:w="103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Short-term</w:t>
            </w:r>
          </w:p>
        </w:tc>
        <w:tc>
          <w:tcPr>
            <w:tcW w:w="327"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77,767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35,205</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49,381</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162,353</w:t>
            </w:r>
          </w:p>
        </w:tc>
      </w:tr>
      <w:tr>
        <w:trPr/>
        <w:tc>
          <w:tcPr>
            <w:tcW w:w="103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w:t>
            </w:r>
          </w:p>
        </w:tc>
        <w:tc>
          <w:tcPr>
            <w:tcW w:w="327"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64,671</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14,017</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20,905</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87,731</w:t>
            </w:r>
          </w:p>
        </w:tc>
      </w:tr>
      <w:tr>
        <w:trPr/>
        <w:tc>
          <w:tcPr>
            <w:tcW w:w="103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7"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142,438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49,222</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49,381</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20,905</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250,084</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pStyle w:val="TextBody"/>
        <w:bidi w:val="0"/>
        <w:spacing w:before="0" w:after="240"/>
        <w:ind w:left="0" w:right="0" w:firstLine="720"/>
        <w:jc w:val="left"/>
        <w:rPr/>
      </w:pPr>
      <w:r>
        <w:rPr/>
        <w:t>​</w:t>
      </w:r>
    </w:p>
    <w:tbl>
      <w:tblPr>
        <w:tblW w:w="10826" w:type="dxa"/>
        <w:jc w:val="left"/>
        <w:tblInd w:w="0" w:type="dxa"/>
        <w:tblLayout w:type="fixed"/>
        <w:tblCellMar>
          <w:top w:w="0" w:type="dxa"/>
          <w:left w:w="0" w:type="dxa"/>
          <w:bottom w:w="0" w:type="dxa"/>
          <w:right w:w="0" w:type="dxa"/>
        </w:tblCellMar>
      </w:tblPr>
      <w:tblGrid>
        <w:gridCol w:w="1666"/>
        <w:gridCol w:w="326"/>
        <w:gridCol w:w="254"/>
        <w:gridCol w:w="962"/>
        <w:gridCol w:w="326"/>
        <w:gridCol w:w="217"/>
        <w:gridCol w:w="714"/>
        <w:gridCol w:w="326"/>
        <w:gridCol w:w="337"/>
        <w:gridCol w:w="1074"/>
        <w:gridCol w:w="326"/>
        <w:gridCol w:w="266"/>
        <w:gridCol w:w="875"/>
        <w:gridCol w:w="326"/>
        <w:gridCol w:w="302"/>
        <w:gridCol w:w="1079"/>
        <w:gridCol w:w="326"/>
        <w:gridCol w:w="211"/>
        <w:gridCol w:w="913"/>
      </w:tblGrid>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1290" cy="175260"/>
                      <wp:effectExtent l="0" t="0" r="0" b="0"/>
                      <wp:wrapNone/>
                      <wp:docPr id="146" name="Frame14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10870" cy="175260"/>
                      <wp:effectExtent l="0" t="0" r="0" b="0"/>
                      <wp:wrapNone/>
                      <wp:docPr id="147" name="Frame14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7795" cy="175260"/>
                      <wp:effectExtent l="0" t="0" r="0" b="0"/>
                      <wp:wrapNone/>
                      <wp:docPr id="149" name="Frame14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53390" cy="175260"/>
                      <wp:effectExtent l="0" t="0" r="0" b="0"/>
                      <wp:wrapNone/>
                      <wp:docPr id="150" name="Frame149"/>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3995" cy="175260"/>
                      <wp:effectExtent l="0" t="0" r="0" b="0"/>
                      <wp:wrapNone/>
                      <wp:docPr id="152" name="Frame15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81990" cy="175260"/>
                      <wp:effectExtent l="0" t="0" r="0" b="0"/>
                      <wp:wrapNone/>
                      <wp:docPr id="153" name="Frame152"/>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68910" cy="175260"/>
                      <wp:effectExtent l="0" t="0" r="0" b="0"/>
                      <wp:wrapNone/>
                      <wp:docPr id="155" name="Frame15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55625" cy="175260"/>
                      <wp:effectExtent l="0" t="0" r="0" b="0"/>
                      <wp:wrapNone/>
                      <wp:docPr id="156" name="Frame155"/>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91770" cy="175260"/>
                      <wp:effectExtent l="0" t="0" r="0" b="0"/>
                      <wp:wrapNone/>
                      <wp:docPr id="158" name="Frame157"/>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85165" cy="175260"/>
                      <wp:effectExtent l="0" t="0" r="0" b="0"/>
                      <wp:wrapNone/>
                      <wp:docPr id="159" name="Frame158"/>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79755" cy="175260"/>
                      <wp:effectExtent l="0" t="0" r="0" b="0"/>
                      <wp:wrapNone/>
                      <wp:docPr id="162" name="Frame161"/>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1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Shallow Water</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2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1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26" w:type="dxa"/>
            <w:tcBorders/>
            <w:vAlign w:val="center"/>
          </w:tcPr>
          <w:p>
            <w:pPr>
              <w:pStyle w:val="TableContents"/>
              <w:bidi w:val="0"/>
              <w:spacing w:before="0" w:after="1"/>
              <w:ind w:left="0" w:right="0" w:hanging="0"/>
              <w:jc w:val="center"/>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Abandonment</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26" w:type="dxa"/>
            <w:tcBorders/>
            <w:vAlign w:val="center"/>
          </w:tcPr>
          <w:p>
            <w:pPr>
              <w:pStyle w:val="TableContents"/>
              <w:bidi w:val="0"/>
              <w:spacing w:before="0" w:after="1"/>
              <w:ind w:left="0" w:right="0" w:hanging="0"/>
              <w:jc w:val="center"/>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320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70,449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18,436</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3,242</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24,152</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104,887</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142,685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5,412</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23,611</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164,780</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24,172</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24,172</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2,289</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2,372</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216,459</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50,309</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26,853</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24,152</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296,211</w:t>
            </w:r>
          </w:p>
        </w:tc>
      </w:tr>
      <w:tr>
        <w:trPr/>
        <w:tc>
          <w:tcPr>
            <w:tcW w:w="16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left"/>
              <w:rPr/>
            </w:pPr>
            <w:r>
              <w:rPr/>
              <w:t>​</w:t>
            </w:r>
          </w:p>
        </w:tc>
      </w:tr>
      <w:tr>
        <w:trPr/>
        <w:tc>
          <w:tcPr>
            <w:tcW w:w="3208" w:type="dxa"/>
            <w:gridSpan w:val="4"/>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Three months ended March 31, 2023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47,267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26,719</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20,905</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94,481</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92,620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11,048</w:t>
            </w:r>
          </w:p>
        </w:tc>
        <w:tc>
          <w:tcPr>
            <w:tcW w:w="32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07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45,974</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144,571</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8,678</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8,678</w:t>
            </w:r>
          </w:p>
        </w:tc>
      </w:tr>
      <w:tr>
        <w:trPr/>
        <w:tc>
          <w:tcPr>
            <w:tcW w:w="16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1,225</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2,777</w:t>
            </w:r>
          </w:p>
        </w:tc>
        <w:tc>
          <w:tcPr>
            <w:tcW w:w="32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2,354</w:t>
            </w:r>
          </w:p>
        </w:tc>
      </w:tr>
      <w:tr>
        <w:trPr/>
        <w:tc>
          <w:tcPr>
            <w:tcW w:w="16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142,438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49,222</w:t>
            </w:r>
          </w:p>
        </w:tc>
        <w:tc>
          <w:tcPr>
            <w:tcW w:w="32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49,381</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20,905</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250,084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3). Contract assets were $5.5 million as of March 31, 2024 and $5.8 million as of December 31, 2023. We had no credit losses on our contract assets for the three-month periods ended March 31, 2024 and 2023.</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in the accompanying condensed consolidated balance sheets (Note 3). Contract liabilities totaled $20.9 million as of March 31, 2024 and $32.8 million as of December 31, 2023. Revenue recognized for the three-month periods ended March 31, 2024 and 2023 included $16.4 million and $3.9 million, respectively, that were included in the contract liability balance at the beginning of each period.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report the net contract asset or contract liability position on a contract-by-contract basis at the end of each reporting period.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As of March 31, 2024, $996.6 million related to unsatisfied performance obligations was expected to be recognized as revenue in the future, with $663.4 million, $309.7 million and $23.5 million in </w:t>
      </w:r>
      <w:r>
        <w:rPr>
          <w:rFonts w:ascii="Arial;Helvetica;sans-serif" w:hAnsi="Arial;Helvetica;sans-serif"/>
          <w:b w:val="false"/>
          <w:i w:val="false"/>
          <w:caps w:val="false"/>
          <w:smallCaps w:val="false"/>
          <w:sz w:val="20"/>
        </w:rPr>
        <w:t>2024</w:t>
      </w:r>
      <w:r>
        <w:rPr>
          <w:rFonts w:ascii="Arial;Helvetica;sans-serif" w:hAnsi="Arial;Helvetica;sans-serif"/>
          <w:sz w:val="20"/>
        </w:rPr>
        <w:t xml:space="preserve">, </w:t>
      </w:r>
      <w:r>
        <w:rPr>
          <w:rFonts w:ascii="Arial;Helvetica;sans-serif" w:hAnsi="Arial;Helvetica;sans-serif"/>
          <w:b w:val="false"/>
          <w:i w:val="false"/>
          <w:caps w:val="false"/>
          <w:smallCaps w:val="false"/>
          <w:sz w:val="20"/>
        </w:rPr>
        <w:t>2025</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2026</w:t>
      </w:r>
      <w:r>
        <w:rPr>
          <w:rFonts w:ascii="Arial;Helvetica;sans-serif" w:hAnsi="Arial;Helvetica;sans-serif"/>
          <w:sz w:val="20"/>
        </w:rPr>
        <w:t>,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March 31,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three-month periods ended March 31, 2024 and 2023, revenues recognized from performance obligations satisfied (or partially satisfied) in previous periods were immaterial.</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Fulfillment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3). Our deferred contract costs totaled $24.0 million as of March 31, 2024 and $36.6 million as of December 31, 2023. For the three-month periods ended March 31, 2024 and 2023, we recorded $20.3 million and $4.7 million, respectively, related to amortization of these deferred contract costs. There were no associated impairment losses for any period presented.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additional information regarding revenue recognition, see Notes 2 and 11 to our 2023 Form 10-K.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9 — Earnings Per Share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821" w:name="Tc_S45XmAf_LUCwjQ2h9f0ezA_5_0"/>
      <w:bookmarkStart w:id="822" w:name="Tc_Eovl0eaE20KrgtO2Qlo85g_4_2"/>
      <w:bookmarkStart w:id="823" w:name="Tc_5Cjnq-ablEC9B-X6F77n7g_4_0"/>
      <w:bookmarkStart w:id="824" w:name="Tc_FKpLlzwZskiWUri3lyrYmA_3_4"/>
      <w:bookmarkStart w:id="825" w:name="Tc_qhosfmXqbUi8INH4SyL-rQ_3_2"/>
      <w:bookmarkStart w:id="826" w:name="Tc_-4f3kEuaBkC7bHl6LQcZGg_2_2"/>
      <w:bookmarkStart w:id="827" w:name="Tc_EmD-okwENkOLADRk0UB5jw_1_2"/>
      <w:bookmarkStart w:id="828" w:name="_ea56b053_1b0b_4786_bb71_3681b0496a6c"/>
      <w:bookmarkStart w:id="829" w:name="Tc_yg_nVBXQ-UyBAATwlM4gmw_6_0"/>
      <w:bookmarkStart w:id="830" w:name="Tc_goC3k_Gn1U6WXmOQh6O9gQ_5_0"/>
      <w:bookmarkStart w:id="831" w:name="Tc_6sLCywimakCsu8WbAF9uzQ_4_0"/>
      <w:bookmarkStart w:id="832" w:name="Tc_p2m-ML00PUS7vVoBx8DuFA_3_4"/>
      <w:bookmarkStart w:id="833" w:name="Tc_IZFBntgrTUC2qyLDEWz0pg_3_2"/>
      <w:bookmarkStart w:id="834" w:name="Tc_iM79j4lvIkS2xEVSIjBfJQ_2_2"/>
      <w:bookmarkStart w:id="835" w:name="Tc_YTXb_z1oWEyFNyDFIfWuqg_1_2"/>
      <w:bookmarkStart w:id="836" w:name="_81cf763e_83e3_481a_be09_583923aa9b49"/>
      <w:bookmarkStart w:id="837" w:name="Tc_bMD54cBy3kGM8I4q1j5gng_8_0"/>
      <w:bookmarkStart w:id="838" w:name="Tc_CSff7Iu6jE26OMUTWF9PgQ_6_7"/>
      <w:bookmarkStart w:id="839" w:name="Tc_RmHydrI1UUGebKWpfUJf-Q_6_2"/>
      <w:bookmarkStart w:id="840" w:name="Tc_7nm77OYBG0q503srKGaZwg_6_0"/>
      <w:bookmarkStart w:id="841" w:name="Tc_3AfkvX1FBka8zt4rKJ11PQ_5_7"/>
      <w:bookmarkStart w:id="842" w:name="Tc_AQ-K13WugkqptX3a4TmIZw_5_2"/>
      <w:bookmarkStart w:id="843" w:name="Tc_HVh-AbaE4kOb2sJNyNrybw_5_0"/>
      <w:bookmarkStart w:id="844" w:name="Tc_2FXAcvf43k673zIrFf2Rgg_4_0"/>
      <w:bookmarkStart w:id="845" w:name="Tc_y5ZYZfNVQUKWGFEHxyyTKA_3_10"/>
      <w:bookmarkStart w:id="846" w:name="Tc_cdsJWbwAi0WPy8MGvQu-XA_3_7"/>
      <w:bookmarkStart w:id="847" w:name="Tc_0nZBUa0ys0OXHwh2V3CBEg_3_5"/>
      <w:bookmarkStart w:id="848" w:name="Tc_us47YNlkqkecKxMAXHmFzQ_3_2"/>
      <w:bookmarkStart w:id="849" w:name="Tc_hGsyNSUVA0ig3pjZh9F5uA_2_7"/>
      <w:bookmarkStart w:id="850" w:name="Tc_hCKXfeHTpEKsNb35e2QlyQ_2_2"/>
      <w:bookmarkStart w:id="851" w:name="Tc_joWeW8cs60yihkc9eab4Lw_1_7"/>
      <w:bookmarkStart w:id="852" w:name="Tc_8-h6i5O82UCjmq5fzQMm1g_1_2"/>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Arial;Helvetica;sans-serif" w:hAnsi="Arial;Helvetica;sans-serif"/>
          <w:sz w:val="20"/>
        </w:rPr>
        <w:t>Basic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effect of convertible senior notes is computed for the periods in which they are outstanding using the if-converted method, if dilutive, which assumes conversion of the convertible senior notes into shares of our common stock at the beginning of the period, giving income recognition for the add-back of related interest expense (net of tax). The computations of the numerator (earnings or loss) and denominator (shares) to derive the basic and diluted EPS amounts presented on the face of the accompanying condensed consolidated statements of operations are as follows (in thousands):</w:t>
      </w:r>
    </w:p>
    <w:p>
      <w:pPr>
        <w:pStyle w:val="TextBody"/>
        <w:bidi w:val="0"/>
        <w:spacing w:before="0" w:after="240"/>
        <w:ind w:left="0" w:right="0" w:firstLine="720"/>
        <w:jc w:val="left"/>
        <w:rPr/>
      </w:pPr>
      <w:r>
        <w:rPr/>
        <w:t>​</w:t>
      </w:r>
    </w:p>
    <w:tbl>
      <w:tblPr>
        <w:tblW w:w="8812" w:type="dxa"/>
        <w:jc w:val="left"/>
        <w:tblInd w:w="0" w:type="dxa"/>
        <w:tblLayout w:type="fixed"/>
        <w:tblCellMar>
          <w:top w:w="0" w:type="dxa"/>
          <w:left w:w="0" w:type="dxa"/>
          <w:bottom w:w="0" w:type="dxa"/>
          <w:right w:w="0" w:type="dxa"/>
        </w:tblCellMar>
      </w:tblPr>
      <w:tblGrid>
        <w:gridCol w:w="3871"/>
        <w:gridCol w:w="326"/>
        <w:gridCol w:w="211"/>
        <w:gridCol w:w="811"/>
        <w:gridCol w:w="326"/>
        <w:gridCol w:w="796"/>
        <w:gridCol w:w="326"/>
        <w:gridCol w:w="217"/>
        <w:gridCol w:w="727"/>
        <w:gridCol w:w="335"/>
        <w:gridCol w:w="866"/>
      </w:tblGrid>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14985" cy="175260"/>
                      <wp:effectExtent l="0" t="0" r="0" b="0"/>
                      <wp:wrapNone/>
                      <wp:docPr id="165" name="Frame16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05460" cy="175260"/>
                      <wp:effectExtent l="0" t="0" r="0" b="0"/>
                      <wp:wrapNone/>
                      <wp:docPr id="167" name="Frame1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7795" cy="175260"/>
                      <wp:effectExtent l="0" t="0" r="0" b="0"/>
                      <wp:wrapNone/>
                      <wp:docPr id="169" name="Frame16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61645" cy="175260"/>
                      <wp:effectExtent l="0" t="0" r="0" b="0"/>
                      <wp:wrapNone/>
                      <wp:docPr id="170" name="Frame169"/>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2725" cy="175260"/>
                      <wp:effectExtent l="0" t="0" r="0" b="0"/>
                      <wp:wrapNone/>
                      <wp:docPr id="171" name="Frame17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49910" cy="175260"/>
                      <wp:effectExtent l="0" t="0" r="0" b="0"/>
                      <wp:wrapNone/>
                      <wp:docPr id="172" name="Frame17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4"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145"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2024</w:t>
            </w:r>
          </w:p>
        </w:tc>
        <w:tc>
          <w:tcPr>
            <w:tcW w:w="326" w:type="dxa"/>
            <w:tcBorders/>
            <w:vAlign w:val="center"/>
          </w:tcPr>
          <w:p>
            <w:pPr>
              <w:pStyle w:val="TableContents"/>
              <w:bidi w:val="0"/>
              <w:spacing w:before="0" w:after="1"/>
              <w:ind w:left="0" w:right="0" w:hanging="0"/>
              <w:jc w:val="center"/>
              <w:rPr/>
            </w:pPr>
            <w:r>
              <w:rPr/>
              <w:t>​</w:t>
            </w:r>
          </w:p>
        </w:tc>
        <w:tc>
          <w:tcPr>
            <w:tcW w:w="214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2023</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26" w:type="dxa"/>
            <w:tcBorders/>
            <w:vAlign w:val="center"/>
          </w:tcPr>
          <w:p>
            <w:pPr>
              <w:pStyle w:val="TableContents"/>
              <w:bidi w:val="0"/>
              <w:spacing w:before="0" w:after="1"/>
              <w:ind w:left="0" w:right="0" w:hanging="0"/>
              <w:jc w:val="center"/>
              <w:rPr/>
            </w:pPr>
            <w:r>
              <w:rPr/>
              <w:t>    </w:t>
            </w:r>
          </w:p>
        </w:tc>
        <w:tc>
          <w:tcPr>
            <w:tcW w:w="9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35" w:type="dxa"/>
            <w:tcBorders/>
            <w:vAlign w:val="center"/>
          </w:tcPr>
          <w:p>
            <w:pPr>
              <w:pStyle w:val="TableContents"/>
              <w:bidi w:val="0"/>
              <w:spacing w:before="0" w:after="1"/>
              <w:ind w:left="0" w:right="0" w:hanging="0"/>
              <w:jc w:val="center"/>
              <w:rPr/>
            </w:pPr>
            <w:r>
              <w:rPr/>
              <w:t>    </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3871"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Basic and Diluted: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pPr>
            <w:r>
              <w:rPr/>
              <w:t>  </w:t>
            </w:r>
          </w:p>
        </w:tc>
      </w:tr>
      <w:tr>
        <w:trPr/>
        <w:tc>
          <w:tcPr>
            <w:tcW w:w="38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(26,287)</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w:t>
            </w:r>
          </w:p>
        </w:tc>
        <w:tc>
          <w:tcPr>
            <w:tcW w:w="335"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pPr>
            <w:r>
              <w:rPr/>
              <w:t>  </w:t>
            </w:r>
          </w:p>
        </w:tc>
      </w:tr>
      <w:tr>
        <w:trPr/>
        <w:tc>
          <w:tcPr>
            <w:tcW w:w="38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available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(26,287)</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152,369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w:t>
            </w:r>
          </w:p>
        </w:tc>
        <w:tc>
          <w:tcPr>
            <w:tcW w:w="335" w:type="dxa"/>
            <w:tcBorders/>
            <w:shd w:fill="CCEEFF" w:val="clear"/>
            <w:vAlign w:val="center"/>
          </w:tcPr>
          <w:p>
            <w:pPr>
              <w:pStyle w:val="TableContents"/>
              <w:bidi w:val="0"/>
              <w:spacing w:before="0" w:after="1"/>
              <w:ind w:left="0" w:right="0" w:hanging="0"/>
              <w:jc w:val="left"/>
              <w:rPr/>
            </w:pPr>
            <w:r>
              <w:rPr/>
              <w:t> </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151,764</w:t>
            </w:r>
          </w:p>
        </w:tc>
      </w:tr>
      <w:tr>
        <w:trPr/>
        <w:tc>
          <w:tcPr>
            <w:tcW w:w="3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(0.17)</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(0.03)</w:t>
            </w:r>
          </w:p>
        </w:tc>
        <w:tc>
          <w:tcPr>
            <w:tcW w:w="335"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had net losses for the three-month periods ended March 31, 2024 and 2023. Accordingly, our diluted EPS calculation for these periods excluded the dilutive effect of share-based awards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pStyle w:val="TextBody"/>
        <w:bidi w:val="0"/>
        <w:spacing w:before="0" w:after="240"/>
        <w:ind w:left="0" w:right="0" w:firstLine="720"/>
        <w:jc w:val="left"/>
        <w:rPr/>
      </w:pPr>
      <w:r>
        <w:rPr/>
        <w:t>​</w:t>
      </w:r>
    </w:p>
    <w:tbl>
      <w:tblPr>
        <w:tblW w:w="4991" w:type="dxa"/>
        <w:jc w:val="left"/>
        <w:tblInd w:w="0" w:type="dxa"/>
        <w:tblLayout w:type="fixed"/>
        <w:tblCellMar>
          <w:top w:w="0" w:type="dxa"/>
          <w:left w:w="0" w:type="dxa"/>
          <w:bottom w:w="0" w:type="dxa"/>
          <w:right w:w="0" w:type="dxa"/>
        </w:tblCellMar>
      </w:tblPr>
      <w:tblGrid>
        <w:gridCol w:w="2521"/>
        <w:gridCol w:w="326"/>
        <w:gridCol w:w="839"/>
        <w:gridCol w:w="343"/>
        <w:gridCol w:w="962"/>
      </w:tblGrid>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32765" cy="175260"/>
                      <wp:effectExtent l="0" t="0" r="0" b="0"/>
                      <wp:wrapNone/>
                      <wp:docPr id="174" name="Frame173"/>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7805" cy="175260"/>
                      <wp:effectExtent l="0" t="0" r="0" b="0"/>
                      <wp:wrapNone/>
                      <wp:docPr id="175" name="Frame17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10870" cy="175260"/>
                      <wp:effectExtent l="0" t="0" r="0" b="0"/>
                      <wp:wrapNone/>
                      <wp:docPr id="176" name="Frame17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4" w:type="dxa"/>
            <w:gridSpan w:val="3"/>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3" w:type="dxa"/>
            <w:tcBorders/>
            <w:vAlign w:val="center"/>
          </w:tcPr>
          <w:p>
            <w:pPr>
              <w:pStyle w:val="TableContents"/>
              <w:bidi w:val="0"/>
              <w:spacing w:before="0" w:after="1"/>
              <w:ind w:left="0" w:right="0" w:hanging="0"/>
              <w:jc w:val="center"/>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Diluted shares (as reported)</w:t>
            </w:r>
          </w:p>
        </w:tc>
        <w:tc>
          <w:tcPr>
            <w:tcW w:w="326" w:type="dxa"/>
            <w:tcBorders/>
            <w:shd w:fill="CCEEFF" w:val="clear"/>
            <w:vAlign w:val="center"/>
          </w:tcPr>
          <w:p>
            <w:pPr>
              <w:pStyle w:val="TableContents"/>
              <w:bidi w:val="0"/>
              <w:spacing w:before="0" w:after="1"/>
              <w:ind w:left="0" w:right="0" w:hanging="0"/>
              <w:jc w:val="left"/>
              <w:rPr/>
            </w:pPr>
            <w:r>
              <w:rPr/>
              <w:t> </w:t>
            </w:r>
          </w:p>
        </w:tc>
        <w:tc>
          <w:tcPr>
            <w:tcW w:w="8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152,369</w:t>
            </w:r>
          </w:p>
        </w:tc>
        <w:tc>
          <w:tcPr>
            <w:tcW w:w="343"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151,764</w:t>
            </w:r>
          </w:p>
        </w:tc>
      </w:tr>
      <w:tr>
        <w:trPr/>
        <w:tc>
          <w:tcPr>
            <w:tcW w:w="25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w:t>
            </w:r>
          </w:p>
        </w:tc>
        <w:tc>
          <w:tcPr>
            <w:tcW w:w="326" w:type="dxa"/>
            <w:tcBorders/>
            <w:vAlign w:val="center"/>
          </w:tcPr>
          <w:p>
            <w:pPr>
              <w:pStyle w:val="TableContents"/>
              <w:bidi w:val="0"/>
              <w:spacing w:before="0" w:after="1"/>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2,705</w:t>
            </w:r>
          </w:p>
        </w:tc>
        <w:tc>
          <w:tcPr>
            <w:tcW w:w="343" w:type="dxa"/>
            <w:tcBorders/>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2,740</w:t>
            </w:r>
          </w:p>
        </w:tc>
      </w:tr>
      <w:tr>
        <w:trPr/>
        <w:tc>
          <w:tcPr>
            <w:tcW w:w="25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8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155,074</w:t>
            </w:r>
          </w:p>
        </w:tc>
        <w:tc>
          <w:tcPr>
            <w:tcW w:w="343" w:type="dxa"/>
            <w:tcBorders/>
            <w:shd w:fill="CCEEFF" w:val="clear"/>
            <w:vAlign w:val="center"/>
          </w:tcPr>
          <w:p>
            <w:pPr>
              <w:pStyle w:val="TableContents"/>
              <w:bidi w:val="0"/>
              <w:spacing w:before="0" w:after="1"/>
              <w:ind w:left="0" w:right="0" w:hanging="0"/>
              <w:jc w:val="left"/>
              <w:rPr/>
            </w:pPr>
            <w:r>
              <w:rPr/>
              <w:t> </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154,504</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potentially dilutive shares related to the 2023 Notes and the 2026 Notes were excluded from the diluted EPS calculation as they were anti-dilutive (in thousands):</w:t>
      </w:r>
    </w:p>
    <w:p>
      <w:pPr>
        <w:pStyle w:val="TextBody"/>
        <w:bidi w:val="0"/>
        <w:spacing w:before="0" w:after="240"/>
        <w:ind w:left="0" w:right="0" w:firstLine="720"/>
        <w:jc w:val="left"/>
        <w:rPr/>
      </w:pPr>
      <w:r>
        <w:rPr/>
        <w:t>​</w:t>
      </w:r>
    </w:p>
    <w:tbl>
      <w:tblPr>
        <w:tblW w:w="3582" w:type="dxa"/>
        <w:jc w:val="left"/>
        <w:tblInd w:w="0" w:type="dxa"/>
        <w:tblLayout w:type="fixed"/>
        <w:tblCellMar>
          <w:top w:w="0" w:type="dxa"/>
          <w:left w:w="0" w:type="dxa"/>
          <w:bottom w:w="0" w:type="dxa"/>
          <w:right w:w="0" w:type="dxa"/>
        </w:tblCellMar>
      </w:tblPr>
      <w:tblGrid>
        <w:gridCol w:w="1111"/>
        <w:gridCol w:w="326"/>
        <w:gridCol w:w="731"/>
        <w:gridCol w:w="406"/>
        <w:gridCol w:w="1008"/>
      </w:tblGrid>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64185" cy="175260"/>
                      <wp:effectExtent l="0" t="0" r="0" b="0"/>
                      <wp:wrapNone/>
                      <wp:docPr id="178" name="Frame17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57810" cy="175260"/>
                      <wp:effectExtent l="0" t="0" r="0" b="0"/>
                      <wp:wrapNone/>
                      <wp:docPr id="179" name="Frame17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0080" cy="175260"/>
                      <wp:effectExtent l="0" t="0" r="0" b="0"/>
                      <wp:wrapNone/>
                      <wp:docPr id="180" name="Frame179"/>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5" w:type="dxa"/>
            <w:gridSpan w:val="3"/>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406" w:type="dxa"/>
            <w:tcBorders/>
            <w:vAlign w:val="center"/>
          </w:tcPr>
          <w:p>
            <w:pPr>
              <w:pStyle w:val="TableContents"/>
              <w:bidi w:val="0"/>
              <w:spacing w:before="0" w:after="1"/>
              <w:ind w:left="0" w:right="0" w:hanging="0"/>
              <w:jc w:val="center"/>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1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2023 Notes</w:t>
            </w:r>
          </w:p>
        </w:tc>
        <w:tc>
          <w:tcPr>
            <w:tcW w:w="326"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3,168</w:t>
            </w:r>
          </w:p>
        </w:tc>
      </w:tr>
      <w:tr>
        <w:trPr/>
        <w:tc>
          <w:tcPr>
            <w:tcW w:w="11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Notes</w:t>
            </w:r>
          </w:p>
        </w:tc>
        <w:tc>
          <w:tcPr>
            <w:tcW w:w="326"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5,187</w:t>
            </w:r>
          </w:p>
        </w:tc>
        <w:tc>
          <w:tcPr>
            <w:tcW w:w="406"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28,676</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outstanding restricted stock units (“RSUs”) (Note 10) that can be settled in either cash or shares of our common stock or a combination thereof, which are not included in the computation of diluted EPS as cash settlement is assumed.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853" w:name="_Hlk69914146"/>
      <w:bookmarkStart w:id="854" w:name="Tc_1u-BvR44gEiRWodll6CGCA_6_9"/>
      <w:bookmarkStart w:id="855" w:name="Tc_WO_E60HeAkWztyuVfk8m3Q_6_6"/>
      <w:bookmarkStart w:id="856" w:name="Tc_AclV5msj_EmpdRpOG6fmHg_6_2"/>
      <w:bookmarkStart w:id="857" w:name="Tc_okzV9Lus2E-41CV1V1o1Sw_6_0"/>
      <w:bookmarkStart w:id="858" w:name="Tc_25_xPiT-NkaQqgtESfI9aw_5_9"/>
      <w:bookmarkStart w:id="859" w:name="Tc_CM_NB_mUJEyaq3tdP7_C8A_5_6"/>
      <w:bookmarkStart w:id="860" w:name="Tc_L4PE_bRrGkOTpf-opxKwSw_5_2"/>
      <w:bookmarkStart w:id="861" w:name="Tc_s1djnGYz2UCCvh_oqEP1ow_5_0"/>
      <w:bookmarkStart w:id="862" w:name="Tc_KIwYwAB8rkeHhKWf_XjD0A_4_9"/>
      <w:bookmarkStart w:id="863" w:name="Tc_HfIReaijDECjm4XPKSBMUg_4_6"/>
      <w:bookmarkStart w:id="864" w:name="Tc_LAwWmcH0Y0mf7Akht6Kosw_4_2"/>
      <w:bookmarkStart w:id="865" w:name="Tc_ZQ5t_8mU7keYhCwB_2QTLA_4_0"/>
      <w:bookmarkStart w:id="866" w:name="Tc_AaQNLyYeD0y_WIdsKBemIw_3_9"/>
      <w:bookmarkStart w:id="867" w:name="Tc_YseRdqn8PUKSrGDQR-hsEw_3_6"/>
      <w:bookmarkStart w:id="868" w:name="Tc_Vxn2YtwJZUKIGrexnawWOw_3_4"/>
      <w:bookmarkStart w:id="869" w:name="Tc_47dhTAMQ8UeqqamC4dvTmQ_3_2"/>
      <w:bookmarkStart w:id="870" w:name="Tc_-BUJqR9e4UKNz85m5bBKJA_3_0"/>
      <w:bookmarkStart w:id="871" w:name="Tc_VKyjFC4hH06RoHS8knb5gA_2_6"/>
      <w:bookmarkStart w:id="872" w:name="Tc_WezNtB0CPkadwtBZaAPr1g_1_6"/>
      <w:bookmarkStart w:id="873" w:name="_bbb43576_fa72_429e_b5d2_7cf9f7a2c138"/>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ascii="Arial;Helvetica;sans-serif" w:hAnsi="Arial;Helvetica;sans-serif"/>
          <w:b/>
          <w:sz w:val="20"/>
        </w:rPr>
        <w:t>Note 10 — Employee Benefit Plans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Incentive Plan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As of March 31, 2024, there were approximately 2.5 million shares of our common stock available for issuance under our 2005 Long-Term Incentive Plan, as amended and restated (the “2005 Incentive Plan”). During the three-month period ended March 31, 2024, the following grants of share-based awards were made under the 2005 Incentive Plan:</w:t>
      </w:r>
    </w:p>
    <w:p>
      <w:pPr>
        <w:pStyle w:val="TextBody"/>
        <w:bidi w:val="0"/>
        <w:spacing w:before="0" w:after="240"/>
        <w:ind w:left="0" w:right="0" w:firstLine="720"/>
        <w:jc w:val="left"/>
        <w:rPr/>
      </w:pPr>
      <w:r>
        <w:rPr/>
        <w:t>​</w:t>
      </w:r>
    </w:p>
    <w:tbl>
      <w:tblPr>
        <w:tblW w:w="10113" w:type="dxa"/>
        <w:jc w:val="left"/>
        <w:tblInd w:w="0" w:type="dxa"/>
        <w:tblLayout w:type="fixed"/>
        <w:tblCellMar>
          <w:top w:w="0" w:type="dxa"/>
          <w:left w:w="0" w:type="dxa"/>
          <w:bottom w:w="0" w:type="dxa"/>
          <w:right w:w="0" w:type="dxa"/>
        </w:tblCellMar>
      </w:tblPr>
      <w:tblGrid>
        <w:gridCol w:w="1756"/>
        <w:gridCol w:w="326"/>
        <w:gridCol w:w="1531"/>
        <w:gridCol w:w="326"/>
        <w:gridCol w:w="1291"/>
        <w:gridCol w:w="326"/>
        <w:gridCol w:w="385"/>
        <w:gridCol w:w="1070"/>
        <w:gridCol w:w="326"/>
        <w:gridCol w:w="277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115060" cy="175260"/>
                      <wp:effectExtent l="0" t="0" r="0" b="0"/>
                      <wp:wrapNone/>
                      <wp:docPr id="181" name="Frame180"/>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72185" cy="175260"/>
                      <wp:effectExtent l="0" t="0" r="0" b="0"/>
                      <wp:wrapNone/>
                      <wp:docPr id="183" name="Frame18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19785" cy="175260"/>
                      <wp:effectExtent l="0" t="0" r="0" b="0"/>
                      <wp:wrapNone/>
                      <wp:docPr id="185" name="Frame18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4475" cy="175260"/>
                      <wp:effectExtent l="0" t="0" r="0" b="0"/>
                      <wp:wrapNone/>
                      <wp:docPr id="187" name="Frame18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79450" cy="175260"/>
                      <wp:effectExtent l="0" t="0" r="0" b="0"/>
                      <wp:wrapNone/>
                      <wp:docPr id="188" name="Frame187"/>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62760" cy="175260"/>
                      <wp:effectExtent l="0" t="0" r="0" b="0"/>
                      <wp:wrapNone/>
                      <wp:docPr id="190" name="Frame189"/>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2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 Value</w:t>
            </w:r>
          </w:p>
        </w:tc>
        <w:tc>
          <w:tcPr>
            <w:tcW w:w="32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Date of Grant</w:t>
            </w:r>
          </w:p>
        </w:tc>
        <w:tc>
          <w:tcPr>
            <w:tcW w:w="326" w:type="dxa"/>
            <w:tcBorders/>
            <w:vAlign w:val="center"/>
          </w:tcPr>
          <w:p>
            <w:pPr>
              <w:pStyle w:val="TableContents"/>
              <w:bidi w:val="0"/>
              <w:spacing w:before="0" w:after="1"/>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Award Type</w:t>
            </w:r>
          </w:p>
        </w:tc>
        <w:tc>
          <w:tcPr>
            <w:tcW w:w="326" w:type="dxa"/>
            <w:tcBorders/>
            <w:vAlign w:val="center"/>
          </w:tcPr>
          <w:p>
            <w:pPr>
              <w:pStyle w:val="TableContents"/>
              <w:bidi w:val="0"/>
              <w:spacing w:before="0" w:after="1"/>
              <w:ind w:left="0" w:right="0" w:hanging="0"/>
              <w:jc w:val="center"/>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Shares/Units</w:t>
            </w:r>
          </w:p>
        </w:tc>
        <w:tc>
          <w:tcPr>
            <w:tcW w:w="326" w:type="dxa"/>
            <w:tcBorders/>
            <w:vAlign w:val="center"/>
          </w:tcPr>
          <w:p>
            <w:pPr>
              <w:pStyle w:val="TableContents"/>
              <w:bidi w:val="0"/>
              <w:spacing w:before="0" w:after="1"/>
              <w:ind w:left="0" w:right="0" w:hanging="0"/>
              <w:jc w:val="center"/>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Share/Unit</w:t>
            </w:r>
          </w:p>
        </w:tc>
        <w:tc>
          <w:tcPr>
            <w:tcW w:w="326" w:type="dxa"/>
            <w:tcBorders/>
            <w:vAlign w:val="center"/>
          </w:tcPr>
          <w:p>
            <w:pPr>
              <w:pStyle w:val="TableContents"/>
              <w:bidi w:val="0"/>
              <w:spacing w:before="0" w:after="1"/>
              <w:ind w:left="0" w:right="0" w:hanging="0"/>
              <w:jc w:val="center"/>
              <w:rPr/>
            </w:pPr>
            <w:r>
              <w:rPr/>
              <w:t>    </w:t>
            </w:r>
          </w:p>
        </w:tc>
        <w:tc>
          <w:tcPr>
            <w:tcW w:w="27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Vesting Period/Vesting Date</w:t>
            </w:r>
          </w:p>
        </w:tc>
      </w:tr>
      <w:tr>
        <w:trPr/>
        <w:tc>
          <w:tcPr>
            <w:tcW w:w="175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2024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RSU</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375,730</w:t>
            </w:r>
          </w:p>
        </w:tc>
        <w:tc>
          <w:tcPr>
            <w:tcW w:w="32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10.28</w:t>
            </w:r>
          </w:p>
        </w:tc>
        <w:tc>
          <w:tcPr>
            <w:tcW w:w="32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33% per year over three years</w:t>
            </w:r>
          </w:p>
        </w:tc>
      </w:tr>
      <w:tr>
        <w:trPr/>
        <w:tc>
          <w:tcPr>
            <w:tcW w:w="175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2024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 </w:t>
            </w:r>
          </w:p>
        </w:tc>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PSU</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351,410</w:t>
            </w:r>
          </w:p>
        </w:tc>
        <w:tc>
          <w:tcPr>
            <w:tcW w:w="326"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12.30</w:t>
            </w:r>
          </w:p>
        </w:tc>
        <w:tc>
          <w:tcPr>
            <w:tcW w:w="326" w:type="dxa"/>
            <w:tcBorders/>
            <w:vAlign w:val="center"/>
          </w:tcPr>
          <w:p>
            <w:pPr>
              <w:pStyle w:val="TableContents"/>
              <w:bidi w:val="0"/>
              <w:spacing w:before="0" w:after="1"/>
              <w:ind w:left="0" w:right="0" w:hanging="0"/>
              <w:jc w:val="left"/>
              <w:rPr/>
            </w:pPr>
            <w:r>
              <w:rPr/>
              <w:t> </w:t>
            </w:r>
          </w:p>
        </w:tc>
        <w:tc>
          <w:tcPr>
            <w:tcW w:w="27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December 31, 2026</w:t>
            </w:r>
          </w:p>
        </w:tc>
      </w:tr>
      <w:tr>
        <w:trPr/>
        <w:tc>
          <w:tcPr>
            <w:tcW w:w="1756"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January 1, 2024 </w:t>
            </w:r>
            <w:r>
              <w:rPr>
                <w:rFonts w:ascii="Arial;Helvetica;sans-serif" w:hAnsi="Arial;Helvetica;sans-serif"/>
                <w:sz w:val="15"/>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Restricted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5,776</w:t>
            </w:r>
          </w:p>
        </w:tc>
        <w:tc>
          <w:tcPr>
            <w:tcW w:w="32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10.28</w:t>
            </w:r>
          </w:p>
        </w:tc>
        <w:tc>
          <w:tcPr>
            <w:tcW w:w="32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100% on January 1, 2026</w:t>
            </w:r>
          </w:p>
        </w:tc>
      </w:tr>
    </w:tbl>
    <w:tbl>
      <w:tblPr>
        <w:tblW w:w="4037" w:type="dxa"/>
        <w:jc w:val="left"/>
        <w:tblInd w:w="0" w:type="dxa"/>
        <w:tblLayout w:type="fixed"/>
        <w:tblCellMar>
          <w:top w:w="0" w:type="dxa"/>
          <w:left w:w="0" w:type="dxa"/>
          <w:bottom w:w="0" w:type="dxa"/>
          <w:right w:w="0" w:type="dxa"/>
        </w:tblCellMar>
      </w:tblPr>
      <w:tblGrid>
        <w:gridCol w:w="346"/>
        <w:gridCol w:w="36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6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certain independent members of our Board who have elected to take their quarterly fees in stock in lieu of cash.</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Restricted stock awards are based solely on service conditions and are accounted for as equity awards. 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since 2020. For each of the three-month periods ended March 31, 2024 and 2023, we recognized $0.3 million as share-based compensation related to restricted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performance share units (“PSUs”) granted beginning in January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PSUs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three-month periods ended March 31, 2024 and 2023, $1.3 million and $1.2 million, respectively, were recognized as share-based compensation related to PSUs. In the first quarter 2024, based on the performance of our common stock price as compared to our performance peer group and our cumulative total Free Cash Flow, in each case over a three-year performance period, 452,381 PSUs granted in 2021 vested at 181%, representing 818,812 shares of our common stock with a total market value of $8.4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currently outstanding RSUs may be settled in either cash or shares of our common stock upon vesting at the discretion of the Compensation Committee and have been accounted for as liability awards. Liability RSUs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three-month periods ended March 31, 2024 and 2023, $1.5 million and $1.2 million, respectively, were recognized as compensation cost.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2024 and 2023, we granted fixed-value cash awards of $6.1 million and $6.0 million, respectively, to select management employees under the 2005 Incentive Plan. The value of these cash awards is recognized on a straight-line basis over a vesting period of three years. For the three-month periods ended March 31, 2024 and 2023, $1.4 million and $1.2 million, respectively, were recognized as compensation cost.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Defined Contribution Plans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sponsor a defined contribution 401(k) retirement plan (the “401(k) Plan”) in the U.S. We also contribute to various other defined contribution plans globally. For the three-month periods ended March 31, 2024 and 2023, we made contributions to our defined contribution plans totaling $1.4 million and $1.1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Stock Purchase Plan (“ESPP”)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March 31, 2024, 1.1 million shares were available for issuance under the ESPP. The ESPP currently has a purchase limit of 260 shares per employee per purchase period.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more information regarding our employee benefit plans, including the 2005 Incentive Plan, the defined contribution plans and the ESPP, see Note 13 to our 2023 Form 10-K.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74" w:name="Tc_X7SdCg_gTkSHEhCxlV9shQ_24_5"/>
      <w:bookmarkStart w:id="875" w:name="Tc_L3nPSOuwvUKN9HIhldN2bQ_24_2"/>
      <w:bookmarkStart w:id="876" w:name="Tc_6BjMTmmUqUa3cjiEqs7wwg_24_0"/>
      <w:bookmarkStart w:id="877" w:name="Tc_8q6cNgbMrk-AScYpOaoPOg_23_0"/>
      <w:bookmarkStart w:id="878" w:name="Tc_i52dq-0AY0WWp_9I_YKghg_22_6"/>
      <w:bookmarkStart w:id="879" w:name="Tc_rrizNRsjNE2Ex1pbP9tXrA_22_0"/>
      <w:bookmarkStart w:id="880" w:name="Tc_8x454hdq1UuAvDCvjOWT-A_21_0"/>
      <w:bookmarkStart w:id="881" w:name="Tc_A2lraokxEky86WcgOu8I3g_20_5"/>
      <w:bookmarkStart w:id="882" w:name="Tc_ijB_sKoRikSalt4bb8SW3w_20_2"/>
      <w:bookmarkStart w:id="883" w:name="Tc_Ns19f3mWvkqHl9PiOuZZIg_20_0"/>
      <w:bookmarkStart w:id="884" w:name="Tc_k-o7AAOhpEyhM5NuWFkdmg_19_0"/>
      <w:bookmarkStart w:id="885" w:name="Tc_P4oRGdzTIESPSEg1NXqRFQ_18_3"/>
      <w:bookmarkStart w:id="886" w:name="Tc_ECdR0iLgB0GI5MBRa7IylQ_18_0"/>
      <w:bookmarkStart w:id="887" w:name="Tc_uXc7ZSn8iU25GohxMPh0dA_17_0"/>
      <w:bookmarkStart w:id="888" w:name="Tc_G34iLj9iykGyBVrc7xXWzQ_16_0"/>
      <w:bookmarkStart w:id="889" w:name="Tc_9xrhqlkYfEiFsO9mvV9L1Q_15_0"/>
      <w:bookmarkStart w:id="890" w:name="Tc_vuYyGJ9iOEaj855vFHVJyw_14_0"/>
      <w:bookmarkStart w:id="891" w:name="Tc_4qwMC11-jkWvXQ2d6mdlQA_13_5"/>
      <w:bookmarkStart w:id="892" w:name="Tc_CQCYDqT-T0CfX3m1_eanBA_13_2"/>
      <w:bookmarkStart w:id="893" w:name="Tc_JKHFNQi52UGEdeUcRR-Xkw_13_0"/>
      <w:bookmarkStart w:id="894" w:name="Tc_kHHEgISgxEG3tLAwq2zZRw_12_0"/>
      <w:bookmarkStart w:id="895" w:name="Tc_Xz1HodGmJku1cWWTMgh9EA_10_5"/>
      <w:bookmarkStart w:id="896" w:name="Tc_eJVdT7OEyUaFT1SNJ4GAIA_10_2"/>
      <w:bookmarkStart w:id="897" w:name="Tc_9Fiu2E4m5kOtW3xTZblchQ_10_0"/>
      <w:bookmarkStart w:id="898" w:name="Tc_vY-eYpEs1Uq-2Kys4ku7Wg_9_0"/>
      <w:bookmarkStart w:id="899" w:name="Tc_bISqf-46f0mvfap3eilovA_8_0"/>
      <w:bookmarkStart w:id="900" w:name="Tc_YJfde0Hv8Emw-NeSjHO5UQ_7_0"/>
      <w:bookmarkStart w:id="901" w:name="Tc_Km1TrvTy0k2OnZiohfXH0g_6_0"/>
      <w:bookmarkStart w:id="902" w:name="Tc_q0bQs3v6UEWqBViC0Iq3Nw_5_5"/>
      <w:bookmarkStart w:id="903" w:name="Tc_pYlqITbpY023SS1T3y8GUA_5_2"/>
      <w:bookmarkStart w:id="904" w:name="Tc_dml-CgRu0kG79Ac4nYi3Cg_5_0"/>
      <w:bookmarkStart w:id="905" w:name="Tc_c44zZPRxokSfOMk_TKJA_g_4_0"/>
      <w:bookmarkStart w:id="906" w:name="Tc_7zV5qLS_4k6QPUNWTV-5sA_3_5"/>
      <w:bookmarkStart w:id="907" w:name="Tc_7xo5iD2mHU2oE4AGHmDC0w_3_2"/>
      <w:bookmarkStart w:id="908" w:name="Tc_X9L6c8APd0CdmXbZnlAw9g_2_2"/>
      <w:bookmarkStart w:id="909" w:name="Tc_kAJCX1K3ME222zKeDhomJQ_1_2"/>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Arial;Helvetica;sans-serif" w:hAnsi="Arial;Helvetica;sans-serif"/>
          <w:b/>
          <w:sz w:val="20"/>
        </w:rPr>
        <w:t>Note 11 — Business Segment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Our U.S., U.K. and Brazil Well Intervention operating segments are aggregated into the Well Intervention segment for financial reporting purposes. All material intercompany transactions between the segments have been eliminated. See Note 2 for more information on our business segments.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evaluate our performance based on operating income of each reportable segment. Certain financial data by reportable segment are summarized as follows (in thousands):</w:t>
      </w:r>
    </w:p>
    <w:p>
      <w:pPr>
        <w:pStyle w:val="TextBody"/>
        <w:bidi w:val="0"/>
        <w:spacing w:before="0" w:after="240"/>
        <w:ind w:left="0" w:right="0" w:firstLine="720"/>
        <w:jc w:val="left"/>
        <w:rPr/>
      </w:pPr>
      <w:r>
        <w:rPr/>
        <w:t>​</w:t>
      </w:r>
    </w:p>
    <w:tbl>
      <w:tblPr>
        <w:tblW w:w="6770" w:type="dxa"/>
        <w:jc w:val="left"/>
        <w:tblInd w:w="0" w:type="dxa"/>
        <w:tblLayout w:type="fixed"/>
        <w:tblCellMar>
          <w:top w:w="0" w:type="dxa"/>
          <w:left w:w="0" w:type="dxa"/>
          <w:bottom w:w="0" w:type="dxa"/>
          <w:right w:w="0" w:type="dxa"/>
        </w:tblCellMar>
      </w:tblPr>
      <w:tblGrid>
        <w:gridCol w:w="4246"/>
        <w:gridCol w:w="109"/>
        <w:gridCol w:w="211"/>
        <w:gridCol w:w="811"/>
        <w:gridCol w:w="326"/>
        <w:gridCol w:w="211"/>
        <w:gridCol w:w="85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696210" cy="175260"/>
                      <wp:effectExtent l="0" t="0" r="0" b="0"/>
                      <wp:wrapNone/>
                      <wp:docPr id="191" name="Frame190"/>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14985" cy="175260"/>
                      <wp:effectExtent l="0" t="0" r="0" b="0"/>
                      <wp:wrapNone/>
                      <wp:docPr id="194" name="Frame19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43560" cy="175260"/>
                      <wp:effectExtent l="0" t="0" r="0" b="0"/>
                      <wp:wrapNone/>
                      <wp:docPr id="197" name="Frame19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15"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4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4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216,459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142,438</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49,222</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49,381</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20,905</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(11,862)</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296,211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250,084</w:t>
            </w:r>
          </w:p>
        </w:tc>
      </w:tr>
      <w:tr>
        <w:trPr/>
        <w:tc>
          <w:tcPr>
            <w:tcW w:w="42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operations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(8,143)</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5,094</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6,822</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5,157</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operating income (loss)</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10,158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8,930</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(3,992)</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(13,241)</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(8,303)</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(4,187)</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non-operating income (expense), net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5,307</w:t>
            </w:r>
          </w:p>
        </w:tc>
      </w:tr>
      <w:tr>
        <w:trPr/>
        <w:tc>
          <w:tcPr>
            <w:tcW w:w="42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(7,183)</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bookmarkStart w:id="910" w:name="Tc_-yjYB--RYkWahPJSM9wOrQ_8_5"/>
      <w:bookmarkStart w:id="911" w:name="Tc_W71H7gzVZEuM1J5fQNrYhg_8_2"/>
      <w:bookmarkStart w:id="912" w:name="Tc_IIuvgMTkqkGgMJbcLdr4-g_8_0"/>
      <w:bookmarkStart w:id="913" w:name="Tc_yrh7zEXTp0Ke3aWMh57iSw_7_0"/>
      <w:bookmarkStart w:id="914" w:name="Tc_ArHjVTYNJEOnoNX58ixBPg_6_0"/>
      <w:bookmarkStart w:id="915" w:name="Tc_8oG16loeUkGAxizYIZ4EKg_5_0"/>
      <w:bookmarkStart w:id="916" w:name="Tc_p9vKAqckgES572mYdutoUw_4_0"/>
      <w:bookmarkStart w:id="917" w:name="Tc_QwaXuQfIWkGpz3AZWZr3mw_3_5"/>
      <w:bookmarkStart w:id="918" w:name="Tc_-re95CXBF0SSnT2hnTfZVA_3_2"/>
      <w:bookmarkStart w:id="919" w:name="Tc_quL-Zfp8JEuPYQaNaUbLew_3_0"/>
      <w:bookmarkStart w:id="920" w:name="Tc_jsYVb6LcFk-rA95Kxhxq1g_2_5"/>
      <w:bookmarkStart w:id="921" w:name="Tc_WmHylHzpK06fdE6aXW3Q9w_2_2"/>
      <w:bookmarkStart w:id="922" w:name="Tc_G9GEjuLEckWCs2EMRB_KqA_1_5"/>
      <w:bookmarkStart w:id="923" w:name="Tc_4-NG7Oxl0U6YadOxo3lA0Q_1_2"/>
      <w:bookmarkStart w:id="924" w:name="Tc_yeGIcg71_0CJXZKM9bNgwQ_7_5"/>
      <w:bookmarkStart w:id="925" w:name="Tc_L_XImZbUIUyWJAwyHwcjRg_7_2"/>
      <w:bookmarkStart w:id="926" w:name="Tc_orqgRpKwb0Gia26Mpksjjg_7_0"/>
      <w:bookmarkStart w:id="927" w:name="Tc_uz9gu7ogLEu_XiGPS_UZBA_6_6"/>
      <w:bookmarkStart w:id="928" w:name="Tc_Gxh2LqJZf0S7JNB-bpNVFQ_6_0"/>
      <w:bookmarkStart w:id="929" w:name="Tc_b2LUUc0lQEuRLtQ074NQCw_5_0"/>
      <w:bookmarkStart w:id="930" w:name="Tc_kKrLlOC0jUqKxsIwcnZscw_4_5"/>
      <w:bookmarkStart w:id="931" w:name="Tc_lYUNtW6XikStP7T1yHmXng_4_2"/>
      <w:bookmarkStart w:id="932" w:name="Tc_GlMDhuET8U2Lhpld-qBOvQ_4_0"/>
      <w:bookmarkStart w:id="933" w:name="Tc_9ip7UZY7s0CCwyU-5auntw_3_5"/>
      <w:bookmarkStart w:id="934" w:name="Tc_y9_43X9g1kKlrWB52KPmww_3_2"/>
      <w:bookmarkStart w:id="935" w:name="Tc_XUDeFsiGi06qrDAiAgK9xw_2_2"/>
      <w:bookmarkStart w:id="936" w:name="Tc_VtHjEQPuvES8FwAsOgYBQw_1_2"/>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5199" w:type="dxa"/>
        <w:jc w:val="left"/>
        <w:tblInd w:w="0" w:type="dxa"/>
        <w:tblLayout w:type="fixed"/>
        <w:tblCellMar>
          <w:top w:w="0" w:type="dxa"/>
          <w:left w:w="0" w:type="dxa"/>
          <w:bottom w:w="0" w:type="dxa"/>
          <w:right w:w="0" w:type="dxa"/>
        </w:tblCellMar>
      </w:tblPr>
      <w:tblGrid>
        <w:gridCol w:w="2626"/>
        <w:gridCol w:w="326"/>
        <w:gridCol w:w="211"/>
        <w:gridCol w:w="691"/>
        <w:gridCol w:w="326"/>
        <w:gridCol w:w="211"/>
        <w:gridCol w:w="808"/>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667510" cy="175260"/>
                      <wp:effectExtent l="0" t="0" r="0" b="0"/>
                      <wp:wrapNone/>
                      <wp:docPr id="198" name="Frame19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3080" cy="175260"/>
                      <wp:effectExtent l="0" t="0" r="0" b="0"/>
                      <wp:wrapNone/>
                      <wp:docPr id="204" name="Frame20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4,469</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7,393</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11,862</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pStyle w:val="TextBody"/>
        <w:bidi w:val="0"/>
        <w:spacing w:before="0" w:after="240"/>
        <w:ind w:left="0" w:right="0" w:firstLine="720"/>
        <w:jc w:val="left"/>
        <w:rPr/>
      </w:pPr>
      <w:r>
        <w:rPr/>
        <w:t>​</w:t>
      </w:r>
    </w:p>
    <w:tbl>
      <w:tblPr>
        <w:tblW w:w="5920" w:type="dxa"/>
        <w:jc w:val="left"/>
        <w:tblInd w:w="0" w:type="dxa"/>
        <w:tblLayout w:type="fixed"/>
        <w:tblCellMar>
          <w:top w:w="0" w:type="dxa"/>
          <w:left w:w="0" w:type="dxa"/>
          <w:bottom w:w="0" w:type="dxa"/>
          <w:right w:w="0" w:type="dxa"/>
        </w:tblCellMar>
      </w:tblPr>
      <w:tblGrid>
        <w:gridCol w:w="2626"/>
        <w:gridCol w:w="326"/>
        <w:gridCol w:w="211"/>
        <w:gridCol w:w="961"/>
        <w:gridCol w:w="326"/>
        <w:gridCol w:w="240"/>
        <w:gridCol w:w="1230"/>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67510" cy="175260"/>
                      <wp:effectExtent l="0" t="0" r="0" b="0"/>
                      <wp:wrapNone/>
                      <wp:docPr id="205" name="Frame20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10235" cy="175260"/>
                      <wp:effectExtent l="0" t="0" r="0" b="0"/>
                      <wp:wrapNone/>
                      <wp:docPr id="208" name="Frame20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2400" cy="175260"/>
                      <wp:effectExtent l="0" t="0" r="0" b="0"/>
                      <wp:wrapNone/>
                      <wp:docPr id="210" name="Frame20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81050" cy="175260"/>
                      <wp:effectExtent l="0" t="0" r="0" b="0"/>
                      <wp:wrapNone/>
                      <wp:docPr id="211" name="Frame210"/>
                      <a:graphic xmlns:a="http://schemas.openxmlformats.org/drawingml/2006/main">
                        <a:graphicData uri="http://schemas.microsoft.com/office/word/2010/wordprocessingShape">
                          <wps:wsp>
                            <wps:cNvSpPr txBox="1"/>
                            <wps:spPr>
                              <a:xfrm>
                                <a:off x="0" y="0"/>
                                <a:ext cx="781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1,891,832</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1,790,971</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204,777</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23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177,801</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176,019</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2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256,356</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115,283</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23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120,234</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and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225,903</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210,674</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2,613,814</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30"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2,556,036</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37" w:name="Tc_5VBB_qw0DkeDazpvQq2p0A_4_5"/>
      <w:bookmarkStart w:id="938" w:name="Tc_NpclFCW-LkeR507pBgLfiQ_4_2"/>
      <w:bookmarkStart w:id="939" w:name="Tc_4jEJThZZ8EG04NBGqJkrYw_4_0"/>
      <w:bookmarkStart w:id="940" w:name="Tc_rQ8Pvmqv3EG3TL_sJh0Mlw_3_0"/>
      <w:bookmarkStart w:id="941" w:name="Tc__-2-_dMkMkyHvTi-cKZzrQ_2_5"/>
      <w:bookmarkStart w:id="942" w:name="Tc_jdj58GCEJUSCbQqtMU_mYQ_2_2"/>
      <w:bookmarkStart w:id="943" w:name="Tc_MOiR2wWGtkyHYjkh7ACwrA_2_0"/>
      <w:bookmarkStart w:id="944" w:name="Tc_vVMDVxJyRku6kaV0sU-VmQ_1_5"/>
      <w:bookmarkStart w:id="945" w:name="Tc_mUTHGPgpE0Kbj6qqgzivoQ_1_2"/>
      <w:bookmarkEnd w:id="937"/>
      <w:bookmarkEnd w:id="938"/>
      <w:bookmarkEnd w:id="939"/>
      <w:bookmarkEnd w:id="940"/>
      <w:bookmarkEnd w:id="941"/>
      <w:bookmarkEnd w:id="942"/>
      <w:bookmarkEnd w:id="943"/>
      <w:bookmarkEnd w:id="944"/>
      <w:bookmarkEnd w:id="945"/>
      <w:r>
        <w:rPr>
          <w:rFonts w:ascii="Arial;Helvetica;sans-serif" w:hAnsi="Arial;Helvetica;sans-serif"/>
          <w:b/>
          <w:sz w:val="20"/>
        </w:rPr>
        <w:t>Note 12 — Asset Retirement Obligations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asset retirement obligations (“AROs”) relate to mature offshore oil and gas properties (Droshky and Thunder Hawk Field) that we acquired with the intention to perform decommissioning work at the end of their life cycles.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 The following table describes the changes in our AROs (in thousands):</w:t>
      </w:r>
    </w:p>
    <w:p>
      <w:pPr>
        <w:pStyle w:val="TextBody"/>
        <w:bidi w:val="0"/>
        <w:spacing w:before="0" w:after="240"/>
        <w:ind w:left="0" w:right="0" w:firstLine="720"/>
        <w:jc w:val="left"/>
        <w:rPr/>
      </w:pPr>
      <w:r>
        <w:rPr/>
        <w:t>​</w:t>
      </w:r>
    </w:p>
    <w:tbl>
      <w:tblPr>
        <w:tblW w:w="4434" w:type="dxa"/>
        <w:jc w:val="left"/>
        <w:tblInd w:w="0" w:type="dxa"/>
        <w:tblLayout w:type="fixed"/>
        <w:tblCellMar>
          <w:top w:w="0" w:type="dxa"/>
          <w:left w:w="0" w:type="dxa"/>
          <w:bottom w:w="0" w:type="dxa"/>
          <w:right w:w="0" w:type="dxa"/>
        </w:tblCellMar>
      </w:tblPr>
      <w:tblGrid>
        <w:gridCol w:w="1861"/>
        <w:gridCol w:w="326"/>
        <w:gridCol w:w="211"/>
        <w:gridCol w:w="691"/>
        <w:gridCol w:w="326"/>
        <w:gridCol w:w="211"/>
        <w:gridCol w:w="808"/>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81735" cy="175260"/>
                      <wp:effectExtent l="0" t="0" r="0" b="0"/>
                      <wp:wrapNone/>
                      <wp:docPr id="212" name="Frame211"/>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8785" cy="175260"/>
                      <wp:effectExtent l="0" t="0" r="0" b="0"/>
                      <wp:wrapNone/>
                      <wp:docPr id="215" name="Frame2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13080" cy="175260"/>
                      <wp:effectExtent l="0" t="0" r="0" b="0"/>
                      <wp:wrapNone/>
                      <wp:docPr id="218" name="Frame21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8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January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51,956</w:t>
            </w:r>
          </w:p>
        </w:tc>
      </w:tr>
      <w:tr>
        <w:trPr/>
        <w:tc>
          <w:tcPr>
            <w:tcW w:w="186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Accretion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w:t>
            </w:r>
          </w:p>
        </w:tc>
      </w:tr>
      <w:tr>
        <w:trPr/>
        <w:tc>
          <w:tcPr>
            <w:tcW w:w="186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March 31,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62,732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53,124</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13 — Commitments and Contingencies and Other Matters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has long-term charter agreements with Siem Offshore AS for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whose terms expire in December 2030 and December 2031, respectively. Our Robotics segment has vessel charters for the </w:t>
      </w:r>
      <w:r>
        <w:rPr>
          <w:rFonts w:ascii="Arial;Helvetica;sans-serif" w:hAnsi="Arial;Helvetica;sans-serif"/>
          <w:i/>
          <w:sz w:val="20"/>
        </w:rPr>
        <w:t>Grand Canyon II</w:t>
      </w:r>
      <w:r>
        <w:rPr>
          <w:rFonts w:ascii="Arial;Helvetica;sans-serif" w:hAnsi="Arial;Helvetica;sans-serif"/>
          <w:sz w:val="20"/>
        </w:rPr>
        <w:t xml:space="preserve">, the </w:t>
      </w:r>
      <w:r>
        <w:rPr>
          <w:rFonts w:ascii="Arial;Helvetica;sans-serif" w:hAnsi="Arial;Helvetica;sans-serif"/>
          <w:i/>
          <w:sz w:val="20"/>
        </w:rPr>
        <w:t>Grand Canyon III</w:t>
      </w:r>
      <w:r>
        <w:rPr>
          <w:rFonts w:ascii="Arial;Helvetica;sans-serif" w:hAnsi="Arial;Helvetica;sans-serif"/>
          <w:sz w:val="20"/>
        </w:rPr>
        <w:t xml:space="preserve">, the </w:t>
      </w:r>
      <w:r>
        <w:rPr>
          <w:rFonts w:ascii="Arial;Helvetica;sans-serif" w:hAnsi="Arial;Helvetica;sans-serif"/>
          <w:i/>
          <w:sz w:val="20"/>
        </w:rPr>
        <w:t>Shelia Bordelon</w:t>
      </w:r>
      <w:r>
        <w:rPr>
          <w:rFonts w:ascii="Arial;Helvetica;sans-serif" w:hAnsi="Arial;Helvetica;sans-serif"/>
          <w:sz w:val="20"/>
        </w:rPr>
        <w:t xml:space="preserve">, the </w:t>
      </w:r>
      <w:r>
        <w:rPr>
          <w:rFonts w:ascii="Arial;Helvetica;sans-serif" w:hAnsi="Arial;Helvetica;sans-serif"/>
          <w:i/>
          <w:sz w:val="20"/>
        </w:rPr>
        <w:t>North Sea Enabler</w:t>
      </w:r>
      <w:r>
        <w:rPr>
          <w:rFonts w:ascii="Arial;Helvetica;sans-serif" w:hAnsi="Arial;Helvetica;sans-serif"/>
          <w:sz w:val="20"/>
        </w:rPr>
        <w:t xml:space="preserve"> and the </w:t>
      </w:r>
      <w:r>
        <w:rPr>
          <w:rFonts w:ascii="Arial;Helvetica;sans-serif" w:hAnsi="Arial;Helvetica;sans-serif"/>
          <w:i/>
          <w:sz w:val="20"/>
        </w:rPr>
        <w:t>Glomar Wave</w:t>
      </w:r>
      <w:r>
        <w:rPr>
          <w:rFonts w:ascii="Arial;Helvetica;sans-serif" w:hAnsi="Arial;Helvetica;sans-serif"/>
          <w:sz w:val="20"/>
        </w:rPr>
        <w:t xml:space="preserve">. Our time charter agreement for the </w:t>
      </w:r>
      <w:r>
        <w:rPr>
          <w:rFonts w:ascii="Arial;Helvetica;sans-serif" w:hAnsi="Arial;Helvetica;sans-serif"/>
          <w:i/>
          <w:sz w:val="20"/>
        </w:rPr>
        <w:t>Grand Canyon II</w:t>
      </w:r>
      <w:r>
        <w:rPr>
          <w:rFonts w:ascii="Arial;Helvetica;sans-serif" w:hAnsi="Arial;Helvetica;sans-serif"/>
          <w:sz w:val="20"/>
        </w:rPr>
        <w:t xml:space="preserve"> expires in December 2030. Our time charter agreement for the </w:t>
      </w:r>
      <w:r>
        <w:rPr>
          <w:rFonts w:ascii="Arial;Helvetica;sans-serif" w:hAnsi="Arial;Helvetica;sans-serif"/>
          <w:i/>
          <w:sz w:val="20"/>
        </w:rPr>
        <w:t>Grand Canyon III</w:t>
      </w:r>
      <w:r>
        <w:rPr>
          <w:rFonts w:ascii="Arial;Helvetica;sans-serif" w:hAnsi="Arial;Helvetica;sans-serif"/>
          <w:sz w:val="20"/>
        </w:rPr>
        <w:t xml:space="preserve"> expires in May 2028. Our time charter agreement for the </w:t>
      </w:r>
      <w:r>
        <w:rPr>
          <w:rFonts w:ascii="Arial;Helvetica;sans-serif" w:hAnsi="Arial;Helvetica;sans-serif"/>
          <w:i/>
          <w:sz w:val="20"/>
        </w:rPr>
        <w:t xml:space="preserve">Shelia Bordelon </w:t>
      </w:r>
      <w:r>
        <w:rPr>
          <w:rFonts w:ascii="Arial;Helvetica;sans-serif" w:hAnsi="Arial;Helvetica;sans-serif"/>
          <w:sz w:val="20"/>
        </w:rPr>
        <w:t xml:space="preserve">in the Gulf of Mexico expires in June 2026. Our time charter agreement for the </w:t>
      </w:r>
      <w:r>
        <w:rPr>
          <w:rFonts w:ascii="Arial;Helvetica;sans-serif" w:hAnsi="Arial;Helvetica;sans-serif"/>
          <w:i/>
          <w:sz w:val="20"/>
        </w:rPr>
        <w:t>North Sea Enabler</w:t>
      </w:r>
      <w:r>
        <w:rPr>
          <w:rFonts w:ascii="Arial;Helvetica;sans-serif" w:hAnsi="Arial;Helvetica;sans-serif"/>
          <w:sz w:val="20"/>
        </w:rPr>
        <w:t xml:space="preserve"> expires in December 2025. We have a </w:t>
      </w:r>
      <w:r>
        <w:rPr>
          <w:rFonts w:ascii="Arial;Helvetica;sans-serif" w:hAnsi="Arial;Helvetica;sans-serif"/>
          <w:b w:val="false"/>
          <w:i w:val="false"/>
          <w:caps w:val="false"/>
          <w:smallCaps w:val="false"/>
          <w:sz w:val="20"/>
        </w:rPr>
        <w:t>three-year</w:t>
      </w:r>
      <w:r>
        <w:rPr>
          <w:rFonts w:ascii="Arial;Helvetica;sans-serif" w:hAnsi="Arial;Helvetica;sans-serif"/>
          <w:sz w:val="20"/>
        </w:rPr>
        <w:t xml:space="preserve"> charter agreement for the </w:t>
      </w:r>
      <w:r>
        <w:rPr>
          <w:rFonts w:ascii="Arial;Helvetica;sans-serif" w:hAnsi="Arial;Helvetica;sans-serif"/>
          <w:i/>
          <w:sz w:val="20"/>
        </w:rPr>
        <w:t>Glomar Wave</w:t>
      </w:r>
      <w:r>
        <w:rPr>
          <w:rFonts w:ascii="Arial;Helvetica;sans-serif" w:hAnsi="Arial;Helvetica;sans-serif"/>
          <w:sz w:val="20"/>
        </w:rPr>
        <w:t xml:space="preserve"> in the North Sea that expires in 2025.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Contingencies and Claims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are involved in various legal proceedings in the normal couse of business, including claims under the General Maritime Laws of the United States and the Merchant Marine Act of 1920 (commonly referred to as the Jones Act), contract-related disputes, employee-related disputes and subsequently identified legacy issues related to Alliance. We recognize losses for lawsuits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covered by insurance, will have a material adverse impact on our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46" w:name="Tc_c5u4wKWhT0e0-sOYcJN8PA_5_0"/>
      <w:bookmarkStart w:id="947" w:name="Tc_So39ZtvAMkumlZLL55PNBQ_4_5"/>
      <w:bookmarkStart w:id="948" w:name="Tc_RXPQMJD0MUqp-49NQKonZA_4_2"/>
      <w:bookmarkStart w:id="949" w:name="Tc_0F4RrWTd-Ea8JAnCMp_tug_4_0"/>
      <w:bookmarkStart w:id="950" w:name="Tc_yetgtK2CN0Cb6J5BnLPoGQ_3_5"/>
      <w:bookmarkStart w:id="951" w:name="Tc_Af5Id9qZtUioLt0MBeieNQ_3_2"/>
      <w:bookmarkStart w:id="952" w:name="Tc_3eLXTv0zNU-WMf44A78j8g_2_2"/>
      <w:bookmarkStart w:id="953" w:name="Tc_dz_BiCRHfEaun6eoJjCQCA_1_2"/>
      <w:bookmarkStart w:id="954" w:name="_c58b6f1c_a66d_456f_acfb_9b6ac1b89b04"/>
      <w:bookmarkEnd w:id="946"/>
      <w:bookmarkEnd w:id="947"/>
      <w:bookmarkEnd w:id="948"/>
      <w:bookmarkEnd w:id="949"/>
      <w:bookmarkEnd w:id="950"/>
      <w:bookmarkEnd w:id="951"/>
      <w:bookmarkEnd w:id="952"/>
      <w:bookmarkEnd w:id="953"/>
      <w:bookmarkEnd w:id="954"/>
      <w:r>
        <w:rPr>
          <w:rFonts w:ascii="Arial;Helvetica;sans-serif" w:hAnsi="Arial;Helvetica;sans-serif"/>
          <w:b/>
          <w:sz w:val="20"/>
        </w:rPr>
        <w:t>Note 14 — Statement of Cash Flow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define cash and cash equivalents as cash and all highly liquid financial instruments with original maturities of three months or less. The following table provides supplemental cash flow information (in thousands):</w:t>
      </w:r>
    </w:p>
    <w:p>
      <w:pPr>
        <w:pStyle w:val="TextBody"/>
        <w:bidi w:val="0"/>
        <w:spacing w:before="0" w:after="240"/>
        <w:ind w:left="0" w:right="0" w:firstLine="720"/>
        <w:jc w:val="left"/>
        <w:rPr/>
      </w:pPr>
      <w:r>
        <w:rPr/>
        <w:t>​</w:t>
      </w:r>
    </w:p>
    <w:tbl>
      <w:tblPr>
        <w:tblW w:w="4436" w:type="dxa"/>
        <w:jc w:val="left"/>
        <w:tblInd w:w="0" w:type="dxa"/>
        <w:tblLayout w:type="fixed"/>
        <w:tblCellMar>
          <w:top w:w="0" w:type="dxa"/>
          <w:left w:w="0" w:type="dxa"/>
          <w:bottom w:w="0" w:type="dxa"/>
          <w:right w:w="0" w:type="dxa"/>
        </w:tblCellMar>
      </w:tblPr>
      <w:tblGrid>
        <w:gridCol w:w="1966"/>
        <w:gridCol w:w="326"/>
        <w:gridCol w:w="222"/>
        <w:gridCol w:w="617"/>
        <w:gridCol w:w="343"/>
        <w:gridCol w:w="222"/>
        <w:gridCol w:w="740"/>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48410" cy="175260"/>
                      <wp:effectExtent l="0" t="0" r="0" b="0"/>
                      <wp:wrapNone/>
                      <wp:docPr id="219" name="Frame21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0970" cy="175260"/>
                      <wp:effectExtent l="0" t="0" r="0" b="0"/>
                      <wp:wrapNone/>
                      <wp:docPr id="221" name="Frame22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91795" cy="175260"/>
                      <wp:effectExtent l="0" t="0" r="0" b="0"/>
                      <wp:wrapNone/>
                      <wp:docPr id="222" name="Frame221"/>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7805" cy="175260"/>
                      <wp:effectExtent l="0" t="0" r="0" b="0"/>
                      <wp:wrapNone/>
                      <wp:docPr id="223" name="Frame22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0970" cy="175260"/>
                      <wp:effectExtent l="0" t="0" r="0" b="0"/>
                      <wp:wrapNone/>
                      <wp:docPr id="224" name="Frame22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69900" cy="175260"/>
                      <wp:effectExtent l="0" t="0" r="0" b="0"/>
                      <wp:wrapNone/>
                      <wp:docPr id="225" name="Frame224"/>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4"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3" w:type="dxa"/>
            <w:tcBorders/>
            <w:vAlign w:val="center"/>
          </w:tcPr>
          <w:p>
            <w:pPr>
              <w:pStyle w:val="TableContents"/>
              <w:bidi w:val="0"/>
              <w:spacing w:before="0" w:after="1"/>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paid</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1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9,613</w:t>
            </w:r>
          </w:p>
        </w:tc>
        <w:tc>
          <w:tcPr>
            <w:tcW w:w="343"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4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8,498</w:t>
            </w:r>
          </w:p>
        </w:tc>
      </w:tr>
      <w:tr>
        <w:trPr/>
        <w:tc>
          <w:tcPr>
            <w:tcW w:w="1966"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Income taxes paid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1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1,509</w:t>
            </w:r>
          </w:p>
        </w:tc>
        <w:tc>
          <w:tcPr>
            <w:tcW w:w="343"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740" w:type="dxa"/>
            <w:tcBorders/>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1,708</w:t>
            </w:r>
          </w:p>
        </w:tc>
      </w:tr>
    </w:tbl>
    <w:tbl>
      <w:tblPr>
        <w:tblW w:w="3737" w:type="dxa"/>
        <w:jc w:val="left"/>
        <w:tblInd w:w="0" w:type="dxa"/>
        <w:tblLayout w:type="fixed"/>
        <w:tblCellMar>
          <w:top w:w="0" w:type="dxa"/>
          <w:left w:w="0" w:type="dxa"/>
          <w:bottom w:w="0" w:type="dxa"/>
          <w:right w:w="0" w:type="dxa"/>
        </w:tblCellMar>
      </w:tblPr>
      <w:tblGrid>
        <w:gridCol w:w="346"/>
        <w:gridCol w:w="339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3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Exclusive of any income tax refunds.</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capital additions include the acquisition of property and equipment for which payment has not been made. These non-cash capital additions were $0.2 million at March 31, 2024 and $1.1 million at December 31,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55" w:name="Tc_YMGlDrtdhUSrOsFzV7d1_g_4_5"/>
      <w:bookmarkStart w:id="956" w:name="Tc_kf-kyJBGxkW7MFJu0KuJ4Q_4_2"/>
      <w:bookmarkStart w:id="957" w:name="Tc_wi_2rI4MTUyNIV36OYGsew_4_0"/>
      <w:bookmarkStart w:id="958" w:name="Tc_8ymmDetPHEqurU0MGHcg4A_3_0"/>
      <w:bookmarkStart w:id="959" w:name="Tc_g_RMDngI2kCBCB4KscULtg_2_5"/>
      <w:bookmarkStart w:id="960" w:name="Tc_7OJj9YkihkiFuN6nZiCm5A_2_2"/>
      <w:bookmarkStart w:id="961" w:name="Tc_1lCHGN45cUaX7HUqzinpNA_2_0"/>
      <w:bookmarkStart w:id="962" w:name="Tc_S5NGDNNG1UG_V7BGf1MaBQ_1_5"/>
      <w:bookmarkStart w:id="963" w:name="Tc_jQGZCgRoFE6RZi9airk_ig_1_2"/>
      <w:bookmarkStart w:id="964" w:name="_f4e1c8fb_8264_49fc_a376_da20abbda397"/>
      <w:bookmarkEnd w:id="955"/>
      <w:bookmarkEnd w:id="956"/>
      <w:bookmarkEnd w:id="957"/>
      <w:bookmarkEnd w:id="958"/>
      <w:bookmarkEnd w:id="959"/>
      <w:bookmarkEnd w:id="960"/>
      <w:bookmarkEnd w:id="961"/>
      <w:bookmarkEnd w:id="962"/>
      <w:bookmarkEnd w:id="963"/>
      <w:bookmarkEnd w:id="964"/>
      <w:r>
        <w:rPr>
          <w:rFonts w:ascii="Arial;Helvetica;sans-serif" w:hAnsi="Arial;Helvetica;sans-serif"/>
          <w:b/>
          <w:sz w:val="20"/>
        </w:rPr>
        <w:t>Note 15 — Allowance for Credit Losses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pStyle w:val="TextBody"/>
        <w:bidi w:val="0"/>
        <w:spacing w:before="0" w:after="240"/>
        <w:ind w:left="0" w:right="0" w:firstLine="720"/>
        <w:jc w:val="left"/>
        <w:rPr/>
      </w:pPr>
      <w:r>
        <w:rPr/>
        <w:t>​</w:t>
      </w:r>
    </w:p>
    <w:tbl>
      <w:tblPr>
        <w:tblW w:w="4404" w:type="dxa"/>
        <w:jc w:val="left"/>
        <w:tblInd w:w="0" w:type="dxa"/>
        <w:tblLayout w:type="fixed"/>
        <w:tblCellMar>
          <w:top w:w="0" w:type="dxa"/>
          <w:left w:w="0" w:type="dxa"/>
          <w:bottom w:w="0" w:type="dxa"/>
          <w:right w:w="0" w:type="dxa"/>
        </w:tblCellMar>
      </w:tblPr>
      <w:tblGrid>
        <w:gridCol w:w="2041"/>
        <w:gridCol w:w="326"/>
        <w:gridCol w:w="211"/>
        <w:gridCol w:w="586"/>
        <w:gridCol w:w="326"/>
        <w:gridCol w:w="211"/>
        <w:gridCol w:w="703"/>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96035" cy="175260"/>
                      <wp:effectExtent l="0" t="0" r="0" b="0"/>
                      <wp:wrapNone/>
                      <wp:docPr id="226" name="Frame225"/>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72110" cy="175260"/>
                      <wp:effectExtent l="0" t="0" r="0" b="0"/>
                      <wp:wrapNone/>
                      <wp:docPr id="229" name="Frame22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46405" cy="175260"/>
                      <wp:effectExtent l="0" t="0" r="0" b="0"/>
                      <wp:wrapNone/>
                      <wp:docPr id="232" name="Frame231"/>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0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January 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2,277</w:t>
            </w:r>
          </w:p>
        </w:tc>
      </w:tr>
      <w:tr>
        <w:trPr/>
        <w:tc>
          <w:tcPr>
            <w:tcW w:w="204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Additions </w:t>
            </w:r>
            <w:r>
              <w:rPr>
                <w:rFonts w:ascii="Arial;Helvetica;sans-serif" w:hAnsi="Arial;Helvetica;san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w:t>
            </w:r>
          </w:p>
        </w:tc>
      </w:tr>
      <w:tr>
        <w:trPr/>
        <w:tc>
          <w:tcPr>
            <w:tcW w:w="20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2,418</w:t>
            </w:r>
          </w:p>
        </w:tc>
      </w:tr>
    </w:tbl>
    <w:tbl>
      <w:tblPr>
        <w:tblW w:w="7652" w:type="dxa"/>
        <w:jc w:val="left"/>
        <w:tblInd w:w="0" w:type="dxa"/>
        <w:tblLayout w:type="fixed"/>
        <w:tblCellMar>
          <w:top w:w="0" w:type="dxa"/>
          <w:left w:w="0" w:type="dxa"/>
          <w:bottom w:w="0" w:type="dxa"/>
          <w:right w:w="0" w:type="dxa"/>
        </w:tblCellMar>
      </w:tblPr>
      <w:tblGrid>
        <w:gridCol w:w="346"/>
        <w:gridCol w:w="73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3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Additions reflect reserves for expected credit losses during the respective periods.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65" w:name="Tc_bl0qEi9JAUG2A0m9sIz1WQ_7_11"/>
      <w:bookmarkStart w:id="966" w:name="Tc_XJNkJARGZ0-aRr1xBNvwMQ_7_8"/>
      <w:bookmarkStart w:id="967" w:name="Tc_1Et8Eb6SHESNGN675wKsrQ_7_5"/>
      <w:bookmarkStart w:id="968" w:name="Tc_M2yKkCFv0UWqy_NmcmyksQ_7_2"/>
      <w:bookmarkStart w:id="969" w:name="Tc_pxPXVPjGbUSXEE9jPtt8BA_7_0"/>
      <w:bookmarkStart w:id="970" w:name="Tc_a6DGOuGSU0e68folc0EiaA_6_0"/>
      <w:bookmarkStart w:id="971" w:name="Tc_qj7nX4ASCkm9xjcHqeyAKA_5_0"/>
      <w:bookmarkStart w:id="972" w:name="Tc_rn_7hkO7BkSC-kQvdKNJew_4_11"/>
      <w:bookmarkStart w:id="973" w:name="Tc_ZhXeMFvDkECuCziyM0Xe0w_4_8"/>
      <w:bookmarkStart w:id="974" w:name="Tc_YMjnzVzvdUG-EcQ60lqwlg_4_6"/>
      <w:bookmarkStart w:id="975" w:name="Tc_l7KuVyzv2UKsPcQscj_KIQ_4_5"/>
      <w:bookmarkStart w:id="976" w:name="Tc_yKLcFEVcjUSdGxPaQg8H-A_4_3"/>
      <w:bookmarkStart w:id="977" w:name="Tc_M4y-K9aACE6NPEvbXJZr0A_4_2"/>
      <w:bookmarkStart w:id="978" w:name="Tc_7GSyYZ_JzkCYRTeg7qblhg_4_0"/>
      <w:bookmarkStart w:id="979" w:name="Tc_zJPBSacv3U2M4_j0hPKAMw_3_11"/>
      <w:bookmarkStart w:id="980" w:name="Tc_byLjB_R0nkGXto0_HEk0fg_3_8"/>
      <w:bookmarkStart w:id="981" w:name="Tc_EGTOV-74hEuzL9krDnipGA_3_5"/>
      <w:bookmarkStart w:id="982" w:name="Tc_QnWTgFK0NEGRnBDVlUBzxw_3_2"/>
      <w:bookmarkStart w:id="983" w:name="Tc_TenrJFWJEEOVj2Xuo09ukw_2_11"/>
      <w:bookmarkStart w:id="984" w:name="Tc_w86YL1iXJU-PQBbMav8xKQ_2_8"/>
      <w:bookmarkStart w:id="985" w:name="Tc_g0rcHu-ZUU6XsbRBuEWOPg_2_5"/>
      <w:bookmarkStart w:id="986" w:name="Tc_U71wYe_jIkCFRMT-c0ZkFw_2_2"/>
      <w:bookmarkStart w:id="987" w:name="Tc_FY4a-OR6KUOUQ2cCZ-1oPQ_1_8"/>
      <w:bookmarkStart w:id="988" w:name="Tc_-pOnQq4F5064g6OCyWx8CQ_1_2"/>
      <w:bookmarkStart w:id="989" w:name="_f0641bc7_4c5d_4745_8d56_5cb0d2248d97"/>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Arial;Helvetica;sans-serif" w:hAnsi="Arial;Helvetica;sans-serif"/>
          <w:b/>
          <w:sz w:val="20"/>
        </w:rPr>
        <w:t>Note 16 — 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principal amount and estimated fair value of our long-term debt are as follows (in thousands):</w:t>
      </w:r>
    </w:p>
    <w:p>
      <w:pPr>
        <w:pStyle w:val="TextBody"/>
        <w:bidi w:val="0"/>
        <w:spacing w:before="0" w:after="240"/>
        <w:ind w:left="0" w:right="0" w:firstLine="720"/>
        <w:jc w:val="left"/>
        <w:rPr/>
      </w:pPr>
      <w:r>
        <w:rPr/>
        <w:t>​</w:t>
      </w:r>
    </w:p>
    <w:tbl>
      <w:tblPr>
        <w:tblW w:w="9241" w:type="dxa"/>
        <w:jc w:val="left"/>
        <w:tblInd w:w="0" w:type="dxa"/>
        <w:tblLayout w:type="fixed"/>
        <w:tblCellMar>
          <w:top w:w="0" w:type="dxa"/>
          <w:left w:w="0" w:type="dxa"/>
          <w:bottom w:w="0" w:type="dxa"/>
          <w:right w:w="0" w:type="dxa"/>
        </w:tblCellMar>
      </w:tblPr>
      <w:tblGrid>
        <w:gridCol w:w="3646"/>
        <w:gridCol w:w="326"/>
        <w:gridCol w:w="226"/>
        <w:gridCol w:w="854"/>
        <w:gridCol w:w="326"/>
        <w:gridCol w:w="211"/>
        <w:gridCol w:w="796"/>
        <w:gridCol w:w="326"/>
        <w:gridCol w:w="226"/>
        <w:gridCol w:w="854"/>
        <w:gridCol w:w="326"/>
        <w:gridCol w:w="211"/>
        <w:gridCol w:w="913"/>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315210" cy="175260"/>
                      <wp:effectExtent l="0" t="0" r="0" b="0"/>
                      <wp:wrapNone/>
                      <wp:docPr id="233" name="Frame232"/>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3510" cy="175260"/>
                      <wp:effectExtent l="0" t="0" r="0" b="0"/>
                      <wp:wrapNone/>
                      <wp:docPr id="235" name="Frame2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42290" cy="175260"/>
                      <wp:effectExtent l="0" t="0" r="0" b="0"/>
                      <wp:wrapNone/>
                      <wp:docPr id="236" name="Frame235"/>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05460" cy="175260"/>
                      <wp:effectExtent l="0" t="0" r="0" b="0"/>
                      <wp:wrapNone/>
                      <wp:docPr id="239" name="Frame2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3510" cy="175260"/>
                      <wp:effectExtent l="0" t="0" r="0" b="0"/>
                      <wp:wrapNone/>
                      <wp:docPr id="241" name="Frame2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42290" cy="175260"/>
                      <wp:effectExtent l="0" t="0" r="0" b="0"/>
                      <wp:wrapNone/>
                      <wp:docPr id="242" name="Frame24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79755" cy="175260"/>
                      <wp:effectExtent l="0" t="0" r="0" b="0"/>
                      <wp:wrapNone/>
                      <wp:docPr id="245" name="Frame24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2024</w:t>
            </w:r>
          </w:p>
        </w:tc>
        <w:tc>
          <w:tcPr>
            <w:tcW w:w="326" w:type="dxa"/>
            <w:tcBorders/>
            <w:vAlign w:val="center"/>
          </w:tcPr>
          <w:p>
            <w:pPr>
              <w:pStyle w:val="TableContents"/>
              <w:bidi w:val="0"/>
              <w:spacing w:before="0" w:after="1"/>
              <w:ind w:left="0" w:right="0" w:hanging="0"/>
              <w:jc w:val="left"/>
              <w:rPr/>
            </w:pPr>
            <w:r>
              <w:rPr/>
              <w:t>​</w:t>
            </w:r>
          </w:p>
        </w:tc>
        <w:tc>
          <w:tcPr>
            <w:tcW w:w="25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2023</w:t>
            </w:r>
          </w:p>
        </w:tc>
      </w:tr>
      <w:tr>
        <w:trPr/>
        <w:tc>
          <w:tcPr>
            <w:tcW w:w="3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c>
          <w:tcPr>
            <w:tcW w:w="326" w:type="dxa"/>
            <w:tcBorders/>
            <w:vAlign w:val="center"/>
          </w:tcPr>
          <w:p>
            <w:pPr>
              <w:pStyle w:val="TableContents"/>
              <w:bidi w:val="0"/>
              <w:spacing w:before="0" w:after="1"/>
              <w:ind w:left="0" w:right="0" w:hanging="0"/>
              <w:jc w:val="center"/>
              <w:rPr/>
            </w:pPr>
            <w:r>
              <w:rPr/>
              <w:t>​</w:t>
            </w:r>
          </w:p>
        </w:tc>
        <w:tc>
          <w:tcPr>
            <w:tcW w:w="108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26" w:type="dxa"/>
            <w:tcBorders/>
            <w:vAlign w:val="center"/>
          </w:tcPr>
          <w:p>
            <w:pPr>
              <w:pStyle w:val="TableContents"/>
              <w:bidi w:val="0"/>
              <w:spacing w:before="0" w:after="1"/>
              <w:ind w:left="0" w:right="0" w:hanging="0"/>
              <w:jc w:val="center"/>
              <w:rPr/>
            </w:pPr>
            <w:r>
              <w:rPr/>
              <w:t>​</w:t>
            </w:r>
          </w:p>
        </w:tc>
        <w:tc>
          <w:tcPr>
            <w:tcW w:w="11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Fair</w:t>
            </w:r>
          </w:p>
        </w:tc>
      </w:tr>
      <w:tr>
        <w:trPr/>
        <w:tc>
          <w:tcPr>
            <w:tcW w:w="36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c>
          <w:tcPr>
            <w:tcW w:w="326" w:type="dxa"/>
            <w:tcBorders/>
            <w:vAlign w:val="center"/>
          </w:tcPr>
          <w:p>
            <w:pPr>
              <w:pStyle w:val="TableContents"/>
              <w:bidi w:val="0"/>
              <w:spacing w:before="0" w:after="1"/>
              <w:ind w:left="0" w:right="0" w:hanging="0"/>
              <w:jc w:val="center"/>
              <w:rPr/>
            </w:pPr>
            <w:r>
              <w:rPr/>
              <w:t>    </w:t>
            </w:r>
          </w:p>
        </w:tc>
        <w:tc>
          <w:tcPr>
            <w:tcW w:w="108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124"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r>
      <w:tr>
        <w:trPr/>
        <w:tc>
          <w:tcPr>
            <w:tcW w:w="36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 Notes (fully redeemed March 2024)</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64,117</w:t>
            </w:r>
          </w:p>
        </w:tc>
      </w:tr>
      <w:tr>
        <w:trPr/>
        <w:tc>
          <w:tcPr>
            <w:tcW w:w="36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27,906</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32,348</w:t>
            </w:r>
          </w:p>
        </w:tc>
      </w:tr>
      <w:tr>
        <w:trPr/>
        <w:tc>
          <w:tcPr>
            <w:tcW w:w="36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318,000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315,987</w:t>
            </w:r>
          </w:p>
        </w:tc>
      </w:tr>
      <w:tr>
        <w:trPr/>
        <w:tc>
          <w:tcPr>
            <w:tcW w:w="36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328,258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345,906</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372,779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412,452</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amount includes current maturities and excludes any related unamortized debt discount and debt issuance costs. See Note 5 for additional disclosures on our long-term debt.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7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estimated fair value was determined using Level 2 fair value inputs under the market approach, which was determined using quotes in inactive markets.</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90" w:name="Item2ManagementsDiscussionandAnalysisofF"/>
      <w:bookmarkStart w:id="991" w:name="_b026b583_8884_4e86_8889_a14edaa609e7"/>
      <w:bookmarkEnd w:id="990"/>
      <w:bookmarkEnd w:id="991"/>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FORWARD-LOOKING STATEMENTS AND ASSUMPTIONS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business strategy, corporate initiatives and any other business plans, forecasts or objectives, any or all of which are subject to 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projections of revenues, gross margins, expenses, earnings or losses, working capital, debt and liquidity, cash flows, future operations expenditures or other financial items;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backlog and commercial contracts and rates thereunder;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enter into, renew and/or perform commercial contracts, including the scope, timing and outcome of those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energy transition and energy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ability to identify, effect and integrate acquisitions, joint ventures or other transactions and any subsequently identified legacy issues with respect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acquisition, construction, completion, upgrades to or maintenance and/or regulatory certification of vessels, systems or equipment and any anticipated costs or downtime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any financing transactions or arrangements, or our ability to enter into such transactions or arrangements;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trade receivables and their collectability;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legislative, governmental, regulatory, administrative or other public body actions, requirements, permits or decisions;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sustainability initiatives and the successes thereon or regarding our environmental efforts, including with respect to greenhouse gas emissions;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global, market or investor sentiment with respect to fossil fuels;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general economic or political conditions, whether international, national or in the regional or local markets in which we do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existing activities in, and future expansion into, the offshore renewable energy market;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potential developments, industry trends, performance or industry ranking;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human capital resources, including our ability to retain our senior management and other key employees;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our share repurchase authorization or program;</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regarding the underlying assumptions related to any projection or forward-looking statement; and</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other statements that relate to non-historical or future information.</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domestic and global economic and market conditions and the future impact of such conditions on the offshore energy industry and the demand for our services;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general impact of oil and natural gas price volatility and the cyclical nature of the oil and gas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corporate initiatives such as alliances, partnerships, joint ventures, mergers, acquisitions, divestitures and restructurings, and any amounts payable in connection therewith, or the determination not to pursue or effect such initiatives;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operating results of acquired properties and/or equipment;</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inflation and our ability to recoup rising costs in the rates we charge to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ability to secure and realize backlog, including any potential cancellation, deferral or modification of our work or contracts by our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effectively bid, renew and perform our contracts, including the impact of equipment problems or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the imposition by our customers of rate reductions, fines and penalties with respect to our operating assets;</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contracts by customers, suppliers and other counterparties;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our continuing efforts to control costs and improve performance;</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future operations expenditures, including the amount and nature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and timing of our vessel and/or system upgrades, regulatory certification and inspection as well as major maintenance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hazards, including unexpected delays in the delivery, chartering or customer acceptance, and terms of acceptance, of our assets;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adverse weather conditions and/or other risks associated with marine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foreign currency exchange controls, potential illiquidity of those currencies and exchange rate fluctuations;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risk management activities and processes, including with respect to our cybersecurity initiatives and disclosures;</w:t>
            </w:r>
          </w:p>
        </w:tc>
      </w:tr>
    </w:tbl>
    <w:tbl>
      <w:tblPr>
        <w:tblW w:w="2811" w:type="dxa"/>
        <w:jc w:val="left"/>
        <w:tblInd w:w="0" w:type="dxa"/>
        <w:tblLayout w:type="fixed"/>
        <w:tblCellMar>
          <w:top w:w="28" w:type="dxa"/>
          <w:left w:w="28" w:type="dxa"/>
          <w:bottom w:w="28" w:type="dxa"/>
          <w:right w:w="28" w:type="dxa"/>
        </w:tblCellMar>
      </w:tblPr>
      <w:tblGrid>
        <w:gridCol w:w="124"/>
        <w:gridCol w:w="256"/>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competition;</w:t>
            </w:r>
          </w:p>
        </w:tc>
      </w:tr>
    </w:tbl>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capital (including any financing) to fund our business strategy and/or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effects of our indebtedness, our ability to comply with debt covenants and our ability to reduce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our stock price on our financing activities such as repurchases of our common stock under share repurchase programs;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our sustainability initiatives and disclosures;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current and future laws and governmental regulations and how they will be interpreted or enforced, including related to fossil fuel production, decommissioning, and litigation and similar claims in which we may be involved;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future impact of international activity and trade agreements on our business, operations and financial condition;</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effectiveness of any future hedging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impact of a negative event related to our human capital resources, including a loss of one or more key employees;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general, market, industry or business conditions; and</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factors generally described in Item 1A. Risk Factors in our 2023 Form 10-K.</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actual results could also differ materially from those anticipated in any forward-looking statements as a result of a variety of factors, including those described in Item 7. “Management’s Discussion and Analysis of Financial Condition and Results of Operations” in our 2023 Form 10-K. Should one or more of the risks or uncertainties described in this Quarterly Report occur, or should underlying assumptions prove incorrect, our actual results and plans could differ materially from those expressed in any forward-looking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2023 Form 10-K that attempt to advise interested parties of the risks and factors that may affect our business.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EXECUTIVE SUMMARY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fleet includes seven purpose-built well intervention vessels and 12 subsea intervention systems. Our robotics equipment includes 39 work-class ROVs, six trenchers and two IROV boulder grabs. We charter robotics support vessels on long-term, short-term, flexible and spot bases to facilitate our ROV and trenching operations. Our Shallow Water Abandonment segment includes nine liftboats, six OSVs, three DSVs, one heavy lift derrick barge, one crew boat, 20 P&amp;A systems and six CT systems. Our Production Facilities segment includes the </w:t>
      </w:r>
      <w:r>
        <w:rPr>
          <w:rFonts w:ascii="Arial;Helvetica;sans-serif" w:hAnsi="Arial;Helvetica;sans-serif"/>
          <w:i/>
          <w:sz w:val="20"/>
        </w:rPr>
        <w:t>HP I</w:t>
      </w:r>
      <w:r>
        <w:rPr>
          <w:rFonts w:ascii="Arial;Helvetica;sans-serif" w:hAnsi="Arial;Helvetica;sans-serif"/>
          <w:sz w:val="20"/>
        </w:rPr>
        <w:t>, the HFRS and our ownership of mature oil and gas properties.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Industry Influences and Market Environment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Demand for decommissioning, which has been an area of growth for us in recent years, is affected by commodity prices as well as governmental regulations and political forces globally.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Oil prices continue to be volatile but have generally remained robust since 2020. Global demand for oil continues to experience growth, and we expect the current market conditions will maintain continued customer spending for the industry. Despite the current commodity price environment, factors that could threaten the current commodity price environment persist, including regional conflicts, unrest in the Middle East, decisions from members of the Organization of Petroleum Exporting Countries (“OPEC”) and other non-OPEC producer nations (collectively with OPEC members, “OPEC+”), various governmental and customer sustainability initiatives and continued shifting of resource allocation to renewable energy. We expect these factors will continue to contribute to commodity price volatility with the potential to temper customer spending for oil and gas projects.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seeing oil and gas companies continue to invest in long-cycle exploration projects in addition to maintaining and/or increasing production from their existing reserves. As historically production enhancement through well intervention is less expensive per incremental barrel of oil than exploration, we expect oil and gas companies to continue to focus on optimizing production of their existing subsea wells.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support the energy transition to renewable energy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We expect growth in our renewables services as the energy market transitions to continued offshore renewable energy developments.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Once end-of-life oil and gas wells have depleted their production, we decommission wells and infrastructure in our Well Intervention and Shallow Water Abandonment segments. Our operations service the life cycle of an oil and gas field and provide P&amp;A and decommissioning services at the end of the life of a field as required by governmental regulations. We believe that we have a competitive advantage in performing these services efficiently. The demand for P&amp;A services should grow over the mid- to long-term as the subsea tree base expands, as government regulations continue to place stronger emphasis on decommissioning aged wells worldwide (including subsea trees as well as mature dry tree wells in the shallow waters of the Gulf of Mexico), as customers look to reduce their decommissioning obligations and as customers shift resources to renewable energy.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Outlook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2024, despite a backdrop of a somewhat uncertain macro environment globally, we expect to experience another strong year of performance driven by increasing demand for our decommissioning services internationally and continued growth in the offshore renewables trenching market. The demand for shallow water decommissioning services in the Gulf of Mexico is expected to soften in the near term but should grow over the mid- to long-term.</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Backlog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backlog is represented by signed contracts. As of March 31, 2024, our consolidated backlog totaled approximately $997 million, of which $663 million is expected to be performed over the remainder of 2024. Our various contracts with Shell globally, our contracts with Trident Energy and Petrobras in Brazil, our contracts with ExxonMobil globally, and our agreement for the </w:t>
      </w:r>
      <w:r>
        <w:rPr>
          <w:rFonts w:ascii="Arial;Helvetica;sans-serif" w:hAnsi="Arial;Helvetica;sans-serif"/>
          <w:i/>
          <w:sz w:val="20"/>
        </w:rPr>
        <w:t>HP I</w:t>
      </w:r>
      <w:r>
        <w:rPr>
          <w:rFonts w:ascii="Arial;Helvetica;sans-serif" w:hAnsi="Arial;Helvetica;sans-serif"/>
          <w:sz w:val="20"/>
        </w:rPr>
        <w:t xml:space="preserve"> in the Gulf of Mexico represented approximately 65% of our total backlog as of March 31, 2024.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Non-GAAP Financial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EBITDA as earnings before income taxes, net interest expense,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related to convertible senior notes, the change in fair value of contingent consideration and the general provision (release) for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net loss to EBITDA and Adjusted EBITDA is as follows (in thousands):</w:t>
      </w:r>
    </w:p>
    <w:p>
      <w:pPr>
        <w:pStyle w:val="TextBody"/>
        <w:bidi w:val="0"/>
        <w:spacing w:before="0" w:after="240"/>
        <w:ind w:left="0" w:right="0" w:firstLine="720"/>
        <w:jc w:val="left"/>
        <w:rPr/>
      </w:pPr>
      <w:r>
        <w:rPr/>
        <w:t>​</w:t>
      </w:r>
    </w:p>
    <w:tbl>
      <w:tblPr>
        <w:tblW w:w="8109" w:type="dxa"/>
        <w:jc w:val="left"/>
        <w:tblInd w:w="0" w:type="dxa"/>
        <w:tblLayout w:type="fixed"/>
        <w:tblCellMar>
          <w:top w:w="0" w:type="dxa"/>
          <w:left w:w="0" w:type="dxa"/>
          <w:bottom w:w="0" w:type="dxa"/>
          <w:right w:w="0" w:type="dxa"/>
        </w:tblCellMar>
      </w:tblPr>
      <w:tblGrid>
        <w:gridCol w:w="5416"/>
        <w:gridCol w:w="326"/>
        <w:gridCol w:w="211"/>
        <w:gridCol w:w="811"/>
        <w:gridCol w:w="326"/>
        <w:gridCol w:w="211"/>
        <w:gridCol w:w="808"/>
      </w:tblGrid>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14985" cy="175260"/>
                      <wp:effectExtent l="0" t="0" r="0" b="0"/>
                      <wp:wrapNone/>
                      <wp:docPr id="248" name="Frame2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13080" cy="175260"/>
                      <wp:effectExtent l="0" t="0" r="0" b="0"/>
                      <wp:wrapNone/>
                      <wp:docPr id="251" name="Frame250"/>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67"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6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5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(5,165)</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pPr>
            <w:r>
              <w:rPr/>
              <w:t>  </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(2,018)</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4,187</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(3,444)</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46,353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37,537</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EBITDA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31,097</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pPr>
            <w:r>
              <w:rPr/>
              <w:t>  </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(367)</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Acquisition and integration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3,992</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provision (release) for current expected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141</w:t>
            </w:r>
          </w:p>
        </w:tc>
      </w:tr>
      <w:tr>
        <w:trPr/>
        <w:tc>
          <w:tcPr>
            <w:tcW w:w="54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46,990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35,094</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cash flows from operating activities to Free Cash Flow is as follows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569"/>
        <w:gridCol w:w="326"/>
        <w:gridCol w:w="211"/>
        <w:gridCol w:w="705"/>
        <w:gridCol w:w="326"/>
        <w:gridCol w:w="211"/>
        <w:gridCol w:w="857"/>
      </w:tblGrid>
      <w:tr>
        <w:trPr/>
        <w:tc>
          <w:tcPr>
            <w:tcW w:w="75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47675" cy="175260"/>
                      <wp:effectExtent l="0" t="0" r="0" b="0"/>
                      <wp:wrapNone/>
                      <wp:docPr id="254" name="Frame253"/>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44195" cy="175260"/>
                      <wp:effectExtent l="0" t="0" r="0" b="0"/>
                      <wp:wrapNone/>
                      <wp:docPr id="257" name="Frame256"/>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75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75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756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64,484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(5,392)</w:t>
            </w:r>
          </w:p>
        </w:tc>
      </w:tr>
      <w:tr>
        <w:trPr/>
        <w:tc>
          <w:tcPr>
            <w:tcW w:w="756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Capital expenditures, net of proceeds from asset sales and insurance recoveries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(6,300)</w:t>
            </w:r>
          </w:p>
        </w:tc>
      </w:tr>
      <w:tr>
        <w:trPr/>
        <w:tc>
          <w:tcPr>
            <w:tcW w:w="756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61,242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(11,692)</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long-term debt to Net Debt is as follows (in thousands):</w:t>
      </w:r>
    </w:p>
    <w:p>
      <w:pPr>
        <w:pStyle w:val="TextBody"/>
        <w:bidi w:val="0"/>
        <w:spacing w:before="0" w:after="240"/>
        <w:ind w:left="0" w:right="0" w:firstLine="720"/>
        <w:jc w:val="left"/>
        <w:rPr/>
      </w:pPr>
      <w:r>
        <w:rPr/>
        <w:t>​</w:t>
      </w:r>
    </w:p>
    <w:tbl>
      <w:tblPr>
        <w:tblW w:w="7075" w:type="dxa"/>
        <w:jc w:val="left"/>
        <w:tblInd w:w="0" w:type="dxa"/>
        <w:tblLayout w:type="fixed"/>
        <w:tblCellMar>
          <w:top w:w="0" w:type="dxa"/>
          <w:left w:w="0" w:type="dxa"/>
          <w:bottom w:w="0" w:type="dxa"/>
          <w:right w:w="0" w:type="dxa"/>
        </w:tblCellMar>
      </w:tblPr>
      <w:tblGrid>
        <w:gridCol w:w="3826"/>
        <w:gridCol w:w="326"/>
        <w:gridCol w:w="211"/>
        <w:gridCol w:w="916"/>
        <w:gridCol w:w="326"/>
        <w:gridCol w:w="278"/>
        <w:gridCol w:w="1192"/>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429510" cy="175260"/>
                      <wp:effectExtent l="0" t="0" r="0" b="0"/>
                      <wp:wrapNone/>
                      <wp:docPr id="258" name="Frame257"/>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81660" cy="175260"/>
                      <wp:effectExtent l="0" t="0" r="0" b="0"/>
                      <wp:wrapNone/>
                      <wp:docPr id="261" name="Frame26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76530" cy="175260"/>
                      <wp:effectExtent l="0" t="0" r="0" b="0"/>
                      <wp:wrapNone/>
                      <wp:docPr id="263" name="Frame26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56920" cy="175260"/>
                      <wp:effectExtent l="0" t="0" r="0" b="0"/>
                      <wp:wrapNone/>
                      <wp:docPr id="264" name="Frame263"/>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including current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318,164</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361,722</w:t>
            </w:r>
          </w:p>
        </w:tc>
      </w:tr>
      <w:tr>
        <w:trPr/>
        <w:tc>
          <w:tcPr>
            <w:tcW w:w="38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(323,849)</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(332,191)</w:t>
            </w:r>
          </w:p>
        </w:tc>
      </w:tr>
      <w:tr>
        <w:trPr/>
        <w:tc>
          <w:tcPr>
            <w:tcW w:w="38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(5,685)</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29,531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Three Months Ended March 31, 2024 and 2023</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581"/>
        <w:gridCol w:w="326"/>
        <w:gridCol w:w="211"/>
        <w:gridCol w:w="802"/>
        <w:gridCol w:w="406"/>
        <w:gridCol w:w="211"/>
        <w:gridCol w:w="802"/>
        <w:gridCol w:w="406"/>
        <w:gridCol w:w="211"/>
        <w:gridCol w:w="778"/>
        <w:gridCol w:w="326"/>
        <w:gridCol w:w="811"/>
        <w:gridCol w:w="334"/>
      </w:tblGrid>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09270" cy="175260"/>
                      <wp:effectExtent l="0" t="0" r="0" b="0"/>
                      <wp:wrapNone/>
                      <wp:docPr id="267" name="Frame266"/>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57810" cy="175260"/>
                      <wp:effectExtent l="0" t="0" r="0" b="0"/>
                      <wp:wrapNone/>
                      <wp:docPr id="268" name="Frame2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09270" cy="175260"/>
                      <wp:effectExtent l="0" t="0" r="0" b="0"/>
                      <wp:wrapNone/>
                      <wp:docPr id="270" name="Frame269"/>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57810" cy="175260"/>
                      <wp:effectExtent l="0" t="0" r="0" b="0"/>
                      <wp:wrapNone/>
                      <wp:docPr id="271" name="Frame27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4030" cy="175260"/>
                      <wp:effectExtent l="0" t="0" r="0" b="0"/>
                      <wp:wrapNone/>
                      <wp:docPr id="273" name="Frame27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14985" cy="175260"/>
                      <wp:effectExtent l="0" t="0" r="0" b="0"/>
                      <wp:wrapNone/>
                      <wp:docPr id="275" name="Frame27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2090" cy="175260"/>
                      <wp:effectExtent l="0" t="0" r="0" b="0"/>
                      <wp:wrapNone/>
                      <wp:docPr id="276" name="Frame275"/>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32"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406" w:type="dxa"/>
            <w:tcBorders/>
            <w:vAlign w:val="center"/>
          </w:tcPr>
          <w:p>
            <w:pPr>
              <w:pStyle w:val="TableContents"/>
              <w:bidi w:val="0"/>
              <w:spacing w:before="0" w:after="1"/>
              <w:ind w:left="0" w:right="0" w:hanging="0"/>
              <w:jc w:val="left"/>
              <w:rPr/>
            </w:pPr>
            <w:r>
              <w:rPr/>
              <w:t>​</w:t>
            </w:r>
          </w:p>
        </w:tc>
        <w:tc>
          <w:tcPr>
            <w:tcW w:w="2126" w:type="dxa"/>
            <w:gridSpan w:val="4"/>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c>
          <w:tcPr>
            <w:tcW w:w="334" w:type="dxa"/>
            <w:tcBorders/>
            <w:vAlign w:val="center"/>
          </w:tcPr>
          <w:p>
            <w:pPr>
              <w:pStyle w:val="TableContents"/>
              <w:bidi w:val="0"/>
              <w:spacing w:before="0" w:after="1"/>
              <w:ind w:left="0" w:right="0" w:hanging="0"/>
              <w:jc w:val="center"/>
              <w:rPr/>
            </w:pPr>
            <w:r>
              <w:rPr/>
              <w:t> </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406" w:type="dxa"/>
            <w:tcBorders/>
            <w:vAlign w:val="center"/>
          </w:tcPr>
          <w:p>
            <w:pPr>
              <w:pStyle w:val="TableContents"/>
              <w:bidi w:val="0"/>
              <w:spacing w:before="0" w:after="1"/>
              <w:ind w:left="0" w:right="0" w:hanging="0"/>
              <w:jc w:val="left"/>
              <w:rPr/>
            </w:pPr>
            <w:r>
              <w:rPr/>
              <w:t>​</w:t>
            </w:r>
          </w:p>
        </w:tc>
        <w:tc>
          <w:tcPr>
            <w:tcW w:w="212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c>
          <w:tcPr>
            <w:tcW w:w="334" w:type="dxa"/>
            <w:tcBorders/>
            <w:vAlign w:val="center"/>
          </w:tcPr>
          <w:p>
            <w:pPr>
              <w:pStyle w:val="TableContents"/>
              <w:bidi w:val="0"/>
              <w:spacing w:before="0" w:after="1"/>
              <w:ind w:left="0" w:right="0" w:hanging="0"/>
              <w:jc w:val="center"/>
              <w:rPr/>
            </w:pPr>
            <w:r>
              <w:rPr/>
              <w:t> </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406" w:type="dxa"/>
            <w:tcBorders/>
            <w:vAlign w:val="center"/>
          </w:tcPr>
          <w:p>
            <w:pPr>
              <w:pStyle w:val="TableContents"/>
              <w:bidi w:val="0"/>
              <w:spacing w:before="0" w:after="1"/>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406" w:type="dxa"/>
            <w:tcBorders/>
            <w:vAlign w:val="center"/>
          </w:tcPr>
          <w:p>
            <w:pPr>
              <w:pStyle w:val="TableContents"/>
              <w:bidi w:val="0"/>
              <w:spacing w:before="0" w:after="1"/>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Percent</w:t>
            </w:r>
          </w:p>
        </w:tc>
        <w:tc>
          <w:tcPr>
            <w:tcW w:w="334" w:type="dxa"/>
            <w:tcBorders/>
            <w:vAlign w:val="center"/>
          </w:tcPr>
          <w:p>
            <w:pPr>
              <w:pStyle w:val="TableContents"/>
              <w:bidi w:val="0"/>
              <w:spacing w:before="0" w:after="1"/>
              <w:ind w:left="0" w:right="0" w:hanging="0"/>
              <w:jc w:val="center"/>
              <w:rPr/>
            </w:pPr>
            <w:r>
              <w:rPr/>
              <w:t> </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216,459</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142,438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74,021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50,309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49,222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49,381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(22,528)</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24,152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20,905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(9,700)</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296,211</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250,084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46,127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23,144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(4,362)</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27,506</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631</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8,183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1,176</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(9,763)</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7,498</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(17,261)</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w:t>
            </w:r>
          </w:p>
        </w:tc>
        <w:tc>
          <w:tcPr>
            <w:tcW w:w="33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(1,306)</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5,783</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(7,089)</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(742)</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19,554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15,184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3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4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margin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company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Number of vessels, Robotics assets or Shallow Water Abandonment systems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90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 / 80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 / 58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 / 56</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 / 74</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 / 91</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r>
        <w:trPr/>
        <w:tc>
          <w:tcPr>
            <w:tcW w:w="4581" w:type="dxa"/>
            <w:tcBorders/>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vessels </w:t>
            </w:r>
            <w:r>
              <w:rPr>
                <w:rFonts w:ascii="Arial;Helvetica;sans-serif" w:hAnsi="Arial;Helvetica;sans-serif"/>
                <w:sz w:val="15"/>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41</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 / 58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r>
      <w:tr>
        <w:trPr/>
        <w:tc>
          <w:tcPr>
            <w:tcW w:w="458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Shallow Water Abandonment systems </w:t>
            </w:r>
            <w:r>
              <w:rPr>
                <w:rFonts w:ascii="Arial;Helvetica;sans-serif" w:hAnsi="Arial;Helvetica;san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 / 26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 / 68</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during the three-month periods ended March 31, 2024 and 2023 included 91 spot vessel days at full utilization and 13 spot vessel days at 81% utilization, respectively.</w:t>
            </w:r>
          </w:p>
        </w:tc>
      </w:tr>
    </w:tbl>
    <w:tbl>
      <w:tblPr>
        <w:tblW w:w="5207" w:type="dxa"/>
        <w:jc w:val="left"/>
        <w:tblInd w:w="0" w:type="dxa"/>
        <w:tblLayout w:type="fixed"/>
        <w:tblCellMar>
          <w:top w:w="0" w:type="dxa"/>
          <w:left w:w="0" w:type="dxa"/>
          <w:bottom w:w="0" w:type="dxa"/>
          <w:right w:w="0" w:type="dxa"/>
        </w:tblCellMar>
      </w:tblPr>
      <w:tblGrid>
        <w:gridCol w:w="346"/>
        <w:gridCol w:w="48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8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tbl>
      <w:tblPr>
        <w:tblW w:w="7277" w:type="dxa"/>
        <w:jc w:val="left"/>
        <w:tblInd w:w="0" w:type="dxa"/>
        <w:tblLayout w:type="fixed"/>
        <w:tblCellMar>
          <w:top w:w="0" w:type="dxa"/>
          <w:left w:w="0" w:type="dxa"/>
          <w:bottom w:w="0" w:type="dxa"/>
          <w:right w:w="0" w:type="dxa"/>
        </w:tblCellMar>
      </w:tblPr>
      <w:tblGrid>
        <w:gridCol w:w="346"/>
        <w:gridCol w:w="69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6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liftboats, OSVs, DSVs, a heavy lift derrick barge and a crew boat.</w:t>
            </w:r>
          </w:p>
        </w:tc>
      </w:tr>
    </w:tbl>
    <w:tbl>
      <w:tblPr>
        <w:tblW w:w="3512" w:type="dxa"/>
        <w:jc w:val="left"/>
        <w:tblInd w:w="0" w:type="dxa"/>
        <w:tblLayout w:type="fixed"/>
        <w:tblCellMar>
          <w:top w:w="0" w:type="dxa"/>
          <w:left w:w="0" w:type="dxa"/>
          <w:bottom w:w="0" w:type="dxa"/>
          <w:right w:w="0" w:type="dxa"/>
        </w:tblCellMar>
      </w:tblPr>
      <w:tblGrid>
        <w:gridCol w:w="346"/>
        <w:gridCol w:w="316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3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P&amp;A and CT systems.</w:t>
            </w:r>
          </w:p>
        </w:tc>
      </w:tr>
    </w:tbl>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6518" w:type="dxa"/>
        <w:jc w:val="left"/>
        <w:tblInd w:w="0" w:type="dxa"/>
        <w:tblLayout w:type="fixed"/>
        <w:tblCellMar>
          <w:top w:w="0" w:type="dxa"/>
          <w:left w:w="0" w:type="dxa"/>
          <w:bottom w:w="0" w:type="dxa"/>
          <w:right w:w="0" w:type="dxa"/>
        </w:tblCellMar>
      </w:tblPr>
      <w:tblGrid>
        <w:gridCol w:w="2626"/>
        <w:gridCol w:w="326"/>
        <w:gridCol w:w="211"/>
        <w:gridCol w:w="691"/>
        <w:gridCol w:w="326"/>
        <w:gridCol w:w="211"/>
        <w:gridCol w:w="691"/>
        <w:gridCol w:w="326"/>
        <w:gridCol w:w="254"/>
        <w:gridCol w:w="856"/>
      </w:tblGrid>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8785" cy="175260"/>
                      <wp:effectExtent l="0" t="0" r="0" b="0"/>
                      <wp:wrapNone/>
                      <wp:docPr id="279" name="Frame2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8785" cy="175260"/>
                      <wp:effectExtent l="0" t="0" r="0" b="0"/>
                      <wp:wrapNone/>
                      <wp:docPr id="282" name="Frame2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61290" cy="175260"/>
                      <wp:effectExtent l="0" t="0" r="0" b="0"/>
                      <wp:wrapNone/>
                      <wp:docPr id="284" name="Frame28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43560" cy="175260"/>
                      <wp:effectExtent l="0" t="0" r="0" b="0"/>
                      <wp:wrapNone/>
                      <wp:docPr id="285" name="Frame28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54"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4,469</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6,783</w:t>
            </w:r>
          </w:p>
        </w:tc>
      </w:tr>
      <w:tr>
        <w:trPr/>
        <w:tc>
          <w:tcPr>
            <w:tcW w:w="26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7,393</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2,835</w:t>
            </w:r>
          </w:p>
        </w:tc>
      </w:tr>
      <w:tr>
        <w:trPr/>
        <w:tc>
          <w:tcPr>
            <w:tcW w:w="26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Shallow Water Abandonment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11,862</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9,700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for the three-month period ended March 31, 2024 increased by 18% as compared to the same period in 2023, reflecting higher revenues in our Well Intervention, Robotics and Production Facilities business segments, offset in part by lower revenues in our Shallow Water Abandonment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52% for the three-month period ended March 31, 2024 as compared to the same period in 2023, primarily reflecting higher revenues on the </w:t>
      </w:r>
      <w:r>
        <w:rPr>
          <w:rFonts w:ascii="Arial;Helvetica;sans-serif" w:hAnsi="Arial;Helvetica;sans-serif"/>
          <w:i/>
          <w:sz w:val="20"/>
        </w:rPr>
        <w:t>Q7000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and higher rates and utilization on the </w:t>
      </w:r>
      <w:r>
        <w:rPr>
          <w:rFonts w:ascii="Arial;Helvetica;sans-serif" w:hAnsi="Arial;Helvetica;sans-serif"/>
          <w:i/>
          <w:sz w:val="20"/>
        </w:rPr>
        <w:t>Seawell</w:t>
      </w:r>
      <w:r>
        <w:rPr>
          <w:rFonts w:ascii="Arial;Helvetica;sans-serif" w:hAnsi="Arial;Helvetica;sans-serif"/>
          <w:sz w:val="20"/>
        </w:rPr>
        <w:t xml:space="preserve">, offset in part by lower utilization on the </w:t>
      </w:r>
      <w:r>
        <w:rPr>
          <w:rFonts w:ascii="Arial;Helvetica;sans-serif" w:hAnsi="Arial;Helvetica;sans-serif"/>
          <w:i/>
          <w:sz w:val="20"/>
        </w:rPr>
        <w:t>Well Enhancer</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had full utilization during the first quarter 2024 whereas the vessel was transiting from West Africa to Asia Pacific and undergoing regulatory and project related dockings during the first quarter 2023, and utilization increased on the </w:t>
      </w:r>
      <w:r>
        <w:rPr>
          <w:rFonts w:ascii="Arial;Helvetica;sans-serif" w:hAnsi="Arial;Helvetica;sans-serif"/>
          <w:i/>
          <w:sz w:val="20"/>
        </w:rPr>
        <w:t>Q5000</w:t>
      </w:r>
      <w:r>
        <w:rPr>
          <w:rFonts w:ascii="Arial;Helvetica;sans-serif" w:hAnsi="Arial;Helvetica;sans-serif"/>
          <w:sz w:val="20"/>
        </w:rPr>
        <w:t xml:space="preserve"> during the first quarter 2024 as the vessel underwent a regulatory docking during the first quarter 2023. The </w:t>
      </w:r>
      <w:r>
        <w:rPr>
          <w:rFonts w:ascii="Arial;Helvetica;sans-serif" w:hAnsi="Arial;Helvetica;sans-serif"/>
          <w:i/>
          <w:sz w:val="20"/>
        </w:rPr>
        <w:t>Seawell</w:t>
      </w:r>
      <w:r>
        <w:rPr>
          <w:rFonts w:ascii="Arial;Helvetica;sans-serif" w:hAnsi="Arial;Helvetica;sans-serif"/>
          <w:sz w:val="20"/>
        </w:rPr>
        <w:t xml:space="preserve"> benefitted from being on contract during the entire first quarter 2024 in the western Mediterranean as compared to having had lower seasonal utilization and rates in the North Sea during the first quarter 2023. The </w:t>
      </w:r>
      <w:r>
        <w:rPr>
          <w:rFonts w:ascii="Arial;Helvetica;sans-serif" w:hAnsi="Arial;Helvetica;sans-serif"/>
          <w:i/>
          <w:sz w:val="20"/>
        </w:rPr>
        <w:t>Well Enhancer</w:t>
      </w:r>
      <w:r>
        <w:rPr>
          <w:rFonts w:ascii="Arial;Helvetica;sans-serif" w:hAnsi="Arial;Helvetica;sans-serif"/>
          <w:sz w:val="20"/>
        </w:rPr>
        <w:t xml:space="preserve"> in the North Sea had lower utilization as compared to the prior year period as the vessel underwent a 54-day scheduled dry dock during the first quarter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revenues increased by 2% for the three-month period ended March 31, 2024 as compared to the same period in 2023, primarily reflecting higher chartered vessel days and trenching and ROV activities during the first quarter 2024. Chartered vessel days increased to 333 days during the first quarter 2024 as compared to 295 days during the first quarter 2023, although chartered vessel days in the first quarter 2024 included approximately 64 days of standby utilization at reduced rates. ROV and trencher utilization increased to 58% in the first quarter 2024 from 56% during the first quarter 2023 and included 85 days of integrated vessel trenching in the first quarter 2024 as compared to 66 days in the first quarter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revenues decreased by 46% for the three-month period ended March 31, 2024 as compared to the same period in 2023. The decrease in revenues is due to lower activity levels that are reflective of the variable nature of operator spending as well as higher customer concentrations in the Gulf of Mexico shelf market, resulting in lower vessel and system utilization during the first quarter 2024 as compared to the first quarter 2023. Overall vessel utilization was 41% during the first quarter 2024 as compared to 58% during the first quarter 2023. P&amp;A systems and CT systems achieved 626 days of utilization, or 26% on 26 systems, during the first quarter 2024 as compared to 1,277 days of utilization, or 68% on 21 systems, during the first quarter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increased by 16% for the three-month period ended March 31, 2024 as compared to the same period in 2023, primarily reflecting higher oil and gas production as the Thunder Hawk wells were shut in for planned maintenance during the first quarter 2023.</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(Loss). </w:t>
      </w:r>
      <w:r>
        <w:rPr>
          <w:rFonts w:ascii="Arial;Helvetica;sans-serif" w:hAnsi="Arial;Helvetica;sans-serif"/>
          <w:sz w:val="20"/>
        </w:rPr>
        <w:t>Our consolidated gross profit increased by $4.4 million for the three-month period ended March 31, 2024 as compared to the same period in 2023, primarily reflecting increased profits from our Well Intervention and Robotics business segments, offset in part by losses from our Shallow Water Abandonment and Production Facilities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segment had a gross profit of $23.1 million for the three-month period ended March 31, 2024 as compared to a gross loss of $4.4 million for the same period in 2023, primarily reflecting higher segment revenues.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increased by $1.2 million for the three-month period ended March 31, 2024 as compared to the same period in 2023, primarily reflecting higher revenues due to increased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Shallow Water Abandonment segment had a gross loss of $9.8 million for the three-month period ended March 31, 2024 as compared to a gross profit of $7.5 million for the same period in 2023, primarily reflecting lower segment revenues.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segment had a gross loss of $1.3 million for the three-month period ended March 31, 2024 as compared to a gross profit of $5.8 million for the same period in 2023, primarily reflecting well workover costs of approximately $8.6 million related to the Thunder Hawk wells during the first quarter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Change in Fair Value of Contingent Consideration. </w:t>
      </w:r>
      <w:r>
        <w:rPr>
          <w:rFonts w:ascii="Arial;Helvetica;sans-serif" w:hAnsi="Arial;Helvetica;sans-serif"/>
          <w:sz w:val="20"/>
        </w:rPr>
        <w:t>The change in fair value of contingent consideration in the first quarter 2023 reflected an improvement in Helix Alliance’s results during the first quarter. We entered into an agreement and set the final earn-out during the fourth quarter 2023, which was paid on April 3,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$21.0 million for the three-month period ended March 31, 2024 as compared to $19.6 million for the same period in 2023, primarily reflecting an increase in professional fees, third party services and office-related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Interest Expense. </w:t>
      </w:r>
      <w:r>
        <w:rPr>
          <w:rFonts w:ascii="Arial;Helvetica;sans-serif" w:hAnsi="Arial;Helvetica;sans-serif"/>
          <w:sz w:val="20"/>
        </w:rPr>
        <w:t>Our net interest expense totaled $5.5 million for the three-month period ended March 31, 2024 as compared to $4.2 million for the same period in 2023, primarily reflecting interest expense on our 2029 Notes, offset in part by higher interest income on our invested cash reserves (Note 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Losses Related to Convertible Senior Notes. </w:t>
      </w:r>
      <w:r>
        <w:rPr>
          <w:rFonts w:ascii="Arial;Helvetica;sans-serif" w:hAnsi="Arial;Helvetica;sans-serif"/>
          <w:sz w:val="20"/>
        </w:rPr>
        <w:t>The $20.9 million loss for the three-month period ended March 31, 2024 was associated with the retirement of our 2026 Notes (Note 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Other Income (Expense), Net. </w:t>
      </w:r>
      <w:r>
        <w:rPr>
          <w:rFonts w:ascii="Arial;Helvetica;sans-serif" w:hAnsi="Arial;Helvetica;sans-serif"/>
          <w:sz w:val="20"/>
        </w:rPr>
        <w:t>Net other expense was $2.2 million for the three-month period ended March 31, 2024 as compared to net other income of $3.4 million for the same period in 2023, primarily reflecting foreign currency losses related to the depreciation of the British pound primarily on U.S. dollar denominated intercompany debt in our U.K. entities.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Income Tax Benefit. </w:t>
      </w:r>
      <w:r>
        <w:rPr>
          <w:rFonts w:ascii="Arial;Helvetica;sans-serif" w:hAnsi="Arial;Helvetica;sans-serif"/>
          <w:sz w:val="20"/>
        </w:rPr>
        <w:t>Income tax benefit was $1.7 million for the three-month period ended March 31, 2024 as compared to $2.0 million for the same period in 2023. The effective tax rates for the three-month periods ended March 31, 2024 and 2023 were 6.1% and 28.1%, respectively. The decrease in effective tax rates was primarily attributable to the non-deductibility of certain losses associated with the 2026 Notes Redemptions, which was characterized as a discrete event and reported in the current quarter (Note 6).</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Condition and Liquidity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certain information useful in the analysis of our financial condition and liquidity (in thousands):</w:t>
      </w:r>
    </w:p>
    <w:p>
      <w:pPr>
        <w:pStyle w:val="TextBody"/>
        <w:bidi w:val="0"/>
        <w:spacing w:before="0" w:after="240"/>
        <w:ind w:left="0" w:right="0" w:firstLine="720"/>
        <w:jc w:val="left"/>
        <w:rPr/>
      </w:pPr>
      <w:r>
        <w:rPr/>
        <w:t>​</w:t>
      </w:r>
    </w:p>
    <w:tbl>
      <w:tblPr>
        <w:tblW w:w="7193" w:type="dxa"/>
        <w:jc w:val="left"/>
        <w:tblInd w:w="0" w:type="dxa"/>
        <w:tblLayout w:type="fixed"/>
        <w:tblCellMar>
          <w:top w:w="0" w:type="dxa"/>
          <w:left w:w="0" w:type="dxa"/>
          <w:bottom w:w="0" w:type="dxa"/>
          <w:right w:w="0" w:type="dxa"/>
        </w:tblCellMar>
      </w:tblPr>
      <w:tblGrid>
        <w:gridCol w:w="4006"/>
        <w:gridCol w:w="326"/>
        <w:gridCol w:w="223"/>
        <w:gridCol w:w="842"/>
        <w:gridCol w:w="326"/>
        <w:gridCol w:w="275"/>
        <w:gridCol w:w="1195"/>
      </w:tblGrid>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1605" cy="175260"/>
                      <wp:effectExtent l="0" t="0" r="0" b="0"/>
                      <wp:wrapNone/>
                      <wp:docPr id="287" name="Frame28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34670" cy="175260"/>
                      <wp:effectExtent l="0" t="0" r="0" b="0"/>
                      <wp:wrapNone/>
                      <wp:docPr id="288" name="Frame287"/>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74625" cy="175260"/>
                      <wp:effectExtent l="0" t="0" r="0" b="0"/>
                      <wp:wrapNone/>
                      <wp:docPr id="290" name="Frame28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58825" cy="175260"/>
                      <wp:effectExtent l="0" t="0" r="0" b="0"/>
                      <wp:wrapNone/>
                      <wp:docPr id="291" name="Frame290"/>
                      <a:graphic xmlns:a="http://schemas.openxmlformats.org/drawingml/2006/main">
                        <a:graphicData uri="http://schemas.microsoft.com/office/word/2010/wordprocessingShape">
                          <wps:wsp>
                            <wps:cNvSpPr txBox="1"/>
                            <wps:spPr>
                              <a:xfrm>
                                <a:off x="0" y="0"/>
                                <a:ext cx="758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c>
          <w:tcPr>
            <w:tcW w:w="32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working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257,728</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249,223</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(excluding current maturities)</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309,199</w:t>
            </w:r>
          </w:p>
        </w:tc>
        <w:tc>
          <w:tcPr>
            <w:tcW w:w="32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11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313,430</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Liquidity</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419,401</w:t>
            </w:r>
          </w:p>
        </w:tc>
        <w:tc>
          <w:tcPr>
            <w:tcW w:w="32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1195" w:type="dxa"/>
            <w:tcBorders/>
            <w:shd w:fill="CCEEFF" w:val="cle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431,471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Working Capital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 Net working capital at March 31, 2024 and December 31, 2023 includes $85.0 million of Alliance earn-out consideration that was paid in cash on April 3, 2024.</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Long-term debt in the table above includes our MARAD Debt, the 2023 Notes, the 2026 Notes and the 2029 Notes and excludes current maturities of $9.0 million at March 31, 2024 and $48.3 million at December 31, 2023, and is net of unamortized debt discount and debt issuance costs. See Note 5 for information relating to our long-term debt.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liquidity as cash and cash equivalents plus available capacity under our credit facility. Our liquidity at March 31, 2024 included $323.8 million of cash and cash equivalents and $95.6 million of available borrowing capacity under the Amended ABL Facility (Note 5). In March 2024, we settled the remaining $40.2 million aggregate principal amount of the 2026 Notes for $60.5 million in cash (excluding costs), offset in part by $4.4 million from the settlement of the remaining 2026 Capped Calls. Our liquidity at December 31, 2023 included $332.2 million of cash and cash equivalents and $99.3 million of available borrowing capacity under the Amended ABL Facility. In December 2023, we used $229.7 million of the cash proceeds from the 2029 Notes, as well as 1.5 million shares of our common stock, to repurchase $159.8 million aggregate principal amount of the 2026 Notes, offset in part by $15.6 million from the associated 2026 Capped Calls. On April 3, 2024, we paid $85.0 million of earn-out consideration in cash to the seller in the Alliance transaction.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the current market environment, following the settlement of the Alliance earn-out we expect strong ongoing operating performance and cash flows, continued availability on the Amended ABL Facility and reductions in Net Debt (See “Results of Operations — Non-GAAP Financial Measures” for the definition of Net Debt). We believe that our cash on hand, internally generated cash flows and availability under the Amended ABL Facility will be sufficient to fund our operations and service our debt and other obligations over at least the next 12 months.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 We currently do not anticipate borrowing under the Amended ABL Facility other than for the issuance of letters of credit.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the three-month period ended March 31, 2024, we repurchased a total of 462,585 shares of our common stock for approximately $5.0 million pursuant to the 2023 Repurchase Program.</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Flows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summary data from our condensed consolidated statements of cash flows (in thousands):</w:t>
      </w:r>
    </w:p>
    <w:p>
      <w:pPr>
        <w:pStyle w:val="TextBody"/>
        <w:bidi w:val="0"/>
        <w:spacing w:before="0" w:after="240"/>
        <w:ind w:left="0" w:right="0" w:firstLine="720"/>
        <w:jc w:val="left"/>
        <w:rPr/>
      </w:pPr>
      <w:r>
        <w:rPr/>
        <w:t>​</w:t>
      </w:r>
    </w:p>
    <w:tbl>
      <w:tblPr>
        <w:tblW w:w="5142" w:type="dxa"/>
        <w:jc w:val="left"/>
        <w:tblInd w:w="0" w:type="dxa"/>
        <w:tblLayout w:type="fixed"/>
        <w:tblCellMar>
          <w:top w:w="0" w:type="dxa"/>
          <w:left w:w="0" w:type="dxa"/>
          <w:bottom w:w="0" w:type="dxa"/>
          <w:right w:w="0" w:type="dxa"/>
        </w:tblCellMar>
      </w:tblPr>
      <w:tblGrid>
        <w:gridCol w:w="2506"/>
        <w:gridCol w:w="326"/>
        <w:gridCol w:w="211"/>
        <w:gridCol w:w="811"/>
        <w:gridCol w:w="326"/>
        <w:gridCol w:w="211"/>
        <w:gridCol w:w="751"/>
      </w:tblGrid>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14985" cy="175260"/>
                      <wp:effectExtent l="0" t="0" r="0" b="0"/>
                      <wp:wrapNone/>
                      <wp:docPr id="294" name="Frame29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76885" cy="175260"/>
                      <wp:effectExtent l="0" t="0" r="0" b="0"/>
                      <wp:wrapNone/>
                      <wp:docPr id="297" name="Frame29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Three Months Ended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March 31,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26" w:type="dxa"/>
            <w:tcBorders/>
            <w:vAlign w:val="center"/>
          </w:tcPr>
          <w:p>
            <w:pPr>
              <w:pStyle w:val="TableContents"/>
              <w:bidi w:val="0"/>
              <w:spacing w:before="0" w:after="1"/>
              <w:ind w:left="0" w:right="0" w:hanging="0"/>
              <w:jc w:val="center"/>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provided by (used in):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64,484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(5,392)</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(6,300)</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(69,304)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increase in our operating cash flows for the three-month period ended March 31, 2024 as compared to the same period in 2023 primarily reflects lower operating losses, higher working capital inflows and lower regulatory recertification costs for our vessels and systems. Regulatory recertification spend on our vessels and systems amounted to $9.6 million and $17.2 million, respectively, during the comparable year over year periods.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Investing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used in investing activities for the three-month periods ended March 31, 2024 and 2023 reflect lower capital expenditures during the first quarter 2024.</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Financing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outflows from financing activities for the three-month period ended March 31, 2024 primarily reflect cash outflows of $60.7 million related to the 2026 Notes, $4.2 million in repurchases of our common stock under the 2023 Repurchase Program and the principal repayment of $4.3 million related to the MARAD Debt, offset in part by $4.4 million from the proportionate settlement of the 2026 Capped Calls. Net cash outflows from financing activities for the three-month period ended March 31, 2023 primarily reflect $5.0 million in repurchases of our common stock under the 2023 Repurchase Program and the repayment of $4.1 million related to the MARAD Debt.</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material cash requirements include our obligations to repay our long-term debt, satisfy other contractual cash commitments and fund other obligations.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 and other contractual 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following table summarizes (in thousands) the principal amount of our long-term debt and related debt service costs as well as other contractual commitments, which include commitments for property and equipment, operating lease obligations and Alliance earn-out consideration, as of March 31, 2024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March 31, 2024.</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acquired Helix Alliance in July 2022 for total consideration that included cash plus an earn-out to the extent Helix Alliance’s financial results exceeded certain thresholds in 2022 and 2023. During the fourth quarter 2023, we finalized the calculation and agreed with the seller in the Alliance transaction on an $85.0 million earn-out that was paid in cash on April 3, 2024. Accordingly, we reported $85.0 million of Alliance earn-out consideration in “Accrued liabilities” in the condensed consolidated balance sheets (Note 3).</w:t>
      </w:r>
    </w:p>
    <w:p>
      <w:pPr>
        <w:pStyle w:val="TextBody"/>
        <w:bidi w:val="0"/>
        <w:spacing w:before="0" w:after="240"/>
        <w:ind w:left="0" w:right="0" w:firstLine="720"/>
        <w:jc w:val="left"/>
        <w:rPr/>
      </w:pPr>
      <w:r>
        <w:rPr/>
        <w:t>​</w:t>
      </w:r>
    </w:p>
    <w:tbl>
      <w:tblPr>
        <w:tblW w:w="6786" w:type="dxa"/>
        <w:jc w:val="left"/>
        <w:tblInd w:w="0" w:type="dxa"/>
        <w:tblLayout w:type="fixed"/>
        <w:tblCellMar>
          <w:top w:w="0" w:type="dxa"/>
          <w:left w:w="0" w:type="dxa"/>
          <w:bottom w:w="0" w:type="dxa"/>
          <w:right w:w="0" w:type="dxa"/>
        </w:tblCellMar>
      </w:tblPr>
      <w:tblGrid>
        <w:gridCol w:w="2191"/>
        <w:gridCol w:w="326"/>
        <w:gridCol w:w="211"/>
        <w:gridCol w:w="961"/>
        <w:gridCol w:w="326"/>
        <w:gridCol w:w="242"/>
        <w:gridCol w:w="914"/>
        <w:gridCol w:w="326"/>
        <w:gridCol w:w="211"/>
        <w:gridCol w:w="1078"/>
      </w:tblGrid>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10235" cy="175260"/>
                      <wp:effectExtent l="0" t="0" r="0" b="0"/>
                      <wp:wrapNone/>
                      <wp:docPr id="300" name="Frame29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53670" cy="175260"/>
                      <wp:effectExtent l="0" t="0" r="0" b="0"/>
                      <wp:wrapNone/>
                      <wp:docPr id="302" name="Frame30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80390" cy="175260"/>
                      <wp:effectExtent l="0" t="0" r="0" b="0"/>
                      <wp:wrapNone/>
                      <wp:docPr id="303" name="Frame302"/>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84530" cy="175260"/>
                      <wp:effectExtent l="0" t="0" r="0" b="0"/>
                      <wp:wrapNone/>
                      <wp:docPr id="306" name="Frame305"/>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Short-Term</w:t>
            </w:r>
          </w:p>
        </w:tc>
        <w:tc>
          <w:tcPr>
            <w:tcW w:w="326" w:type="dxa"/>
            <w:tcBorders/>
            <w:vAlign w:val="center"/>
          </w:tcPr>
          <w:p>
            <w:pPr>
              <w:pStyle w:val="TableContents"/>
              <w:bidi w:val="0"/>
              <w:spacing w:before="0" w:after="1"/>
              <w:ind w:left="0" w:right="0" w:hanging="0"/>
              <w:jc w:val="center"/>
              <w:rPr/>
            </w:pPr>
            <w:r>
              <w:rPr/>
              <w:t>    </w:t>
            </w:r>
          </w:p>
        </w:tc>
        <w:tc>
          <w:tcPr>
            <w:tcW w:w="12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Long-Term</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MARAD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28,258</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19,293</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2029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7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related to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147,722</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31,104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116,618</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17,924</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91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78" w:type="dxa"/>
            <w:tcBorders/>
            <w:vAlign w:val="center"/>
          </w:tcPr>
          <w:p>
            <w:pPr>
              <w:pStyle w:val="TableContents"/>
              <w:bidi w:val="0"/>
              <w:spacing w:before="0" w:after="1"/>
              <w:ind w:left="0" w:right="0" w:hanging="0"/>
              <w:jc w:val="right"/>
              <w:rPr/>
            </w:pPr>
            <w:r>
              <w:rPr/>
              <w:t>—</w:t>
            </w:r>
          </w:p>
        </w:tc>
      </w:tr>
      <w:tr>
        <w:trPr/>
        <w:tc>
          <w:tcPr>
            <w:tcW w:w="2191" w:type="dxa"/>
            <w:tcBorders/>
            <w:shd w:fill="CCEEFF" w:val="clear"/>
            <w:vAlign w:val="center"/>
          </w:tcPr>
          <w:p>
            <w:pPr>
              <w:pStyle w:val="TableContents"/>
              <w:bidi w:val="0"/>
              <w:spacing w:lineRule="auto" w:line="240" w:before="0" w:after="1"/>
              <w:ind w:left="0" w:right="0" w:hanging="0"/>
              <w:jc w:val="left"/>
              <w:rPr>
                <w:rFonts w:ascii="Arial;Helvetica;sans-serif" w:hAnsi="Arial;Helvetica;sans-serif"/>
                <w:sz w:val="20"/>
              </w:rPr>
            </w:pPr>
            <w:r>
              <w:rPr>
                <w:rFonts w:ascii="Arial;Helvetica;sans-serif" w:hAnsi="Arial;Helvetica;sans-serif"/>
                <w:sz w:val="20"/>
              </w:rPr>
              <w:t xml:space="preserve">Operating leases </w:t>
            </w:r>
            <w:r>
              <w:rPr>
                <w:rFonts w:ascii="Arial;Helvetica;sans-serif" w:hAnsi="Arial;Helvetica;san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1,005,264</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91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135,257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7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870,007</w:t>
            </w:r>
          </w:p>
        </w:tc>
      </w:tr>
      <w:tr>
        <w:trPr/>
        <w:tc>
          <w:tcPr>
            <w:tcW w:w="21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Earn-out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cash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1,584,168</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278,250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Arial;Helvetica;sans-serif" w:hAnsi="Arial;Helvetica;sans-serif"/>
                <w:sz w:val="20"/>
              </w:rPr>
            </w:pPr>
            <w:r>
              <w:rPr>
                <w:rFonts w:ascii="Arial;Helvetica;sans-serif" w:hAnsi="Arial;Helvetica;sans-serif"/>
                <w:sz w:val="20"/>
              </w:rPr>
              <w:t>1,305,918</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leases include vessel charters and facility and equipment leases. At March 31, 2024, our commitment related to long-term vessel charters totaled approximately $990.9 million, of which $533.3 million was related to the non-lease (services) components that are not included in operating lease liabilities in the condensed consolidated balance sheet as of March 31, 2024.</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Other material cash requirements include the following: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Decommissioning.</w:t>
      </w:r>
      <w:r>
        <w:rPr>
          <w:rFonts w:ascii="Arial;Helvetica;sans-serif" w:hAnsi="Arial;Helvetica;sans-serif"/>
          <w:sz w:val="20"/>
        </w:rPr>
        <w:t xml:space="preserve"> We have decommissioning obligations associated with our oil and gas properties (Note 12). Those obligations, which are presented on a discounted basis on the condensed consolidated balance sheets, approximate $80.9 million (undiscounted) for Thunder Hawk Field oil and gas properties and $37.1 million (undiscounted) for Droshky oil and gas properties as of March 31, 2024, none of which is expected to be paid during the next 12 months. We are entitled to receive $30.0 million (undiscounted) from Marathon Oil as certain decommissioning obligations associated with Droshky oil and gas properties are fulfilled.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Regulatory recertification and dry dock.</w:t>
      </w:r>
      <w:r>
        <w:rPr>
          <w:rFonts w:ascii="Arial;Helvetica;sans-serif" w:hAnsi="Arial;Helvetica;sans-serif"/>
          <w:sz w:val="20"/>
        </w:rPr>
        <w:t xml:space="preserve"> Our vessels and systems are subject to certain regulatory recertification 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expect the sources of funds to satisfy our material cash requirements to primarily come from our ongoing operations and existing cash on hand, but may also come from availability under the Amended ABL Facility and access to capital markets.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CRITICAL ACCOUNTING ESTIMATES AND POLICIES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2023 Form 10-K.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992" w:name="Item3QuantitativeandQualitativeDisclosur"/>
      <w:bookmarkStart w:id="993" w:name="_53a0ad34_b597_4e3e_b0c6_f342507f7ab2"/>
      <w:bookmarkEnd w:id="992"/>
      <w:bookmarkEnd w:id="993"/>
      <w:r>
        <w:rPr>
          <w:rFonts w:ascii="Arial;Helvetica;sans-serif" w:hAnsi="Arial;Helvetica;sans-serif"/>
          <w:b/>
          <w:sz w:val="20"/>
        </w:rPr>
        <w:t>Item 3. Quantitative and Qualitative Disclosures About Market Risk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a multi-national organization, we are subject to market risks associated with foreign currency exchange rates, interest rates and commodity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Foreign Currency Exchange Rate Risk. </w:t>
      </w:r>
      <w:r>
        <w:rPr>
          <w:rFonts w:ascii="Arial;Helvetica;sans-serif" w:hAnsi="Arial;Helvetica;sans-serif"/>
          <w:sz w:val="20"/>
        </w:rPr>
        <w:t>Because we operate in various regions around the world, we conduct a 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three-month period ended March 31, 2024, we recorded foreign currency translation losses of $6.7 million to accumulated other comprehensive loss. Deferred taxes have not been provided on foreign currency translation adjustments as any outside stock basis differences would be realized in a tax-free manner.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three-month period ended March 31, 2024, we recorded net foreign currency losses of $2.2 million, primarily reflecting foreign currency losses related to U.S. dollar denominated intercompany debt in our U.K. entities.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 xml:space="preserve">Interest Rate Risk. </w:t>
      </w:r>
      <w:r>
        <w:rPr>
          <w:rFonts w:ascii="Arial;Helvetica;sans-serif" w:hAnsi="Arial;Helvetica;sans-serif"/>
          <w:sz w:val="20"/>
        </w:rPr>
        <w:t>In order to minimize the risk of changes to our cash flow due to changing interest rates, we 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our ABL Facility or other debt subject to floating rates.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i/>
          <w:sz w:val="20"/>
        </w:rPr>
        <w:t xml:space="preserve">Commodity Price Risk. </w:t>
      </w:r>
      <w:r>
        <w:rPr>
          <w:rFonts w:ascii="Arial;Helvetica;sans-serif" w:hAnsi="Arial;Helvetica;sans-serif"/>
          <w:sz w:val="20"/>
        </w:rPr>
        <w:t>We are exposed to market price risks related to oil and natural gas with respect to offshore oil and gas production in our Production Facilities business. Prices are volatile and unpredictable and are dependent on many factors beyond our control. See Item 1A. Risk Factors in our 2023 Form 10-K for a list of factors affecting oil and gas prices.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94" w:name="Item4ControlsandProcedures_957871"/>
      <w:bookmarkStart w:id="995" w:name="_e22bcbc6_3a5b_4aff_b5a9_b57ffc4299e5"/>
      <w:bookmarkEnd w:id="994"/>
      <w:bookmarkEnd w:id="995"/>
      <w:r>
        <w:rPr>
          <w:rFonts w:ascii="Arial;Helvetica;sans-serif" w:hAnsi="Arial;Helvetica;sans-serif"/>
          <w:b/>
          <w:sz w:val="20"/>
        </w:rPr>
        <w:t>Item 4. Controls and Procedures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March 31, 2024. Based on this evaluation, our principal executive officer and principal financial officer have concluded that our disclosure controls and procedures were effective as of March 31, 2024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(b)  Changes in internal control over financial reporting. There have been no changes in our internal control over financial reporting that occurred during the three-month period ended March 31, 2024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996" w:name="PartIIOTHERINFORMATION_832834"/>
      <w:bookmarkStart w:id="997" w:name="_83e3f5a5_7431_41ac_9e8b_5397ea4b1b2c"/>
      <w:bookmarkEnd w:id="996"/>
      <w:bookmarkEnd w:id="997"/>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998" w:name="Item1LegalProceedings_634382"/>
      <w:bookmarkEnd w:id="998"/>
      <w:r>
        <w:rPr>
          <w:rFonts w:ascii="Arial;Helvetica;sans-serif" w:hAnsi="Arial;Helvetica;sans-serif"/>
          <w:b/>
          <w:sz w:val="20"/>
        </w:rPr>
        <w:t>Item 1. Legal Proceedings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Part I, Item 1, Note 13 — Commitments and Contingencies and Other Matters to the Condensed Consolidated Financial Statements, which is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999" w:name="Item1ARiskFactors"/>
      <w:bookmarkStart w:id="1000" w:name="_35366df3_925c_4106_b575_d7447db79a90"/>
      <w:bookmarkStart w:id="1001" w:name="_Item_1A._Risk"/>
      <w:bookmarkEnd w:id="999"/>
      <w:bookmarkEnd w:id="1000"/>
      <w:bookmarkEnd w:id="1001"/>
      <w:r>
        <w:rPr>
          <w:rFonts w:ascii="Arial;Helvetica;sans-serif" w:hAnsi="Arial;Helvetica;sans-serif"/>
          <w:b/>
          <w:sz w:val="20"/>
        </w:rPr>
        <w:t>Item 1A. Risk Factors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There have been no material changes during the period ended March 31, 2024 in our “Risk Factors” as discussed in Item 1A of our Annual Report on Form 10-K for the year ended December 31,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002" w:name="Item2UnregisteredSalesofEquitySecurities"/>
      <w:bookmarkStart w:id="1003" w:name="_687fc59c_f458_4aec_a0ff_4694a9ebf44b"/>
      <w:bookmarkEnd w:id="1002"/>
      <w:bookmarkEnd w:id="1003"/>
      <w:r>
        <w:rPr>
          <w:rFonts w:ascii="Arial;Helvetica;sans-serif" w:hAnsi="Arial;Helvetica;sans-serif"/>
          <w:b/>
          <w:sz w:val="20"/>
        </w:rPr>
        <w:t>Item 2. Unregistered Sales of Equity Securities and Use of Proceeds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Issuer Purchases of Equity Securities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793"/>
        <w:gridCol w:w="326"/>
        <w:gridCol w:w="1335"/>
        <w:gridCol w:w="326"/>
        <w:gridCol w:w="270"/>
        <w:gridCol w:w="754"/>
        <w:gridCol w:w="326"/>
        <w:gridCol w:w="1677"/>
        <w:gridCol w:w="326"/>
        <w:gridCol w:w="412"/>
        <w:gridCol w:w="1660"/>
      </w:tblGrid>
      <w:tr>
        <w:trPr/>
        <w:tc>
          <w:tcPr>
            <w:tcW w:w="2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847725" cy="175260"/>
                      <wp:effectExtent l="0" t="0" r="0" b="0"/>
                      <wp:wrapNone/>
                      <wp:docPr id="308" name="Frame307"/>
                      <a:graphic xmlns:a="http://schemas.openxmlformats.org/drawingml/2006/main">
                        <a:graphicData uri="http://schemas.microsoft.com/office/word/2010/wordprocessingShape">
                          <wps:wsp>
                            <wps:cNvSpPr txBox="1"/>
                            <wps:spPr>
                              <a:xfrm>
                                <a:off x="0" y="0"/>
                                <a:ext cx="847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71450" cy="175260"/>
                      <wp:effectExtent l="0" t="0" r="0" b="0"/>
                      <wp:wrapNone/>
                      <wp:docPr id="310" name="Frame30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78790" cy="175260"/>
                      <wp:effectExtent l="0" t="0" r="0" b="0"/>
                      <wp:wrapNone/>
                      <wp:docPr id="311" name="Frame310"/>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064895" cy="175260"/>
                      <wp:effectExtent l="0" t="0" r="0" b="0"/>
                      <wp:wrapNone/>
                      <wp:docPr id="313" name="Frame312"/>
                      <a:graphic xmlns:a="http://schemas.openxmlformats.org/drawingml/2006/main">
                        <a:graphicData uri="http://schemas.microsoft.com/office/word/2010/wordprocessingShape">
                          <wps:wsp>
                            <wps:cNvSpPr txBox="1"/>
                            <wps:spPr>
                              <a:xfrm>
                                <a:off x="0" y="0"/>
                                <a:ext cx="1064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61620" cy="175260"/>
                      <wp:effectExtent l="0" t="0" r="0" b="0"/>
                      <wp:wrapNone/>
                      <wp:docPr id="315" name="Frame314"/>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054100" cy="175260"/>
                      <wp:effectExtent l="0" t="0" r="0" b="0"/>
                      <wp:wrapNone/>
                      <wp:docPr id="316" name="Frame315"/>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0"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77"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(c)</w:t>
            </w:r>
          </w:p>
        </w:tc>
        <w:tc>
          <w:tcPr>
            <w:tcW w:w="326" w:type="dxa"/>
            <w:tcBorders/>
            <w:vAlign w:val="center"/>
          </w:tcPr>
          <w:p>
            <w:pPr>
              <w:pStyle w:val="TableContents"/>
              <w:bidi w:val="0"/>
              <w:spacing w:before="0" w:after="1"/>
              <w:ind w:left="0" w:right="0" w:hanging="0"/>
              <w:jc w:val="center"/>
              <w:rPr/>
            </w:pPr>
            <w:r>
              <w:rPr/>
              <w:t>​</w:t>
            </w:r>
          </w:p>
        </w:tc>
        <w:tc>
          <w:tcPr>
            <w:tcW w:w="207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w:t>
            </w:r>
          </w:p>
        </w:tc>
      </w:tr>
      <w:tr>
        <w:trPr/>
        <w:tc>
          <w:tcPr>
            <w:tcW w:w="2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0"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77"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26" w:type="dxa"/>
            <w:tcBorders/>
            <w:vAlign w:val="center"/>
          </w:tcPr>
          <w:p>
            <w:pPr>
              <w:pStyle w:val="TableContents"/>
              <w:bidi w:val="0"/>
              <w:spacing w:before="0" w:after="1"/>
              <w:ind w:left="0" w:right="0" w:hanging="0"/>
              <w:jc w:val="center"/>
              <w:rPr/>
            </w:pPr>
            <w:r>
              <w:rPr/>
              <w:t>​</w:t>
            </w:r>
          </w:p>
        </w:tc>
        <w:tc>
          <w:tcPr>
            <w:tcW w:w="207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Approximate dollar</w:t>
            </w:r>
          </w:p>
        </w:tc>
      </w:tr>
      <w:tr>
        <w:trPr/>
        <w:tc>
          <w:tcPr>
            <w:tcW w:w="2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0"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677"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26" w:type="dxa"/>
            <w:tcBorders/>
            <w:vAlign w:val="center"/>
          </w:tcPr>
          <w:p>
            <w:pPr>
              <w:pStyle w:val="TableContents"/>
              <w:bidi w:val="0"/>
              <w:spacing w:before="0" w:after="1"/>
              <w:ind w:left="0" w:right="0" w:hanging="0"/>
              <w:jc w:val="center"/>
              <w:rPr/>
            </w:pPr>
            <w:r>
              <w:rPr/>
              <w:t>​</w:t>
            </w:r>
          </w:p>
        </w:tc>
        <w:tc>
          <w:tcPr>
            <w:tcW w:w="207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value of shares</w:t>
            </w:r>
          </w:p>
        </w:tc>
      </w:tr>
      <w:tr>
        <w:trPr/>
        <w:tc>
          <w:tcPr>
            <w:tcW w:w="2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3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w:t>
            </w:r>
          </w:p>
        </w:tc>
        <w:tc>
          <w:tcPr>
            <w:tcW w:w="326" w:type="dxa"/>
            <w:tcBorders/>
            <w:vAlign w:val="center"/>
          </w:tcPr>
          <w:p>
            <w:pPr>
              <w:pStyle w:val="TableContents"/>
              <w:bidi w:val="0"/>
              <w:spacing w:before="0" w:after="1"/>
              <w:ind w:left="0" w:right="0" w:hanging="0"/>
              <w:jc w:val="center"/>
              <w:rPr/>
            </w:pPr>
            <w:r>
              <w:rPr/>
              <w:t>​</w:t>
            </w:r>
          </w:p>
        </w:tc>
        <w:tc>
          <w:tcPr>
            <w:tcW w:w="10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(b)</w:t>
            </w:r>
          </w:p>
        </w:tc>
        <w:tc>
          <w:tcPr>
            <w:tcW w:w="326" w:type="dxa"/>
            <w:tcBorders/>
            <w:vAlign w:val="center"/>
          </w:tcPr>
          <w:p>
            <w:pPr>
              <w:pStyle w:val="TableContents"/>
              <w:bidi w:val="0"/>
              <w:spacing w:before="0" w:after="1"/>
              <w:ind w:left="0" w:right="0" w:hanging="0"/>
              <w:jc w:val="center"/>
              <w:rPr/>
            </w:pPr>
            <w:r>
              <w:rPr/>
              <w:t>​</w:t>
            </w:r>
          </w:p>
        </w:tc>
        <w:tc>
          <w:tcPr>
            <w:tcW w:w="1677"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as</w:t>
            </w:r>
          </w:p>
        </w:tc>
        <w:tc>
          <w:tcPr>
            <w:tcW w:w="326" w:type="dxa"/>
            <w:tcBorders/>
            <w:vAlign w:val="center"/>
          </w:tcPr>
          <w:p>
            <w:pPr>
              <w:pStyle w:val="TableContents"/>
              <w:bidi w:val="0"/>
              <w:spacing w:before="0" w:after="1"/>
              <w:ind w:left="0" w:right="0" w:hanging="0"/>
              <w:jc w:val="center"/>
              <w:rPr/>
            </w:pPr>
            <w:r>
              <w:rPr/>
              <w:t>​</w:t>
            </w:r>
          </w:p>
        </w:tc>
        <w:tc>
          <w:tcPr>
            <w:tcW w:w="207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that may yet be</w:t>
            </w:r>
          </w:p>
        </w:tc>
      </w:tr>
      <w:tr>
        <w:trPr/>
        <w:tc>
          <w:tcPr>
            <w:tcW w:w="2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3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 number</w:t>
            </w:r>
          </w:p>
        </w:tc>
        <w:tc>
          <w:tcPr>
            <w:tcW w:w="326" w:type="dxa"/>
            <w:tcBorders/>
            <w:vAlign w:val="center"/>
          </w:tcPr>
          <w:p>
            <w:pPr>
              <w:pStyle w:val="TableContents"/>
              <w:bidi w:val="0"/>
              <w:spacing w:before="0" w:after="1"/>
              <w:ind w:left="0" w:right="0" w:hanging="0"/>
              <w:jc w:val="center"/>
              <w:rPr/>
            </w:pPr>
            <w:r>
              <w:rPr/>
              <w:t>​</w:t>
            </w:r>
          </w:p>
        </w:tc>
        <w:tc>
          <w:tcPr>
            <w:tcW w:w="10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Average</w:t>
            </w:r>
          </w:p>
        </w:tc>
        <w:tc>
          <w:tcPr>
            <w:tcW w:w="326" w:type="dxa"/>
            <w:tcBorders/>
            <w:vAlign w:val="center"/>
          </w:tcPr>
          <w:p>
            <w:pPr>
              <w:pStyle w:val="TableContents"/>
              <w:bidi w:val="0"/>
              <w:spacing w:before="0" w:after="1"/>
              <w:ind w:left="0" w:right="0" w:hanging="0"/>
              <w:jc w:val="center"/>
              <w:rPr/>
            </w:pPr>
            <w:r>
              <w:rPr/>
              <w:t>​</w:t>
            </w:r>
          </w:p>
        </w:tc>
        <w:tc>
          <w:tcPr>
            <w:tcW w:w="1677"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part of publicly</w:t>
            </w:r>
          </w:p>
        </w:tc>
        <w:tc>
          <w:tcPr>
            <w:tcW w:w="326" w:type="dxa"/>
            <w:tcBorders/>
            <w:vAlign w:val="center"/>
          </w:tcPr>
          <w:p>
            <w:pPr>
              <w:pStyle w:val="TableContents"/>
              <w:bidi w:val="0"/>
              <w:spacing w:before="0" w:after="1"/>
              <w:ind w:left="0" w:right="0" w:hanging="0"/>
              <w:jc w:val="center"/>
              <w:rPr/>
            </w:pPr>
            <w:r>
              <w:rPr/>
              <w:t>​</w:t>
            </w:r>
          </w:p>
        </w:tc>
        <w:tc>
          <w:tcPr>
            <w:tcW w:w="2072"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purchased under the</w:t>
            </w:r>
          </w:p>
        </w:tc>
      </w:tr>
      <w:tr>
        <w:trPr/>
        <w:tc>
          <w:tcPr>
            <w:tcW w:w="2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35"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of shares</w:t>
            </w:r>
          </w:p>
        </w:tc>
        <w:tc>
          <w:tcPr>
            <w:tcW w:w="326" w:type="dxa"/>
            <w:tcBorders/>
            <w:vAlign w:val="center"/>
          </w:tcPr>
          <w:p>
            <w:pPr>
              <w:pStyle w:val="TableContents"/>
              <w:bidi w:val="0"/>
              <w:spacing w:before="0" w:after="1"/>
              <w:ind w:left="0" w:right="0" w:hanging="0"/>
              <w:jc w:val="center"/>
              <w:rPr/>
            </w:pPr>
            <w:r>
              <w:rPr/>
              <w:t>​</w:t>
            </w:r>
          </w:p>
        </w:tc>
        <w:tc>
          <w:tcPr>
            <w:tcW w:w="1024"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 paid</w:t>
            </w:r>
          </w:p>
        </w:tc>
        <w:tc>
          <w:tcPr>
            <w:tcW w:w="326" w:type="dxa"/>
            <w:tcBorders/>
            <w:vAlign w:val="center"/>
          </w:tcPr>
          <w:p>
            <w:pPr>
              <w:pStyle w:val="TableContents"/>
              <w:bidi w:val="0"/>
              <w:spacing w:before="0" w:after="1"/>
              <w:ind w:left="0" w:right="0" w:hanging="0"/>
              <w:jc w:val="center"/>
              <w:rPr/>
            </w:pPr>
            <w:r>
              <w:rPr/>
              <w:t>​</w:t>
            </w:r>
          </w:p>
        </w:tc>
        <w:tc>
          <w:tcPr>
            <w:tcW w:w="1677"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announced plans</w:t>
            </w:r>
          </w:p>
        </w:tc>
        <w:tc>
          <w:tcPr>
            <w:tcW w:w="326" w:type="dxa"/>
            <w:tcBorders/>
            <w:vAlign w:val="center"/>
          </w:tcPr>
          <w:p>
            <w:pPr>
              <w:pStyle w:val="TableContents"/>
              <w:bidi w:val="0"/>
              <w:spacing w:before="0" w:after="1"/>
              <w:ind w:left="0" w:right="0" w:hanging="0"/>
              <w:jc w:val="center"/>
              <w:rPr/>
            </w:pPr>
            <w:r>
              <w:rPr/>
              <w:t>​</w:t>
            </w:r>
          </w:p>
        </w:tc>
        <w:tc>
          <w:tcPr>
            <w:tcW w:w="2072" w:type="dxa"/>
            <w:gridSpan w:val="2"/>
            <w:tcBorders/>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plans or programs </w:t>
            </w:r>
            <w:r>
              <w:rPr>
                <w:rFonts w:ascii="Arial;Helvetica;sans-serif" w:hAnsi="Arial;Helvetica;sans-serif"/>
                <w:b/>
                <w:sz w:val="15"/>
              </w:rPr>
              <w:t>(3)</w:t>
            </w:r>
          </w:p>
        </w:tc>
      </w:tr>
      <w:tr>
        <w:trPr/>
        <w:tc>
          <w:tcPr>
            <w:tcW w:w="2793"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Period</w:t>
            </w:r>
          </w:p>
        </w:tc>
        <w:tc>
          <w:tcPr>
            <w:tcW w:w="326" w:type="dxa"/>
            <w:tcBorders/>
            <w:vAlign w:val="center"/>
          </w:tcPr>
          <w:p>
            <w:pPr>
              <w:pStyle w:val="TableContents"/>
              <w:bidi w:val="0"/>
              <w:spacing w:before="0" w:after="1"/>
              <w:ind w:left="0" w:right="0" w:hanging="0"/>
              <w:jc w:val="center"/>
              <w:rPr/>
            </w:pPr>
            <w:r>
              <w:rPr/>
              <w:t>    </w:t>
            </w:r>
          </w:p>
        </w:tc>
        <w:tc>
          <w:tcPr>
            <w:tcW w:w="1335"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purchased </w:t>
            </w:r>
            <w:r>
              <w:rPr>
                <w:rFonts w:ascii="Arial;Helvetica;sans-serif" w:hAnsi="Arial;Helvetica;sans-serif"/>
                <w:b/>
                <w:sz w:val="15"/>
              </w:rPr>
              <w:t>(1)</w:t>
            </w:r>
          </w:p>
        </w:tc>
        <w:tc>
          <w:tcPr>
            <w:tcW w:w="326" w:type="dxa"/>
            <w:tcBorders/>
            <w:vAlign w:val="center"/>
          </w:tcPr>
          <w:p>
            <w:pPr>
              <w:pStyle w:val="TableContents"/>
              <w:bidi w:val="0"/>
              <w:spacing w:before="0" w:after="1"/>
              <w:ind w:left="0" w:right="0" w:hanging="0"/>
              <w:jc w:val="center"/>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per share</w:t>
            </w:r>
          </w:p>
        </w:tc>
        <w:tc>
          <w:tcPr>
            <w:tcW w:w="326" w:type="dxa"/>
            <w:tcBorders/>
            <w:vAlign w:val="center"/>
          </w:tcPr>
          <w:p>
            <w:pPr>
              <w:pStyle w:val="TableContents"/>
              <w:bidi w:val="0"/>
              <w:spacing w:before="0" w:after="1"/>
              <w:ind w:left="0" w:right="0" w:hanging="0"/>
              <w:jc w:val="center"/>
              <w:rPr/>
            </w:pPr>
            <w:r>
              <w:rPr/>
              <w:t>    </w:t>
            </w:r>
          </w:p>
        </w:tc>
        <w:tc>
          <w:tcPr>
            <w:tcW w:w="167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Arial;Helvetica;sans-serif" w:hAnsi="Arial;Helvetica;sans-serif"/>
                <w:sz w:val="20"/>
              </w:rPr>
            </w:pPr>
            <w:r>
              <w:rPr>
                <w:rFonts w:ascii="Arial;Helvetica;sans-serif" w:hAnsi="Arial;Helvetica;sans-serif"/>
                <w:b/>
                <w:sz w:val="20"/>
              </w:rPr>
              <w:t xml:space="preserve">or programs </w:t>
            </w:r>
            <w:r>
              <w:rPr>
                <w:rFonts w:ascii="Arial;Helvetica;sans-serif" w:hAnsi="Arial;Helvetica;sans-serif"/>
                <w:b/>
                <w:sz w:val="15"/>
              </w:rPr>
              <w:t>(2)</w:t>
            </w:r>
          </w:p>
        </w:tc>
        <w:tc>
          <w:tcPr>
            <w:tcW w:w="326" w:type="dxa"/>
            <w:tcBorders/>
            <w:vAlign w:val="center"/>
          </w:tcPr>
          <w:p>
            <w:pPr>
              <w:pStyle w:val="TableContents"/>
              <w:bidi w:val="0"/>
              <w:spacing w:before="0" w:after="1"/>
              <w:ind w:left="0" w:right="0" w:hanging="0"/>
              <w:jc w:val="center"/>
              <w:rPr/>
            </w:pPr>
            <w:r>
              <w:rPr/>
              <w:t>    </w:t>
            </w:r>
          </w:p>
        </w:tc>
        <w:tc>
          <w:tcPr>
            <w:tcW w:w="2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 thousands)</w:t>
            </w:r>
          </w:p>
        </w:tc>
      </w:tr>
      <w:tr>
        <w:trPr/>
        <w:tc>
          <w:tcPr>
            <w:tcW w:w="27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January 1 to January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33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68,074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10.04</w:t>
            </w:r>
          </w:p>
        </w:tc>
        <w:tc>
          <w:tcPr>
            <w:tcW w:w="326" w:type="dxa"/>
            <w:tcBorders/>
            <w:shd w:fill="CCEEFF" w:val="clear"/>
            <w:vAlign w:val="center"/>
          </w:tcPr>
          <w:p>
            <w:pPr>
              <w:pStyle w:val="TableContents"/>
              <w:bidi w:val="0"/>
              <w:spacing w:before="0" w:after="1"/>
              <w:ind w:left="0" w:right="0" w:hanging="0"/>
              <w:jc w:val="left"/>
              <w:rPr/>
            </w:pPr>
            <w:r>
              <w:rPr/>
              <w:t> </w:t>
            </w:r>
          </w:p>
        </w:tc>
        <w:tc>
          <w:tcPr>
            <w:tcW w:w="1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66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188,012</w:t>
            </w:r>
          </w:p>
        </w:tc>
      </w:tr>
      <w:tr>
        <w:trPr/>
        <w:tc>
          <w:tcPr>
            <w:tcW w:w="279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February 1 to February 29, 2024</w:t>
            </w:r>
          </w:p>
        </w:tc>
        <w:tc>
          <w:tcPr>
            <w:tcW w:w="326" w:type="dxa"/>
            <w:tcBorders/>
            <w:vAlign w:val="center"/>
          </w:tcPr>
          <w:p>
            <w:pPr>
              <w:pStyle w:val="TableContents"/>
              <w:bidi w:val="0"/>
              <w:spacing w:before="0" w:after="1"/>
              <w:ind w:left="0" w:right="0" w:hanging="0"/>
              <w:jc w:val="left"/>
              <w:rPr/>
            </w:pPr>
            <w:r>
              <w:rPr/>
              <w:t> </w:t>
            </w:r>
          </w:p>
        </w:tc>
        <w:tc>
          <w:tcPr>
            <w:tcW w:w="133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12" w:type="dxa"/>
            <w:tcBorders/>
            <w:vAlign w:val="center"/>
          </w:tcPr>
          <w:p>
            <w:pPr>
              <w:pStyle w:val="TableContents"/>
              <w:bidi w:val="0"/>
              <w:spacing w:before="0" w:after="1"/>
              <w:ind w:left="0" w:right="0" w:hanging="0"/>
              <w:jc w:val="left"/>
              <w:rPr/>
            </w:pPr>
            <w:r>
              <w:rPr/>
              <w:t>​</w:t>
            </w:r>
          </w:p>
        </w:tc>
        <w:tc>
          <w:tcPr>
            <w:tcW w:w="166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188,012</w:t>
            </w:r>
          </w:p>
        </w:tc>
      </w:tr>
      <w:tr>
        <w:trPr/>
        <w:tc>
          <w:tcPr>
            <w:tcW w:w="27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March 1 to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3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784,789</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10.63</w:t>
            </w:r>
          </w:p>
        </w:tc>
        <w:tc>
          <w:tcPr>
            <w:tcW w:w="326" w:type="dxa"/>
            <w:tcBorders/>
            <w:shd w:fill="CCEEFF" w:val="clear"/>
            <w:vAlign w:val="center"/>
          </w:tcPr>
          <w:p>
            <w:pPr>
              <w:pStyle w:val="TableContents"/>
              <w:bidi w:val="0"/>
              <w:spacing w:before="0" w:after="1"/>
              <w:ind w:left="0" w:right="0" w:hanging="0"/>
              <w:jc w:val="left"/>
              <w:rPr/>
            </w:pPr>
            <w:r>
              <w:rPr/>
              <w:t> </w:t>
            </w:r>
          </w:p>
        </w:tc>
        <w:tc>
          <w:tcPr>
            <w:tcW w:w="1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462,585</w:t>
            </w:r>
          </w:p>
        </w:tc>
        <w:tc>
          <w:tcPr>
            <w:tcW w:w="326" w:type="dxa"/>
            <w:tcBorders/>
            <w:shd w:fill="CCEEFF" w:val="clear"/>
            <w:vAlign w:val="center"/>
          </w:tcPr>
          <w:p>
            <w:pPr>
              <w:pStyle w:val="TableContents"/>
              <w:bidi w:val="0"/>
              <w:spacing w:before="0" w:after="1"/>
              <w:ind w:left="0" w:right="0" w:hanging="0"/>
              <w:jc w:val="left"/>
              <w:rPr/>
            </w:pPr>
            <w:r>
              <w:rPr/>
              <w:t> </w:t>
            </w:r>
          </w:p>
        </w:tc>
        <w:tc>
          <w:tcPr>
            <w:tcW w:w="412" w:type="dxa"/>
            <w:tcBorders/>
            <w:shd w:fill="CCEEFF" w:val="clear"/>
            <w:vAlign w:val="center"/>
          </w:tcPr>
          <w:p>
            <w:pPr>
              <w:pStyle w:val="TableContents"/>
              <w:bidi w:val="0"/>
              <w:spacing w:before="0" w:after="1"/>
              <w:ind w:left="0" w:right="0" w:hanging="0"/>
              <w:jc w:val="left"/>
              <w:rPr/>
            </w:pPr>
            <w:r>
              <w:rPr/>
              <w:t>​</w:t>
            </w:r>
          </w:p>
        </w:tc>
        <w:tc>
          <w:tcPr>
            <w:tcW w:w="166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182,980</w:t>
            </w:r>
          </w:p>
        </w:tc>
      </w:tr>
      <w:tr>
        <w:trPr/>
        <w:tc>
          <w:tcPr>
            <w:tcW w:w="27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3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852,863</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10.58</w:t>
            </w:r>
          </w:p>
        </w:tc>
        <w:tc>
          <w:tcPr>
            <w:tcW w:w="326" w:type="dxa"/>
            <w:tcBorders/>
            <w:vAlign w:val="center"/>
          </w:tcPr>
          <w:p>
            <w:pPr>
              <w:pStyle w:val="TableContents"/>
              <w:bidi w:val="0"/>
              <w:spacing w:before="0" w:after="1"/>
              <w:ind w:left="0" w:right="0" w:hanging="0"/>
              <w:jc w:val="left"/>
              <w:rPr/>
            </w:pPr>
            <w:r>
              <w:rPr/>
              <w:t> </w:t>
            </w:r>
          </w:p>
        </w:tc>
        <w:tc>
          <w:tcPr>
            <w:tcW w:w="167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462,585</w:t>
            </w:r>
          </w:p>
        </w:tc>
        <w:tc>
          <w:tcPr>
            <w:tcW w:w="32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1660"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shares repurchased in open-market transactions pursuant to the 2023 Repurchase Program and shares forfeited in satisfaction of tax obligations upon vesting of share-based awards under our existing long-term incentive plans.</w:t>
            </w:r>
          </w:p>
        </w:tc>
      </w:tr>
    </w:tbl>
    <w:tbl>
      <w:tblPr>
        <w:tblW w:w="6557" w:type="dxa"/>
        <w:jc w:val="left"/>
        <w:tblInd w:w="0" w:type="dxa"/>
        <w:tblLayout w:type="fixed"/>
        <w:tblCellMar>
          <w:top w:w="0" w:type="dxa"/>
          <w:left w:w="0" w:type="dxa"/>
          <w:bottom w:w="0" w:type="dxa"/>
          <w:right w:w="0" w:type="dxa"/>
        </w:tblCellMar>
      </w:tblPr>
      <w:tblGrid>
        <w:gridCol w:w="346"/>
        <w:gridCol w:w="62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6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shares repurchased under the 2023 Repurchase Program.</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7 to this Quarterly Report on Form 10-Q and Note 10 to our 2023 Annual Report on Form 10-K for additional information regarding our share repurchase programs.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004" w:name="Item3DefaultsUponSeniorSecurities"/>
      <w:bookmarkStart w:id="1005" w:name="_dab4927c_edb2_42ad_9175_3e909c0f8211"/>
      <w:bookmarkStart w:id="1006" w:name="_Item_3._Defaults"/>
      <w:bookmarkEnd w:id="1004"/>
      <w:bookmarkEnd w:id="1005"/>
      <w:bookmarkEnd w:id="1006"/>
      <w:r>
        <w:rPr>
          <w:rFonts w:ascii="Arial;Helvetica;sans-serif" w:hAnsi="Arial;Helvetica;sans-serif"/>
          <w:b/>
          <w:sz w:val="20"/>
        </w:rPr>
        <w:t>Item 3. Defaults Upon Senior Securities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007" w:name="Item4MineSafetyDisclosures"/>
      <w:bookmarkStart w:id="1008" w:name="_6af061f3_0c3a_4797_88a1_6ff262a7b44a"/>
      <w:bookmarkStart w:id="1009" w:name="_Item_4._Mine"/>
      <w:bookmarkEnd w:id="1007"/>
      <w:bookmarkEnd w:id="1008"/>
      <w:bookmarkEnd w:id="1009"/>
      <w:r>
        <w:rPr>
          <w:rFonts w:ascii="Arial;Helvetica;sans-serif" w:hAnsi="Arial;Helvetica;sans-serif"/>
          <w:b/>
          <w:sz w:val="20"/>
        </w:rPr>
        <w:t>Item 4. Mine Safety Disclosures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1010" w:name="Item5OtherInformation"/>
      <w:bookmarkStart w:id="1011" w:name="_9f31e822_2479_47ac_b3ac_61edf14828c8"/>
      <w:bookmarkStart w:id="1012" w:name="_Item_5._Other"/>
      <w:bookmarkEnd w:id="1010"/>
      <w:bookmarkEnd w:id="1011"/>
      <w:bookmarkEnd w:id="1012"/>
      <w:r>
        <w:rPr>
          <w:rFonts w:ascii="Arial;Helvetica;sans-serif" w:hAnsi="Arial;Helvetica;sans-serif"/>
          <w:b/>
          <w:sz w:val="20"/>
        </w:rPr>
        <w:t>Item 5. Other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 During the three-month period ended March 31, 2024, no director or “officer” of Helix adopted or terminated a “Rule 10b5-1 trading arrangement” or “non-Rule 10b5-1 trading arrangement,” as each term is defined in Item 408(a) of Regulation S-K.</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1013" w:name="Item6Exhibits_967042"/>
      <w:bookmarkStart w:id="1014" w:name="_ad8de4c7_3fda_4cad_b92b_b0f84c486de5"/>
      <w:bookmarkEnd w:id="1013"/>
      <w:bookmarkEnd w:id="1014"/>
      <w:r>
        <w:rPr>
          <w:rFonts w:ascii="Arial;Helvetica;sans-serif" w:hAnsi="Arial;Helvetica;sans-serif"/>
          <w:b/>
          <w:sz w:val="20"/>
        </w:rPr>
        <w:t>Item 6. Exhibits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045"/>
        <w:gridCol w:w="326"/>
        <w:gridCol w:w="4229"/>
        <w:gridCol w:w="326"/>
        <w:gridCol w:w="4279"/>
      </w:tblGrid>
      <w:tr>
        <w:trPr/>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63575" cy="175260"/>
                      <wp:effectExtent l="0" t="0" r="0" b="0"/>
                      <wp:wrapNone/>
                      <wp:docPr id="317" name="Frame316"/>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85415" cy="175260"/>
                      <wp:effectExtent l="0" t="0" r="0" b="0"/>
                      <wp:wrapNone/>
                      <wp:docPr id="319" name="Frame318"/>
                      <a:graphic xmlns:a="http://schemas.openxmlformats.org/drawingml/2006/main">
                        <a:graphicData uri="http://schemas.microsoft.com/office/word/2010/wordprocessingShape">
                          <wps:wsp>
                            <wps:cNvSpPr txBox="1"/>
                            <wps:spPr>
                              <a:xfrm>
                                <a:off x="0" y="0"/>
                                <a:ext cx="268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717165" cy="175260"/>
                      <wp:effectExtent l="0" t="0" r="0" b="0"/>
                      <wp:wrapNone/>
                      <wp:docPr id="321" name="Frame320"/>
                      <a:graphic xmlns:a="http://schemas.openxmlformats.org/drawingml/2006/main">
                        <a:graphicData uri="http://schemas.microsoft.com/office/word/2010/wordprocessingShape">
                          <wps:wsp>
                            <wps:cNvSpPr txBox="1"/>
                            <wps:spPr>
                              <a:xfrm>
                                <a:off x="0" y="0"/>
                                <a:ext cx="271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45" w:type="dxa"/>
            <w:tcBorders>
              <w:bottom w:val="single" w:sz="1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 Number</w:t>
            </w:r>
          </w:p>
        </w:tc>
        <w:tc>
          <w:tcPr>
            <w:tcW w:w="326" w:type="dxa"/>
            <w:tcBorders/>
            <w:vAlign w:val="center"/>
          </w:tcPr>
          <w:p>
            <w:pPr>
              <w:pStyle w:val="TableContents"/>
              <w:bidi w:val="0"/>
              <w:spacing w:before="0" w:after="0"/>
              <w:ind w:left="0" w:right="0" w:hanging="0"/>
              <w:jc w:val="left"/>
              <w:rPr/>
            </w:pPr>
            <w:r>
              <w:rPr/>
              <w:t>    </w:t>
            </w:r>
          </w:p>
        </w:tc>
        <w:tc>
          <w:tcPr>
            <w:tcW w:w="4229"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4279" w:type="dxa"/>
            <w:tcBorders>
              <w:bottom w:val="single" w:sz="16"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Filed or Furnished Herewith or Incorporated by Reference from the Following Documents (Registration or File Number)</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r:id="rId3">
              <w:r>
                <w:rPr>
                  <w:rStyle w:val="InternetLink"/>
                  <w:rFonts w:ascii="Arial;Helvetica;sans-serif" w:hAnsi="Arial;Helvetica;sans-serif"/>
                  <w:b w:val="false"/>
                  <w:i w:val="false"/>
                  <w:caps w:val="false"/>
                  <w:smallCaps w:val="false"/>
                  <w:sz w:val="20"/>
                </w:rPr>
                <w:t>2005 Amended and Restated Articles of Incorporation, as amended, of Helix Energy Solutions Group, Inc.</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March 1, 2006 (000-22739)</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r:id="rId4">
              <w:r>
                <w:rPr>
                  <w:rStyle w:val="InternetLink"/>
                  <w:rFonts w:ascii="Arial;Helvetica;sans-serif" w:hAnsi="Arial;Helvetica;sans-serif"/>
                  <w:b w:val="false"/>
                  <w:i w:val="false"/>
                  <w:caps w:val="false"/>
                  <w:smallCaps w:val="false"/>
                  <w:sz w:val="20"/>
                </w:rPr>
                <w:t>Second Amended and Restated By-Laws of Helix Energy Solutions Group, Inc., as amended.</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Exhibit 3.1 to the Current Report on Form 8-K filed on September 28, 2006 (001-32936)</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w:anchor="hlx-20240331xex31d1.htm">
              <w:r>
                <w:rPr>
                  <w:rStyle w:val="InternetLink"/>
                  <w:rFonts w:ascii="Arial;Helvetica;sans-serif" w:hAnsi="Arial;Helvetica;sans-serif"/>
                  <w:b w:val="false"/>
                  <w:i w:val="false"/>
                  <w:caps w:val="false"/>
                  <w:smallCaps w:val="false"/>
                  <w:sz w:val="20"/>
                </w:rPr>
                <w:t>Certification Pursuant to Rule 13a-14(a) under the Securities Exchange Act of 1934 by Owen Kratz, Chief Executive Officer.</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w:anchor="hlx-20240331xex31d2.htm">
              <w:r>
                <w:rPr>
                  <w:rStyle w:val="InternetLink"/>
                  <w:rFonts w:ascii="Arial;Helvetica;sans-serif" w:hAnsi="Arial;Helvetica;sans-serif"/>
                  <w:b w:val="false"/>
                  <w:i w:val="false"/>
                  <w:caps w:val="false"/>
                  <w:smallCaps w:val="false"/>
                  <w:sz w:val="20"/>
                </w:rPr>
                <w:t>Certification Pursuant to Rule 13a-14(a) under the Securities Exchange Act of 1934 by Erik Staffeldt, Chief Financial Officer.</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pPr>
            <w:hyperlink w:anchor="hlx-20240331xex32d1.htm">
              <w:r>
                <w:rPr>
                  <w:rStyle w:val="InternetLink"/>
                  <w:rFonts w:ascii="Arial;Helvetica;sans-serif" w:hAnsi="Arial;Helvetica;sans-serif"/>
                  <w:b w:val="false"/>
                  <w:i w:val="false"/>
                  <w:caps w:val="false"/>
                  <w:smallCaps w:val="false"/>
                  <w:sz w:val="20"/>
                </w:rPr>
                <w:t>Certification of Helix’s Chief Executive Officer and Chief Financial Officer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Furnished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XBRL Instance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instance document does not appear in the Interactive Data File because its XBRL tags are embedded within the Inline XBRL document</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r>
        <w:trPr/>
        <w:tc>
          <w:tcPr>
            <w:tcW w:w="1045"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422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Cover Page Interactive Data File (formatted as inline XBRL and contained in Exhibit 101).</w:t>
            </w:r>
          </w:p>
        </w:tc>
        <w:tc>
          <w:tcPr>
            <w:tcW w:w="32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Filed herewith</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36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015" w:name="SIGNATURES_810600"/>
      <w:bookmarkStart w:id="1016" w:name="_6ff9b4dc_ba5e_4bd7_b7b2_4beb30521d36"/>
      <w:bookmarkEnd w:id="1015"/>
      <w:bookmarkEnd w:id="1016"/>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6674" w:type="dxa"/>
        <w:jc w:val="left"/>
        <w:tblInd w:w="0" w:type="dxa"/>
        <w:tblLayout w:type="fixed"/>
        <w:tblCellMar>
          <w:top w:w="0" w:type="dxa"/>
          <w:left w:w="0" w:type="dxa"/>
          <w:bottom w:w="0" w:type="dxa"/>
          <w:right w:w="0" w:type="dxa"/>
        </w:tblCellMar>
      </w:tblPr>
      <w:tblGrid>
        <w:gridCol w:w="1846"/>
        <w:gridCol w:w="326"/>
        <w:gridCol w:w="406"/>
        <w:gridCol w:w="4096"/>
      </w:tblGrid>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both"/>
              <w:rPr/>
            </w:pPr>
            <w:r>
              <w:rPr/>
              <w:t>​</w:t>
            </w:r>
          </w:p>
        </w:tc>
        <w:tc>
          <w:tcPr>
            <w:tcW w:w="409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HELIX ENERGY SOLUTIONS GROUP, INC.</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0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April 26, 2024</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Owen Kratz</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Owen Kratz</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April 26, 2024</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 Erik Staffeldt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0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0"/>
        <w:ind w:left="0" w:right="0" w:hanging="0"/>
        <w:jc w:val="right"/>
        <w:rPr>
          <w:rFonts w:ascii="Arial;Helvetica;sans-serif" w:hAnsi="Arial;Helvetica;sans-serif"/>
          <w:b/>
          <w:sz w:val="22"/>
        </w:rPr>
      </w:pPr>
      <w:bookmarkStart w:id="1017" w:name="hlx-20240331xex31d1.htm"/>
      <w:bookmarkStart w:id="1018" w:name="kshlx20240331xex31d1"/>
      <w:bookmarkEnd w:id="1017"/>
      <w:bookmarkEnd w:id="1018"/>
      <w:r>
        <w:rPr>
          <w:rFonts w:ascii="Arial;Helvetica;sans-serif" w:hAnsi="Arial;Helvetica;sans-serif"/>
          <w:b/>
          <w:sz w:val="22"/>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Owen Kratz, the President and Chief Executive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26, 2024</w:t>
      </w:r>
    </w:p>
    <w:p>
      <w:pPr>
        <w:pStyle w:val="TextBody"/>
        <w:bidi w:val="0"/>
        <w:spacing w:before="0" w:after="0"/>
        <w:ind w:left="0" w:right="0" w:hanging="0"/>
        <w:jc w:val="center"/>
        <w:rPr/>
      </w:pPr>
      <w:r>
        <w:rPr/>
        <w:t>​</w:t>
      </w:r>
    </w:p>
    <w:tbl>
      <w:tblPr>
        <w:tblW w:w="3950" w:type="dxa"/>
        <w:jc w:val="left"/>
        <w:tblInd w:w="0" w:type="dxa"/>
        <w:tblLayout w:type="fixed"/>
        <w:tblCellMar>
          <w:top w:w="0" w:type="dxa"/>
          <w:left w:w="0" w:type="dxa"/>
          <w:bottom w:w="0" w:type="dxa"/>
          <w:right w:w="0" w:type="dxa"/>
        </w:tblCellMar>
      </w:tblPr>
      <w:tblGrid>
        <w:gridCol w:w="124"/>
        <w:gridCol w:w="3826"/>
      </w:tblGrid>
      <w:tr>
        <w:trPr/>
        <w:tc>
          <w:tcPr>
            <w:tcW w:w="124"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24"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019" w:name="hlx-20240331xex31d2.htm"/>
      <w:bookmarkStart w:id="1020" w:name="kshlx20240331xex31d2"/>
      <w:bookmarkEnd w:id="1019"/>
      <w:bookmarkEnd w:id="1020"/>
      <w:r>
        <w:rPr>
          <w:rFonts w:ascii="Arial;Helvetica;sans-serif" w:hAnsi="Arial;Helvetica;sans-serif"/>
          <w:b/>
          <w:sz w:val="22"/>
        </w:rPr>
        <w:t>EXHBIT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SECTION 302 CERTIFICATION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 Erik Staffeldt, the Executive Vice President and Chief Financial Officer of Helix Energy Solutions Group, Inc., certify that:</w:t>
      </w:r>
    </w:p>
    <w:tbl>
      <w:tblPr>
        <w:tblW w:w="9025" w:type="dxa"/>
        <w:jc w:val="left"/>
        <w:tblInd w:w="0" w:type="dxa"/>
        <w:tblLayout w:type="fixed"/>
        <w:tblCellMar>
          <w:top w:w="0" w:type="dxa"/>
          <w:left w:w="0" w:type="dxa"/>
          <w:bottom w:w="0" w:type="dxa"/>
          <w:right w:w="0" w:type="dxa"/>
        </w:tblCellMar>
      </w:tblPr>
      <w:tblGrid>
        <w:gridCol w:w="200"/>
        <w:gridCol w:w="8825"/>
      </w:tblGrid>
      <w:tr>
        <w:trPr/>
        <w:tc>
          <w:tcPr>
            <w:tcW w:w="20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882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I have reviewed this Quarterly Report on Form 10-Q of Helix Energy Solutions Group, Inc.;</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2.</w:t>
            </w:r>
          </w:p>
        </w:tc>
        <w:tc>
          <w:tcPr>
            <w:tcW w:w="100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3.</w:t>
            </w:r>
          </w:p>
        </w:tc>
        <w:tc>
          <w:tcPr>
            <w:tcW w:w="1004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4.</w:t>
            </w:r>
          </w:p>
        </w:tc>
        <w:tc>
          <w:tcPr>
            <w:tcW w:w="100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(b)</w:t>
            </w:r>
          </w:p>
        </w:tc>
        <w:tc>
          <w:tcPr>
            <w:tcW w:w="994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(c)</w:t>
            </w:r>
          </w:p>
        </w:tc>
        <w:tc>
          <w:tcPr>
            <w:tcW w:w="99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w:t>
            </w:r>
          </w:p>
        </w:tc>
        <w:tc>
          <w:tcPr>
            <w:tcW w:w="9947"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5.</w:t>
            </w:r>
          </w:p>
        </w:tc>
        <w:tc>
          <w:tcPr>
            <w:tcW w:w="10045"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w:t>
            </w:r>
          </w:p>
        </w:tc>
        <w:tc>
          <w:tcPr>
            <w:tcW w:w="9940"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(b)</w:t>
            </w:r>
          </w:p>
        </w:tc>
        <w:tc>
          <w:tcPr>
            <w:tcW w:w="9924"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26, 2024</w:t>
      </w:r>
    </w:p>
    <w:p>
      <w:pPr>
        <w:pStyle w:val="TextBody"/>
        <w:bidi w:val="0"/>
        <w:spacing w:before="0" w:after="0"/>
        <w:ind w:left="0" w:right="0" w:hanging="0"/>
        <w:jc w:val="left"/>
        <w:rPr/>
      </w:pPr>
      <w:r>
        <w:rPr/>
        <w:t>​</w:t>
      </w:r>
    </w:p>
    <w:tbl>
      <w:tblPr>
        <w:tblW w:w="5375" w:type="dxa"/>
        <w:jc w:val="center"/>
        <w:tblInd w:w="0" w:type="dxa"/>
        <w:tblLayout w:type="fixed"/>
        <w:tblCellMar>
          <w:top w:w="0" w:type="dxa"/>
          <w:left w:w="0" w:type="dxa"/>
          <w:bottom w:w="0" w:type="dxa"/>
          <w:right w:w="0" w:type="dxa"/>
        </w:tblCellMar>
      </w:tblPr>
      <w:tblGrid>
        <w:gridCol w:w="124"/>
        <w:gridCol w:w="5251"/>
      </w:tblGrid>
      <w:tr>
        <w:trPr/>
        <w:tc>
          <w:tcPr>
            <w:tcW w:w="124"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24"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2"/>
        </w:rPr>
      </w:pPr>
      <w:bookmarkStart w:id="1021" w:name="hlx-20240331xex32d1.htm"/>
      <w:bookmarkStart w:id="1022" w:name="kshlx20240331xex32d1"/>
      <w:bookmarkEnd w:id="1021"/>
      <w:bookmarkEnd w:id="1022"/>
      <w:r>
        <w:rPr>
          <w:rFonts w:ascii="Arial;Helvetica;sans-serif" w:hAnsi="Arial;Helvetica;sans-serif"/>
          <w:b/>
          <w:sz w:val="22"/>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CERTIFICATION OF CEO AND CFO PURSUANT TO 18 U.S.C. SECTION 1350</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2"/>
        </w:rPr>
      </w:pPr>
      <w:r>
        <w:rPr>
          <w:rFonts w:ascii="Arial;Helvetica;sans-serif" w:hAnsi="Arial;Helvetica;sans-serif"/>
          <w:sz w:val="22"/>
        </w:rPr>
        <w:t>In connection with the Quarterly Report of Helix Energy Solutions Group, Inc. (“Helix”) on Form 10-Q for the quarterly period ended March 31, 2024,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(1)</w:t>
            </w:r>
          </w:p>
        </w:tc>
        <w:tc>
          <w:tcPr>
            <w:tcW w:w="9904" w:type="dxa"/>
            <w:tcBorders/>
            <w:vAlign w:val="center"/>
          </w:tcPr>
          <w:p>
            <w:pPr>
              <w:pStyle w:val="TableContents"/>
              <w:bidi w:val="0"/>
              <w:spacing w:before="0" w:after="200"/>
              <w:jc w:val="left"/>
              <w:rPr>
                <w:rFonts w:ascii="Arial;Helvetica;sans-serif" w:hAnsi="Arial;Helvetica;sans-serif"/>
                <w:sz w:val="22"/>
              </w:rPr>
            </w:pPr>
            <w:r>
              <w:rPr>
                <w:rFonts w:ascii="Arial;Helvetica;sans-serif" w:hAnsi="Arial;Helvetica;sans-serif"/>
                <w:sz w:val="22"/>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0"/>
        <w:gridCol w:w="9912"/>
      </w:tblGrid>
      <w:tr>
        <w:trPr/>
        <w:tc>
          <w:tcPr>
            <w:tcW w:w="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(2)</w:t>
            </w:r>
          </w:p>
        </w:tc>
        <w:tc>
          <w:tcPr>
            <w:tcW w:w="9912" w:type="dxa"/>
            <w:tcBorders/>
            <w:vAlign w:val="center"/>
          </w:tcPr>
          <w:p>
            <w:pPr>
              <w:pStyle w:val="TableContents"/>
              <w:bidi w:val="0"/>
              <w:spacing w:before="0" w:after="0"/>
              <w:jc w:val="left"/>
              <w:rPr>
                <w:rFonts w:ascii="Arial;Helvetica;sans-serif" w:hAnsi="Arial;Helvetica;sans-serif"/>
                <w:sz w:val="22"/>
              </w:rPr>
            </w:pPr>
            <w:r>
              <w:rPr>
                <w:rFonts w:ascii="Arial;Helvetica;sans-serif" w:hAnsi="Arial;Helvetica;sans-serif"/>
                <w:sz w:val="22"/>
              </w:rPr>
              <w:t>The information contained in the Report fairly presents, in all material respects, the financial condition and results of operations of Helix.</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26, 2024</w:t>
      </w:r>
    </w:p>
    <w:p>
      <w:pPr>
        <w:pStyle w:val="TextBody"/>
        <w:bidi w:val="0"/>
        <w:spacing w:before="0" w:after="0"/>
        <w:ind w:left="0" w:right="0" w:hanging="0"/>
        <w:jc w:val="left"/>
        <w:rPr/>
      </w:pPr>
      <w:r>
        <w:rPr/>
        <w:t>​</w:t>
      </w:r>
    </w:p>
    <w:tbl>
      <w:tblPr>
        <w:tblW w:w="3987" w:type="dxa"/>
        <w:jc w:val="left"/>
        <w:tblInd w:w="0" w:type="dxa"/>
        <w:tblLayout w:type="fixed"/>
        <w:tblCellMar>
          <w:top w:w="0" w:type="dxa"/>
          <w:left w:w="0" w:type="dxa"/>
          <w:bottom w:w="0" w:type="dxa"/>
          <w:right w:w="0" w:type="dxa"/>
        </w:tblCellMar>
      </w:tblPr>
      <w:tblGrid>
        <w:gridCol w:w="161"/>
        <w:gridCol w:w="3826"/>
      </w:tblGrid>
      <w:tr>
        <w:trPr/>
        <w:tc>
          <w:tcPr>
            <w:tcW w:w="161"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Owen Kratz</w:t>
            </w:r>
          </w:p>
        </w:tc>
      </w:tr>
      <w:tr>
        <w:trPr/>
        <w:tc>
          <w:tcPr>
            <w:tcW w:w="161" w:type="dxa"/>
            <w:tcBorders/>
            <w:vAlign w:val="center"/>
          </w:tcPr>
          <w:p>
            <w:pPr>
              <w:pStyle w:val="TableContents"/>
              <w:bidi w:val="0"/>
              <w:spacing w:before="0" w:after="0"/>
              <w:ind w:left="0" w:right="0" w:hanging="0"/>
              <w:jc w:val="left"/>
              <w:rPr/>
            </w:pPr>
            <w:r>
              <w:rPr/>
              <w:t>​</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Owen Kratz</w:t>
            </w:r>
          </w:p>
        </w:tc>
      </w:tr>
      <w:tr>
        <w:trPr/>
        <w:tc>
          <w:tcPr>
            <w:tcW w:w="161"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Date: April 26, 2024</w:t>
      </w:r>
    </w:p>
    <w:p>
      <w:pPr>
        <w:pStyle w:val="TextBody"/>
        <w:bidi w:val="0"/>
        <w:spacing w:before="0" w:after="0"/>
        <w:ind w:left="0" w:right="0" w:hanging="0"/>
        <w:jc w:val="left"/>
        <w:rPr/>
      </w:pPr>
      <w:r>
        <w:rPr/>
        <w:t>​</w:t>
      </w:r>
    </w:p>
    <w:tbl>
      <w:tblPr>
        <w:tblW w:w="5412" w:type="dxa"/>
        <w:jc w:val="left"/>
        <w:tblInd w:w="0" w:type="dxa"/>
        <w:tblLayout w:type="fixed"/>
        <w:tblCellMar>
          <w:top w:w="0" w:type="dxa"/>
          <w:left w:w="0" w:type="dxa"/>
          <w:bottom w:w="0" w:type="dxa"/>
          <w:right w:w="0" w:type="dxa"/>
        </w:tblCellMar>
      </w:tblPr>
      <w:tblGrid>
        <w:gridCol w:w="161"/>
        <w:gridCol w:w="5251"/>
      </w:tblGrid>
      <w:tr>
        <w:trPr/>
        <w:tc>
          <w:tcPr>
            <w:tcW w:w="161" w:type="dxa"/>
            <w:tcBorders/>
            <w:vAlign w:val="center"/>
          </w:tcPr>
          <w:p>
            <w:pPr>
              <w:pStyle w:val="TableContents"/>
              <w:bidi w:val="0"/>
              <w:spacing w:before="0" w:after="0"/>
              <w:ind w:left="0" w:right="0" w:hanging="0"/>
              <w:jc w:val="left"/>
              <w:rPr/>
            </w:pPr>
            <w:r>
              <w:rPr/>
              <w:t>​</w:t>
            </w:r>
          </w:p>
        </w:tc>
        <w:tc>
          <w:tcPr>
            <w:tcW w:w="525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/s/ Erik Staffeldt</w:t>
            </w:r>
          </w:p>
        </w:tc>
      </w:tr>
      <w:tr>
        <w:trPr/>
        <w:tc>
          <w:tcPr>
            <w:tcW w:w="161" w:type="dxa"/>
            <w:tcBorders/>
            <w:vAlign w:val="center"/>
          </w:tcPr>
          <w:p>
            <w:pPr>
              <w:pStyle w:val="TableContents"/>
              <w:bidi w:val="0"/>
              <w:spacing w:before="0" w:after="0"/>
              <w:ind w:left="0" w:right="0" w:hanging="0"/>
              <w:jc w:val="left"/>
              <w:rPr/>
            </w:pPr>
            <w:r>
              <w:rPr/>
              <w:t>​</w:t>
            </w:r>
          </w:p>
        </w:tc>
        <w:tc>
          <w:tcPr>
            <w:tcW w:w="52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Erik Staffeldt</w:t>
            </w:r>
          </w:p>
        </w:tc>
      </w:tr>
      <w:tr>
        <w:trPr/>
        <w:tc>
          <w:tcPr>
            <w:tcW w:w="161" w:type="dxa"/>
            <w:tcBorders/>
            <w:vAlign w:val="center"/>
          </w:tcPr>
          <w:p>
            <w:pPr>
              <w:pStyle w:val="TableContents"/>
              <w:bidi w:val="0"/>
              <w:spacing w:before="0" w:after="0"/>
              <w:ind w:left="0" w:right="0" w:hanging="0"/>
              <w:jc w:val="left"/>
              <w:rPr/>
            </w:pPr>
            <w:r>
              <w:rPr/>
              <w:t> </w:t>
            </w:r>
          </w:p>
        </w:tc>
        <w:tc>
          <w:tcPr>
            <w:tcW w:w="525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0866829/000095012906002103/h33539exv3w1.htm" TargetMode="External"/><Relationship Id="rId4" Type="http://schemas.openxmlformats.org/officeDocument/2006/relationships/hyperlink" Target="https://www.sec.gov/Archives/edgar/data/866829/000095012906008744/h39963exv3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18611</Words>
  <Characters>103001</Characters>
  <CharactersWithSpaces>122869</CharactersWithSpaces>
  <Paragraphs>5206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