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 xml:space="preserve">Date of Report </w:t>
      </w:r>
      <w:r>
        <w:rPr>
          <w:rFonts w:ascii="Arial" w:cs="Arial" w:eastAsia="Arial" w:hAnsi="Arial"/>
          <w:sz w:val="20"/>
          <w:szCs w:val="20"/>
          <w:color w:val="auto"/>
        </w:rPr>
        <w:t>(Date of earliest event reported):</w:t>
      </w:r>
      <w:r>
        <w:rPr>
          <w:rFonts w:ascii="Arial" w:cs="Arial" w:eastAsia="Arial" w:hAnsi="Arial"/>
          <w:sz w:val="20"/>
          <w:szCs w:val="20"/>
          <w:b w:val="1"/>
          <w:bCs w:val="1"/>
          <w:color w:val="auto"/>
        </w:rPr>
        <w:t xml:space="preserve"> February 17, 2023 </w:t>
      </w:r>
      <w:r>
        <w:rPr>
          <w:rFonts w:ascii="Arial" w:cs="Arial" w:eastAsia="Arial" w:hAnsi="Arial"/>
          <w:sz w:val="20"/>
          <w:szCs w:val="20"/>
          <w:color w:val="auto"/>
        </w:rPr>
        <w:t>(February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77470</wp:posOffset>
            </wp:positionV>
            <wp:extent cx="154305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HELIX ENERGY SOLUTIONS GROUP,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83" w:lineRule="exact"/>
        <w:rPr>
          <w:sz w:val="24"/>
          <w:szCs w:val="24"/>
          <w:color w:val="auto"/>
        </w:rPr>
      </w:pPr>
    </w:p>
    <w:tbl>
      <w:tblPr>
        <w:tblLayout w:type="fixed"/>
        <w:tblInd w:w="300" w:type="dxa"/>
        <w:tblCellMar>
          <w:top w:w="0" w:type="dxa"/>
          <w:left w:w="0" w:type="dxa"/>
          <w:bottom w:w="0" w:type="dxa"/>
          <w:right w:w="0" w:type="dxa"/>
        </w:tblCellMar>
      </w:tblPr>
      <w:tr>
        <w:trPr>
          <w:trHeight w:val="239"/>
        </w:trPr>
        <w:tc>
          <w:tcPr>
            <w:tcW w:w="3620" w:type="dxa"/>
            <w:vAlign w:val="bottom"/>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2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001-32936</w:t>
            </w:r>
          </w:p>
        </w:tc>
        <w:tc>
          <w:tcPr>
            <w:tcW w:w="2260" w:type="dxa"/>
            <w:vAlign w:val="bottom"/>
          </w:tcPr>
          <w:p>
            <w:pPr>
              <w:jc w:val="right"/>
              <w:ind w:right="119"/>
              <w:spacing w:after="0"/>
              <w:rPr>
                <w:sz w:val="20"/>
                <w:szCs w:val="20"/>
                <w:color w:val="auto"/>
              </w:rPr>
            </w:pPr>
            <w:r>
              <w:rPr>
                <w:rFonts w:ascii="Arial" w:cs="Arial" w:eastAsia="Arial" w:hAnsi="Arial"/>
                <w:sz w:val="16"/>
                <w:szCs w:val="16"/>
                <w:b w:val="1"/>
                <w:bCs w:val="1"/>
                <w:color w:val="auto"/>
              </w:rPr>
              <w:t>95-3409686</w:t>
            </w:r>
          </w:p>
        </w:tc>
      </w:tr>
      <w:tr>
        <w:trPr>
          <w:trHeight w:val="258"/>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(State or other jurisdiction</w:t>
            </w:r>
          </w:p>
        </w:tc>
        <w:tc>
          <w:tcPr>
            <w:tcW w:w="2580" w:type="dxa"/>
            <w:vAlign w:val="bottom"/>
          </w:tcPr>
          <w:p>
            <w:pPr>
              <w:jc w:val="center"/>
              <w:ind w:right="350"/>
              <w:spacing w:after="0"/>
              <w:rPr>
                <w:sz w:val="20"/>
                <w:szCs w:val="20"/>
                <w:color w:val="auto"/>
              </w:rPr>
            </w:pPr>
            <w:r>
              <w:rPr>
                <w:rFonts w:ascii="Arial" w:cs="Arial" w:eastAsia="Arial" w:hAnsi="Arial"/>
                <w:sz w:val="18"/>
                <w:szCs w:val="18"/>
                <w:color w:val="auto"/>
              </w:rPr>
              <w:t>(Commission</w:t>
            </w:r>
          </w:p>
        </w:tc>
        <w:tc>
          <w:tcPr>
            <w:tcW w:w="2260" w:type="dxa"/>
            <w:vAlign w:val="bottom"/>
          </w:tcPr>
          <w:p>
            <w:pPr>
              <w:jc w:val="center"/>
              <w:ind w:left="899"/>
              <w:spacing w:after="0"/>
              <w:rPr>
                <w:sz w:val="20"/>
                <w:szCs w:val="20"/>
                <w:color w:val="auto"/>
              </w:rPr>
            </w:pPr>
            <w:r>
              <w:rPr>
                <w:rFonts w:ascii="Arial" w:cs="Arial" w:eastAsia="Arial" w:hAnsi="Arial"/>
                <w:sz w:val="16"/>
                <w:szCs w:val="16"/>
                <w:color w:val="auto"/>
                <w:w w:val="99"/>
              </w:rPr>
              <w:t>(IRS Employer</w:t>
            </w:r>
          </w:p>
        </w:tc>
      </w:tr>
      <w:tr>
        <w:trPr>
          <w:trHeight w:val="228"/>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of incorporation)</w:t>
            </w:r>
          </w:p>
        </w:tc>
        <w:tc>
          <w:tcPr>
            <w:tcW w:w="2580" w:type="dxa"/>
            <w:vAlign w:val="bottom"/>
          </w:tcPr>
          <w:p>
            <w:pPr>
              <w:jc w:val="center"/>
              <w:ind w:right="330"/>
              <w:spacing w:after="0"/>
              <w:rPr>
                <w:sz w:val="20"/>
                <w:szCs w:val="20"/>
                <w:color w:val="auto"/>
              </w:rPr>
            </w:pPr>
            <w:r>
              <w:rPr>
                <w:rFonts w:ascii="Arial" w:cs="Arial" w:eastAsia="Arial" w:hAnsi="Arial"/>
                <w:sz w:val="18"/>
                <w:szCs w:val="18"/>
                <w:color w:val="auto"/>
                <w:w w:val="99"/>
              </w:rPr>
              <w:t>File Number)</w:t>
            </w:r>
          </w:p>
        </w:tc>
        <w:tc>
          <w:tcPr>
            <w:tcW w:w="226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250"/>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rPr>
              <w:t>3505 West Sam Houston Parkway North</w:t>
            </w:r>
          </w:p>
        </w:tc>
        <w:tc>
          <w:tcPr>
            <w:tcW w:w="25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84"/>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w w:val="99"/>
              </w:rPr>
              <w:t>Suite 400</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3"/>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w w:val="99"/>
              </w:rPr>
              <w:t>Houston, Texas</w:t>
            </w:r>
          </w:p>
        </w:tc>
        <w:tc>
          <w:tcPr>
            <w:tcW w:w="2580" w:type="dxa"/>
            <w:vAlign w:val="bottom"/>
          </w:tcPr>
          <w:p>
            <w:pPr>
              <w:spacing w:after="0"/>
              <w:rPr>
                <w:sz w:val="24"/>
                <w:szCs w:val="24"/>
                <w:color w:val="auto"/>
              </w:rPr>
            </w:pPr>
          </w:p>
        </w:tc>
        <w:tc>
          <w:tcPr>
            <w:tcW w:w="2260" w:type="dxa"/>
            <w:vAlign w:val="bottom"/>
          </w:tcPr>
          <w:p>
            <w:pPr>
              <w:jc w:val="right"/>
              <w:ind w:right="339"/>
              <w:spacing w:after="0"/>
              <w:rPr>
                <w:sz w:val="20"/>
                <w:szCs w:val="20"/>
                <w:color w:val="auto"/>
              </w:rPr>
            </w:pPr>
            <w:r>
              <w:rPr>
                <w:rFonts w:ascii="Arial" w:cs="Arial" w:eastAsia="Arial" w:hAnsi="Arial"/>
                <w:sz w:val="16"/>
                <w:szCs w:val="16"/>
                <w:b w:val="1"/>
                <w:bCs w:val="1"/>
                <w:color w:val="auto"/>
              </w:rPr>
              <w:t>77043</w:t>
            </w:r>
          </w:p>
        </w:tc>
      </w:tr>
      <w:tr>
        <w:trPr>
          <w:trHeight w:val="283"/>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(Address of principal executive offices)</w:t>
            </w:r>
          </w:p>
        </w:tc>
        <w:tc>
          <w:tcPr>
            <w:tcW w:w="2580" w:type="dxa"/>
            <w:vAlign w:val="bottom"/>
          </w:tcPr>
          <w:p>
            <w:pPr>
              <w:spacing w:after="0"/>
              <w:rPr>
                <w:sz w:val="24"/>
                <w:szCs w:val="24"/>
                <w:color w:val="auto"/>
              </w:rPr>
            </w:pPr>
          </w:p>
        </w:tc>
        <w:tc>
          <w:tcPr>
            <w:tcW w:w="2260" w:type="dxa"/>
            <w:vAlign w:val="bottom"/>
          </w:tcPr>
          <w:p>
            <w:pPr>
              <w:jc w:val="center"/>
              <w:ind w:left="899"/>
              <w:spacing w:after="0"/>
              <w:rPr>
                <w:sz w:val="20"/>
                <w:szCs w:val="20"/>
                <w:color w:val="auto"/>
              </w:rPr>
            </w:pPr>
            <w:r>
              <w:rPr>
                <w:rFonts w:ascii="Arial" w:cs="Arial" w:eastAsia="Arial" w:hAnsi="Arial"/>
                <w:sz w:val="16"/>
                <w:szCs w:val="16"/>
                <w:color w:val="auto"/>
              </w:rPr>
              <w:t>(Zip Code)</w:t>
            </w:r>
          </w:p>
        </w:tc>
      </w:tr>
    </w:tbl>
    <w:p>
      <w:pPr>
        <w:spacing w:after="0" w:line="15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281-618-0400</w:t>
      </w:r>
    </w:p>
    <w:p>
      <w:pPr>
        <w:spacing w:after="0" w:line="10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4"/>
          <w:szCs w:val="24"/>
          <w:color w:val="auto"/>
        </w:rPr>
      </w:pPr>
    </w:p>
    <w:p>
      <w:pPr>
        <w:ind w:right="66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800" w:firstLine="8"/>
        <w:spacing w:after="0" w:line="355"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25"/>
        </w:trPr>
        <w:tc>
          <w:tcPr>
            <w:tcW w:w="2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Title of each class</w:t>
            </w:r>
          </w:p>
        </w:tc>
        <w:tc>
          <w:tcPr>
            <w:tcW w:w="2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0"/>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no par value</w:t>
            </w:r>
          </w:p>
        </w:tc>
        <w:tc>
          <w:tcPr>
            <w:tcW w:w="22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HLX</w:t>
            </w:r>
          </w:p>
        </w:tc>
        <w:tc>
          <w:tcPr>
            <w:tcW w:w="200" w:type="dxa"/>
            <w:vAlign w:val="bottom"/>
          </w:tcPr>
          <w:p>
            <w:pPr>
              <w:spacing w:after="0"/>
              <w:rPr>
                <w:sz w:val="18"/>
                <w:szCs w:val="18"/>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79"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1" w:name="page2"/>
    <w:bookmarkEnd w:id="1"/>
    <w:p>
      <w:pPr>
        <w:ind w:left="7" w:right="140"/>
        <w:spacing w:after="0" w:line="27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6" w:lineRule="exact"/>
        <w:rPr>
          <w:sz w:val="20"/>
          <w:szCs w:val="20"/>
          <w:color w:val="auto"/>
        </w:rPr>
      </w:pPr>
    </w:p>
    <w:p>
      <w:pPr>
        <w:ind w:left="7" w:hanging="7"/>
        <w:spacing w:after="0" w:line="260" w:lineRule="auto"/>
        <w:tabs>
          <w:tab w:leader="none" w:pos="276"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14, 2023, the Compensation Committee (the “Committee”) of the Board of Directors of Helix Energy Solutions Group, Inc. (the “Company”) determined and approved the 2023 Short Term Incentive Program (the “2023 STI Program”) for 2023 annual bonuses for each of the Company’s named executive officers (payable in 2024), including the target and maximum bonuses that can be earned by each named executive officer. The target bonus for each named executive officer for the 2023 STI Program is set as a percentage of base salary, as were the targets for the 2022 Short Term Incentive Program (the “2022 STI Program”). The target bonus percentages for each named executive officer remain the same for the 2023 STI Program as they were for the 2022 STI Program. The 2023 STI program increases the maximum bonus level to 190% of the target bonus from 133% of the target bonus for the 2022 STI Program. The 2023 STI Program also adds new environmental, social and governance (“ESG”) key performance indicators in addition to the existing financial metric to establish each named executive officer’s target bonus.</w:t>
      </w:r>
    </w:p>
    <w:p>
      <w:pPr>
        <w:spacing w:after="0" w:line="204" w:lineRule="exact"/>
        <w:rPr>
          <w:sz w:val="20"/>
          <w:szCs w:val="20"/>
          <w:color w:val="auto"/>
        </w:rPr>
      </w:pPr>
    </w:p>
    <w:p>
      <w:pPr>
        <w:ind w:left="7" w:right="200"/>
        <w:spacing w:after="0"/>
        <w:rPr>
          <w:sz w:val="20"/>
          <w:szCs w:val="20"/>
          <w:color w:val="auto"/>
        </w:rPr>
      </w:pPr>
      <w:r>
        <w:rPr>
          <w:rFonts w:ascii="Arial" w:cs="Arial" w:eastAsia="Arial" w:hAnsi="Arial"/>
          <w:sz w:val="18"/>
          <w:szCs w:val="18"/>
          <w:color w:val="auto"/>
        </w:rPr>
        <w:t>Other information related to the total compensation for the Company’s named executive officers will be disclosed in the Company’s 2023 Proxy Statement as required by the rules related to proxy statements and the disclosure of executive compensation.</w:t>
      </w:r>
    </w:p>
    <w:p>
      <w:pPr>
        <w:spacing w:after="0" w:line="3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ind w:left="667" w:hanging="667"/>
        <w:spacing w:after="0"/>
        <w:tabs>
          <w:tab w:leader="none" w:pos="66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9" w:lineRule="exact"/>
        <w:rPr>
          <w:sz w:val="20"/>
          <w:szCs w:val="20"/>
          <w:color w:val="auto"/>
        </w:rPr>
      </w:pPr>
    </w:p>
    <w:p>
      <w:pPr>
        <w:ind w:left="7"/>
        <w:spacing w:after="0"/>
        <w:rPr>
          <w:sz w:val="20"/>
          <w:szCs w:val="20"/>
          <w:color w:val="auto"/>
        </w:rPr>
      </w:pPr>
      <w:r>
        <w:rPr>
          <w:rFonts w:ascii="Arial" w:cs="Arial" w:eastAsia="Arial" w:hAnsi="Arial"/>
          <w:sz w:val="18"/>
          <w:szCs w:val="18"/>
          <w:color w:val="auto"/>
        </w:rPr>
        <w:t>Exhibit</w:t>
      </w:r>
    </w:p>
    <w:p>
      <w:pPr>
        <w:ind w:left="7"/>
        <w:spacing w:after="0"/>
        <w:tabs>
          <w:tab w:leader="none" w:pos="1406"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949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17" w:lineRule="exact"/>
        <w:rPr>
          <w:sz w:val="20"/>
          <w:szCs w:val="20"/>
          <w:color w:val="auto"/>
        </w:rPr>
      </w:pPr>
    </w:p>
    <w:p>
      <w:pPr>
        <w:ind w:left="7"/>
        <w:spacing w:after="0"/>
        <w:tabs>
          <w:tab w:leader="none" w:pos="1406"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614680</wp:posOffset>
            </wp:positionV>
            <wp:extent cx="59575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27"/>
          </w:cols>
          <w:pgMar w:left="1253" w:top="118" w:right="1319" w:bottom="1440" w:gutter="0" w:footer="0" w:header="0"/>
        </w:sectPr>
      </w:pPr>
    </w:p>
    <w:bookmarkStart w:id="2" w:name="page3"/>
    <w:bookmarkEnd w:id="2"/>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179"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ind w:left="4780"/>
        <w:spacing w:after="0"/>
        <w:rPr>
          <w:sz w:val="20"/>
          <w:szCs w:val="20"/>
          <w:color w:val="auto"/>
        </w:rPr>
      </w:pPr>
      <w:r>
        <w:rPr>
          <w:rFonts w:ascii="Arial" w:cs="Arial" w:eastAsia="Arial" w:hAnsi="Arial"/>
          <w:sz w:val="18"/>
          <w:szCs w:val="18"/>
          <w:color w:val="auto"/>
        </w:rPr>
        <w:t>HELIX ENERGY SOLUTIONS GROUP, INC.</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By:/s/ Kenneth E.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-1905</wp:posOffset>
            </wp:positionV>
            <wp:extent cx="274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Kenneth E. Neikirk</w:t>
      </w:r>
    </w:p>
    <w:p>
      <w:pPr>
        <w:ind w:left="5040"/>
        <w:spacing w:after="0" w:line="234" w:lineRule="auto"/>
        <w:rPr>
          <w:sz w:val="20"/>
          <w:szCs w:val="20"/>
          <w:color w:val="auto"/>
        </w:rPr>
      </w:pPr>
      <w:r>
        <w:rPr>
          <w:rFonts w:ascii="Arial" w:cs="Arial" w:eastAsia="Arial" w:hAnsi="Arial"/>
          <w:sz w:val="18"/>
          <w:szCs w:val="18"/>
          <w:color w:val="auto"/>
        </w:rPr>
        <w:t>Executive Vice President, General Counsel and</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606425</wp:posOffset>
            </wp:positionV>
            <wp:extent cx="59575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sectPr>
      <w:pgSz w:w="11900" w:h="16838" w:orient="portrait"/>
      <w:cols w:equalWidth="0" w:num="1">
        <w:col w:w="9199"/>
      </w:cols>
      <w:pgMar w:left="12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2023-02-17T15:13:34Z</dcterms:created>
  <dcterms:modified xsi:type="dcterms:W3CDTF">2023-02-17T15:13:34Z</dcterms:modified>
</cp:coreProperties>
</file>