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jc w:val="both"/>
        <w:ind w:right="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3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3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As of July 20, 2022, 151,729,078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1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8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6"/>
          </w:tcPr>
          <w:p>
            <w:pPr>
              <w:spacing w:after="0" w:line="182" w:lineRule="exact"/>
              <w:rPr>
                <w:sz w:val="20"/>
                <w:szCs w:val="20"/>
                <w:color w:val="auto"/>
              </w:rPr>
            </w:pPr>
            <w:r>
              <w:rPr>
                <w:rFonts w:ascii="Arial" w:cs="Arial" w:eastAsia="Arial" w:hAnsi="Arial"/>
                <w:sz w:val="18"/>
                <w:szCs w:val="18"/>
                <w:color w:val="0000EE"/>
              </w:rPr>
              <w:t>Condensed Consolidated Balance Sheets – June 30, 2022 (Unaudited) and December 31, 2021</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4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Condensed Consolidated Statements of Operations (Unaudited) – Three and six months ended</w:t>
            </w:r>
          </w:p>
        </w:tc>
        <w:tc>
          <w:tcPr>
            <w:tcW w:w="32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June 30, 2022 and 2021</w:t>
            </w:r>
          </w:p>
        </w:tc>
        <w:tc>
          <w:tcPr>
            <w:tcW w:w="5620" w:type="dxa"/>
            <w:vAlign w:val="bottom"/>
            <w:tcBorders>
              <w:top w:val="single" w:sz="8" w:color="0000EE"/>
            </w:tcBorders>
            <w:gridSpan w:val="11"/>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Condensed Consolidated Statements of Comprehensive Income (Loss) (Unaudited) – Three and</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six months ended June 30, 2022 and 2021</w:t>
            </w:r>
          </w:p>
        </w:tc>
        <w:tc>
          <w:tcPr>
            <w:tcW w:w="428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Condensed Consolidated Statements of Shareholders’ Equity (Unaudited) – Three months ended</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June 30, 2022 and 2021</w:t>
            </w:r>
          </w:p>
        </w:tc>
        <w:tc>
          <w:tcPr>
            <w:tcW w:w="5780" w:type="dxa"/>
            <w:vAlign w:val="bottom"/>
            <w:tcBorders>
              <w:top w:val="single" w:sz="8" w:color="0000EE"/>
            </w:tcBorders>
            <w:gridSpan w:val="14"/>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Condensed Consolidated Statements of Shareholders’ Equity (Unaudited) – Six months ended</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June 30, 2022 and 2021</w:t>
            </w:r>
          </w:p>
        </w:tc>
        <w:tc>
          <w:tcPr>
            <w:tcW w:w="55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Condensed Consolidated Statements of Cash Flows (Unaudited) – Six months ended June 30,</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2022 and 2021</w:t>
            </w:r>
          </w:p>
        </w:tc>
        <w:tc>
          <w:tcPr>
            <w:tcW w:w="6340" w:type="dxa"/>
            <w:vAlign w:val="bottom"/>
            <w:tcBorders>
              <w:top w:val="single" w:sz="8" w:color="0000EE"/>
            </w:tcBorders>
            <w:gridSpan w:val="16"/>
          </w:tcPr>
          <w:p>
            <w:pPr>
              <w:spacing w:after="0"/>
              <w:rPr>
                <w:sz w:val="15"/>
                <w:szCs w:val="15"/>
                <w:color w:val="auto"/>
              </w:rPr>
            </w:pPr>
          </w:p>
        </w:tc>
        <w:tc>
          <w:tcPr>
            <w:tcW w:w="42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50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8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Controls and Procedures</w:t>
            </w:r>
          </w:p>
        </w:tc>
        <w:tc>
          <w:tcPr>
            <w:tcW w:w="326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OTHER INFORMATION</w:t>
            </w:r>
          </w:p>
        </w:tc>
        <w:tc>
          <w:tcPr>
            <w:tcW w:w="602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Legal Proceedings</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6960" w:type="dxa"/>
            <w:vAlign w:val="bottom"/>
            <w:gridSpan w:val="2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Defaults Upon Senior Securities</w:t>
            </w:r>
          </w:p>
        </w:tc>
        <w:tc>
          <w:tcPr>
            <w:tcW w:w="312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Mine Safety Disclosures</w:t>
            </w:r>
          </w:p>
        </w:tc>
        <w:tc>
          <w:tcPr>
            <w:tcW w:w="542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4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60" w:type="dxa"/>
            <w:vAlign w:val="bottom"/>
            <w:gridSpan w:val="26"/>
          </w:tcPr>
          <w:p>
            <w:pPr>
              <w:spacing w:after="0"/>
              <w:rPr>
                <w:sz w:val="20"/>
                <w:szCs w:val="20"/>
                <w:color w:val="auto"/>
              </w:rPr>
            </w:pPr>
            <w:r>
              <w:rPr>
                <w:rFonts w:ascii="Arial" w:cs="Arial" w:eastAsia="Arial" w:hAnsi="Arial"/>
                <w:sz w:val="18"/>
                <w:szCs w:val="18"/>
                <w:color w:val="0000EE"/>
              </w:rPr>
              <w:t>Exhibits</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00" w:type="dxa"/>
            <w:vAlign w:val="bottom"/>
            <w:gridSpan w:val="2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7100" w:type="dxa"/>
            <w:vAlign w:val="bottom"/>
            <w:gridSpan w:val="2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260,595</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253,515</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73,612</w:t>
            </w: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$1,563 and $1,477,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144,137</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68,990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58,274</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485,404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529,538</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2,860,872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2,938,154</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(1,321,699)</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(1,280,509)</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1,539,173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1,657,645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139,262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49,814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34,655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2,213,653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99,716</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87,959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85,180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91,712</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42,873</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39,697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232,726</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278,283</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258,977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262,137</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103,548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50,198</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86,416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86,966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681,863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678,559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151,714 and 151,124 shares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1,295,016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1,292,479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339,342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411,072</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(102,568)</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(56,082)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1,531,790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1,647,469</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2,213,653</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20" w:type="dxa"/>
            <w:vAlign w:val="bottom"/>
            <w:gridSpan w:val="9"/>
          </w:tcPr>
          <w:p>
            <w:pPr>
              <w:jc w:val="center"/>
              <w:ind w:left="75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40" w:type="dxa"/>
            <w:vAlign w:val="bottom"/>
            <w:gridSpan w:val="3"/>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162,612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161,941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312,737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163,966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158,811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332,700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307,602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 (loss)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(19,963)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 on disposition of assets, net</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(17,622)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(13,425)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(31,990)</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tcPr>
          <w:p>
            <w:pPr>
              <w:spacing w:after="0" w:line="196" w:lineRule="exact"/>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(18,976)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(10,941)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(51,953)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Equity in earnings of investment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(4,799)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(9,973)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2,938</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(28,265)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(68,156)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 (benefit)</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60" w:type="dxa"/>
            <w:vAlign w:val="bottom"/>
            <w:gridSpan w:val="4"/>
          </w:tcPr>
          <w:p>
            <w:pPr>
              <w:ind w:left="100"/>
              <w:spacing w:after="0" w:line="183" w:lineRule="exact"/>
              <w:rPr>
                <w:sz w:val="20"/>
                <w:szCs w:val="20"/>
                <w:color w:val="auto"/>
              </w:rPr>
            </w:pPr>
            <w:r>
              <w:rPr>
                <w:rFonts w:ascii="Arial" w:cs="Arial" w:eastAsia="Arial" w:hAnsi="Arial"/>
                <w:sz w:val="18"/>
                <w:szCs w:val="18"/>
                <w:color w:val="auto"/>
              </w:rPr>
              <w:t>Net income (loss) attributable to redeemable noncontrolling</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interests</w:t>
            </w: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(13,709)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per share of common stock:</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(0.47)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151,205</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150,028</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151,174</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151,205</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150,028</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151,174</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149,982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652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580" w:type="dxa"/>
            <w:vAlign w:val="bottom"/>
            <w:gridSpan w:val="11"/>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880" w:type="dxa"/>
            <w:vAlign w:val="bottom"/>
            <w:gridSpan w:val="4"/>
          </w:tcPr>
          <w:p>
            <w:pPr>
              <w:jc w:val="center"/>
              <w:ind w:left="241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48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1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36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(16,733)</w:t>
            </w: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(33,338)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(46,486)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6,969</w:t>
            </w:r>
          </w:p>
        </w:tc>
      </w:tr>
      <w:tr>
        <w:trPr>
          <w:trHeight w:val="196"/>
        </w:trPr>
        <w:tc>
          <w:tcPr>
            <w:tcW w:w="48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(33,338)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(46,486)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6,969</w:t>
            </w:r>
          </w:p>
        </w:tc>
      </w:tr>
      <w:tr>
        <w:trPr>
          <w:trHeight w:val="196"/>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(63,037)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(118,216)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(9,764)</w:t>
            </w:r>
          </w:p>
        </w:tc>
      </w:tr>
      <w:tr>
        <w:trPr>
          <w:trHeight w:val="184"/>
        </w:trPr>
        <w:tc>
          <w:tcPr>
            <w:tcW w:w="4880" w:type="dxa"/>
            <w:vAlign w:val="bottom"/>
            <w:gridSpan w:val="2"/>
          </w:tcPr>
          <w:p>
            <w:pPr>
              <w:spacing w:after="0" w:line="183" w:lineRule="exact"/>
              <w:rPr>
                <w:sz w:val="20"/>
                <w:szCs w:val="20"/>
                <w:color w:val="auto"/>
              </w:rPr>
            </w:pPr>
            <w:r>
              <w:rPr>
                <w:rFonts w:ascii="Arial" w:cs="Arial" w:eastAsia="Arial" w:hAnsi="Arial"/>
                <w:sz w:val="18"/>
                <w:szCs w:val="18"/>
                <w:color w:val="auto"/>
              </w:rPr>
              <w:t>Less comprehensive income (loss) attributable to</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48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48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Foreign currency translation gain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164"/>
        </w:trPr>
        <w:tc>
          <w:tcPr>
            <w:tcW w:w="4880" w:type="dxa"/>
            <w:vAlign w:val="bottom"/>
            <w:tcBorders>
              <w:top w:val="single" w:sz="8" w:color="CCEEFF"/>
            </w:tcBorders>
            <w:gridSpan w:val="2"/>
            <w:shd w:val="clear" w:color="auto" w:fill="CCEEFF"/>
          </w:tcPr>
          <w:p>
            <w:pPr>
              <w:ind w:left="120"/>
              <w:spacing w:after="0" w:line="164" w:lineRule="exact"/>
              <w:rPr>
                <w:sz w:val="20"/>
                <w:szCs w:val="20"/>
                <w:color w:val="auto"/>
              </w:rPr>
            </w:pPr>
            <w:r>
              <w:rPr>
                <w:rFonts w:ascii="Arial" w:cs="Arial" w:eastAsia="Arial" w:hAnsi="Arial"/>
                <w:sz w:val="18"/>
                <w:szCs w:val="18"/>
                <w:color w:val="auto"/>
              </w:rPr>
              <w:t>Comprehensive income (loss) attributable to redeemable</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221"/>
        </w:trPr>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196"/>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loss attributable to common shareholders</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(63,037)</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(11,365)</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(118,216)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(9,666)</w:t>
            </w: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gridSpan w:val="21"/>
          </w:tcPr>
          <w:p>
            <w:pPr>
              <w:jc w:val="center"/>
              <w:ind w:right="5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120" w:type="dxa"/>
            <w:vAlign w:val="bottom"/>
            <w:gridSpan w:val="22"/>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Retained</w:t>
            </w:r>
          </w:p>
        </w:tc>
        <w:tc>
          <w:tcPr>
            <w:tcW w:w="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8"/>
              </w:rPr>
              <w:t>Noncontrolling</w:t>
            </w: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96"/>
        </w:trPr>
        <w:tc>
          <w:tcPr>
            <w:tcW w:w="2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2022</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151,637</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$ 1,292,935</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$ 369,041</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(69,230)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1,592,746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(29,699)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(29,699)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plans, net and other</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Balance, June 30, 2022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151,714</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$ 1,295,016</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$ 339,342</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(102,568)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1,531,790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0"/>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6"/>
          </w:tcPr>
          <w:p>
            <w:pPr>
              <w:ind w:left="32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Retained</w:t>
            </w:r>
          </w:p>
        </w:tc>
        <w:tc>
          <w:tcPr>
            <w:tcW w:w="1400" w:type="dxa"/>
            <w:vAlign w:val="bottom"/>
            <w:gridSpan w:val="4"/>
          </w:tcPr>
          <w:p>
            <w:pPr>
              <w:ind w:left="20"/>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8"/>
              </w:rPr>
              <w:t>Noncontrolling</w:t>
            </w: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60"/>
              <w:spacing w:after="0" w:line="196" w:lineRule="exact"/>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ind w:right="220"/>
              <w:spacing w:after="0" w:line="196" w:lineRule="exact"/>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96"/>
        </w:trPr>
        <w:tc>
          <w:tcPr>
            <w:tcW w:w="2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2021</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150,715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$ 1,286,380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$ 468,087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(47,007)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1,707,460</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3,960</w:t>
            </w: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(13,709)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(13,709)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Accretion of redeemable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Acquisition of redeemable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plans, net and other</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Balance, June 30, 2021</w:t>
            </w:r>
          </w:p>
        </w:tc>
        <w:tc>
          <w:tcPr>
            <w:tcW w:w="12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150,787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$ 1,288,603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$ 456,108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(44,651)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1,700,060</w:t>
            </w:r>
          </w:p>
        </w:tc>
        <w:tc>
          <w:tcPr>
            <w:tcW w:w="220" w:type="dxa"/>
            <w:vAlign w:val="bottom"/>
            <w:gridSpan w:val="2"/>
          </w:tcPr>
          <w:p>
            <w:pPr>
              <w:spacing w:after="0"/>
              <w:rPr>
                <w:sz w:val="17"/>
                <w:szCs w:val="17"/>
                <w:color w:val="auto"/>
              </w:rPr>
            </w:pPr>
          </w:p>
        </w:tc>
        <w:tc>
          <w:tcPr>
            <w:tcW w:w="1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gridSpan w:val="21"/>
          </w:tcPr>
          <w:p>
            <w:pPr>
              <w:jc w:val="center"/>
              <w:ind w:right="5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120" w:type="dxa"/>
            <w:vAlign w:val="bottom"/>
            <w:gridSpan w:val="22"/>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9"/>
              </w:rPr>
              <w:t>Retained</w:t>
            </w:r>
          </w:p>
        </w:tc>
        <w:tc>
          <w:tcPr>
            <w:tcW w:w="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64"/>
        </w:trPr>
        <w:tc>
          <w:tcPr>
            <w:tcW w:w="218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151,124</w:t>
            </w:r>
          </w:p>
        </w:tc>
        <w:tc>
          <w:tcPr>
            <w:tcW w:w="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$ 1,292,479</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$ 411,072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(56,082)</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1,647,469</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(71,730)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(71,730)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plans, net and other</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80" w:type="dxa"/>
            <w:vAlign w:val="bottom"/>
            <w:gridSpan w:val="2"/>
          </w:tcPr>
          <w:p>
            <w:pPr>
              <w:spacing w:after="0" w:line="196" w:lineRule="exact"/>
              <w:rPr>
                <w:sz w:val="20"/>
                <w:szCs w:val="20"/>
                <w:color w:val="auto"/>
              </w:rPr>
            </w:pPr>
            <w:r>
              <w:rPr>
                <w:rFonts w:ascii="Arial" w:cs="Arial" w:eastAsia="Arial" w:hAnsi="Arial"/>
                <w:sz w:val="18"/>
                <w:szCs w:val="18"/>
                <w:color w:val="auto"/>
              </w:rPr>
              <w:t>Balance, June 30, 2022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151,714</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$ 1,295,016</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$ 339,342</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(102,568)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1,531,790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0"/>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Redeemable</w:t>
            </w:r>
          </w:p>
        </w:tc>
      </w:tr>
      <w:tr>
        <w:trPr>
          <w:trHeight w:val="221"/>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Retained</w:t>
            </w:r>
          </w:p>
        </w:tc>
        <w:tc>
          <w:tcPr>
            <w:tcW w:w="1400" w:type="dxa"/>
            <w:vAlign w:val="bottom"/>
            <w:gridSpan w:val="4"/>
          </w:tcPr>
          <w:p>
            <w:pPr>
              <w:ind w:left="20"/>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60"/>
              <w:spacing w:after="0" w:line="196" w:lineRule="exact"/>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3"/>
          </w:tcPr>
          <w:p>
            <w:pPr>
              <w:jc w:val="center"/>
              <w:ind w:right="220"/>
              <w:spacing w:after="0" w:line="196" w:lineRule="exact"/>
              <w:rPr>
                <w:sz w:val="20"/>
                <w:szCs w:val="20"/>
                <w:color w:val="auto"/>
              </w:rPr>
            </w:pPr>
            <w:r>
              <w:rPr>
                <w:rFonts w:ascii="Arial" w:cs="Arial" w:eastAsia="Arial" w:hAnsi="Arial"/>
                <w:sz w:val="18"/>
                <w:szCs w:val="18"/>
                <w:b w:val="1"/>
                <w:bCs w:val="1"/>
                <w:color w:val="auto"/>
                <w:w w:val="98"/>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99"/>
              </w:rPr>
              <w:t>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r>
      <w:tr>
        <w:trPr>
          <w:trHeight w:val="164"/>
        </w:trPr>
        <w:tc>
          <w:tcPr>
            <w:tcW w:w="218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150,341</w:t>
            </w:r>
          </w:p>
        </w:tc>
        <w:tc>
          <w:tcPr>
            <w:tcW w:w="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$ 1,327,592</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$ 464,524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1,740,496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(16,587)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(16,587)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Cumulative-effect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2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upon</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2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adoption of ASU No.</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2020-06</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(41,456)</w:t>
            </w: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Accretion of redeemable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Acquisition of redeemable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184"/>
        </w:trPr>
        <w:tc>
          <w:tcPr>
            <w:tcW w:w="2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plans, net and other</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2180" w:type="dxa"/>
            <w:vAlign w:val="bottom"/>
            <w:gridSpan w:val="2"/>
          </w:tcPr>
          <w:p>
            <w:pPr>
              <w:spacing w:after="0" w:line="183"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21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1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150,787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$ 1,288,603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$ 456,108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(44,651)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1,700,060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5"/>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jc w:val="center"/>
              <w:ind w:left="2070"/>
              <w:spacing w:after="0" w:line="202" w:lineRule="exact"/>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20" w:type="dxa"/>
            <w:vAlign w:val="bottom"/>
          </w:tcPr>
          <w:p>
            <w:pPr>
              <w:jc w:val="center"/>
              <w:ind w:left="2050"/>
              <w:spacing w:after="0"/>
              <w:rPr>
                <w:sz w:val="20"/>
                <w:szCs w:val="20"/>
                <w:color w:val="auto"/>
              </w:rPr>
            </w:pPr>
            <w:r>
              <w:rPr>
                <w:rFonts w:ascii="Arial" w:cs="Arial" w:eastAsia="Arial" w:hAnsi="Arial"/>
                <w:sz w:val="18"/>
                <w:szCs w:val="18"/>
                <w:b w:val="1"/>
                <w:bCs w:val="1"/>
                <w:color w:val="auto"/>
                <w:w w:val="99"/>
              </w:rPr>
              <w:t>(in thousands)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2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(71,730)</w:t>
            </w:r>
          </w:p>
        </w:tc>
        <w:tc>
          <w:tcPr>
            <w:tcW w:w="260" w:type="dxa"/>
            <w:vAlign w:val="bottom"/>
          </w:tcPr>
          <w:p>
            <w:pPr>
              <w:spacing w:after="0"/>
              <w:rPr>
                <w:sz w:val="17"/>
                <w:szCs w:val="17"/>
                <w:color w:val="auto"/>
              </w:rPr>
            </w:pPr>
          </w:p>
        </w:tc>
        <w:tc>
          <w:tcPr>
            <w:tcW w:w="360" w:type="dxa"/>
            <w:vAlign w:val="bottom"/>
            <w:gridSpan w:val="2"/>
          </w:tcPr>
          <w:p>
            <w:pPr>
              <w:jc w:val="right"/>
              <w:ind w:right="187"/>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8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Adjustments to reconcile net loss to net cash provided by (used in) operating</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66,646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debt issuance costs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3,572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Equity in earnings of investment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(8,184)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disposition of assets, net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Unrealized foreign currency (gain) loss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12,578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(15,165)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Income tax payable, net of income tax receivable</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CEEFF"/>
            </w:tcBorders>
            <w:gridSpan w:val="2"/>
          </w:tcPr>
          <w:p>
            <w:pPr>
              <w:ind w:left="320"/>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(20,733)</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(23,254)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(2,187)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Distribution from equity investment, net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5,653</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convertible senior notes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Repayment of Term Loan</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Nordea Q5000 Loan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Repayment of MARAD Debt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of redeemable noncontrolling interests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Payments related to tax withholding for share-based compensation</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(1,525)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Proceeds from issuance of ESPP shares</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gridSpan w:val="2"/>
          </w:tcPr>
          <w:p>
            <w:pPr>
              <w:ind w:left="420"/>
              <w:spacing w:after="0" w:line="196"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(40,319)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(62,802)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480" w:type="dxa"/>
            <w:vAlign w:val="bottom"/>
            <w:gridSpan w:val="2"/>
          </w:tcPr>
          <w:p>
            <w:pPr>
              <w:spacing w:after="0" w:line="183" w:lineRule="exact"/>
              <w:rPr>
                <w:sz w:val="20"/>
                <w:szCs w:val="20"/>
                <w:color w:val="auto"/>
              </w:rPr>
            </w:pPr>
            <w:r>
              <w:rPr>
                <w:rFonts w:ascii="Arial" w:cs="Arial" w:eastAsia="Arial" w:hAnsi="Arial"/>
                <w:sz w:val="18"/>
                <w:szCs w:val="18"/>
                <w:color w:val="auto"/>
              </w:rPr>
              <w:t>Effect of exchange rate changes on cash and cash equivalents and restricted</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00" w:type="dxa"/>
            <w:vAlign w:val="bottom"/>
            <w:gridSpan w:val="3"/>
          </w:tcPr>
          <w:p>
            <w:pPr>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(64,027)</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and restricted cash:</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Balance, beginning of year</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327,127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291,320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Balance, end of period</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263,100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income (loss), statements of shareholders’ equity and statements of cash flows, as applicable. The operating results for the three-and six-month periods ended June 30, 2022 are not necessarily indicative of the results that may be expected for the year ending December 31, 2022. Our balance sheet as of December 31, 2021 included herein has been derived from the audited balance sheet as of December 31, 2021 included in our 2021 Annual Report on Form 10-K (our “2021 Form 10-K”). These unaudited condensed consolidated financial statements should be read in conjunction with the audited annual consolidated financial statements and notes thereto included in our 2021 Form 10-K.</w:t>
      </w:r>
    </w:p>
    <w:p>
      <w:pPr>
        <w:spacing w:after="0" w:line="18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4"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and robotics operations. Our services are centered on a three-legged business model:</w:t>
      </w:r>
    </w:p>
    <w:p>
      <w:pPr>
        <w:spacing w:after="0" w:line="169" w:lineRule="exact"/>
        <w:rPr>
          <w:sz w:val="20"/>
          <w:szCs w:val="20"/>
          <w:color w:val="auto"/>
        </w:rPr>
      </w:pPr>
    </w:p>
    <w:p>
      <w:pPr>
        <w:jc w:val="both"/>
        <w:ind w:left="680" w:right="440" w:hanging="321"/>
        <w:spacing w:after="0" w:line="241"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have historical success as a full-field abandonment contractor and believe that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push for plug and abandonment (“P&amp;A”) and transition to renewable energy will facilitate the continued growth of abandonment backlog; and</w:t>
      </w:r>
    </w:p>
    <w:p>
      <w:pPr>
        <w:spacing w:after="0" w:line="1" w:lineRule="exact"/>
        <w:rPr>
          <w:rFonts w:ascii="Times New Roman" w:cs="Times New Roman" w:eastAsia="Times New Roman" w:hAnsi="Times New Roman"/>
          <w:sz w:val="18"/>
          <w:szCs w:val="18"/>
          <w:color w:val="auto"/>
        </w:rPr>
      </w:pPr>
    </w:p>
    <w:p>
      <w:pPr>
        <w:ind w:left="680" w:right="200" w:hanging="321"/>
        <w:spacing w:after="0" w:line="242"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Renewable energy support </w:t>
      </w:r>
      <w:r>
        <w:rPr>
          <w:rFonts w:ascii="Arial" w:cs="Arial" w:eastAsia="Arial" w:hAnsi="Arial"/>
          <w:sz w:val="18"/>
          <w:szCs w:val="18"/>
          <w:color w:val="auto"/>
        </w:rPr>
        <w:t>— we are an established global leader in jet trenching and continue to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support services to offshore wind farm developments, including boulder removal and unexploded ordnance clearance.</w:t>
      </w:r>
    </w:p>
    <w:p>
      <w:pPr>
        <w:spacing w:after="0" w:line="179"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We provide services primarily in deepwater in the Gulf of Mexico, Brazil, North Sea, Asia Pacific and West Africa regions. On July 1, 2022, we completed the acquisition of the Alliance group of companies (collectively “Alliance”), expanding our service capabilities to shallow waters in the Gulf of Mexico. Our North Sea operations are subject to seasonal changes in demand, which generally peaks in the summer months and declines in the winter months. Our services are segregated into three reportable business segments: Well Intervention, Robotics and Production Facilities (Note 10).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right="260" w:firstLine="648"/>
        <w:spacing w:after="0" w:line="242" w:lineRule="auto"/>
        <w:rPr>
          <w:sz w:val="20"/>
          <w:szCs w:val="20"/>
          <w:color w:val="auto"/>
        </w:rPr>
      </w:pPr>
      <w:r>
        <w:rPr>
          <w:rFonts w:ascii="Arial" w:cs="Arial" w:eastAsia="Arial" w:hAnsi="Arial"/>
          <w:sz w:val="18"/>
          <w:szCs w:val="18"/>
          <w:color w:val="auto"/>
        </w:rPr>
        <w:t>Our Robotics segment provides offshore construction, trenching, seabed clearance,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and robotics support vessels under term charters as well as spot vessels as needed.</w:t>
      </w:r>
    </w:p>
    <w:p>
      <w:pPr>
        <w:spacing w:after="0" w:line="179"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 ship-shaped dynamically positioned floating production vessel, the Helix Fast Response System (the “HFRS”), which combines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Q5000 </w:t>
      </w:r>
      <w:r>
        <w:rPr>
          <w:rFonts w:ascii="Arial" w:cs="Arial" w:eastAsia="Arial" w:hAnsi="Arial"/>
          <w:sz w:val="18"/>
          <w:szCs w:val="18"/>
          <w:color w:val="auto"/>
        </w:rPr>
        <w:t>with certain well control equipment that can be deployed to respond to a well control incident, and our ownership of</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properties. We also have a 20% ownership interest in Independence Hub, LLC (“Independence Hub”) that we account for using the equity method of accounting. In May 2022, we received a net cash distribution of $7.8 million from the sale of the “Independence Hub” platform owned by Independence Hub. All of our current Production Facilities activities are located in the Gulf of Mexico.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100" w:type="dxa"/>
            <w:vAlign w:val="bottom"/>
            <w:gridSpan w:val="2"/>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assets (Note 7)</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9,097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Prepaids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17,069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costs (Note 7)</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receivable (Note 11)</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30,052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5,931</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68,990</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58,274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recertification and dry dock costs, net</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29,532</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16,291</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7)</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1,857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3,119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96"/>
        </w:trPr>
        <w:tc>
          <w:tcPr>
            <w:tcW w:w="6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49,814</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34,655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6800" w:type="dxa"/>
            <w:vAlign w:val="bottom"/>
            <w:gridSpan w:val="2"/>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6,379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(Note 7)</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obligations (Note 11)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30,961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29,658</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16,518</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85,180</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91,712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7)</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2031. We also sublease some of our facilities under non-cancelable sublease agreements.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13,798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31,055</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4,625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9,547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7,119</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6,975</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25,613</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23,388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50,186</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44,471</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June 30, 2022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42,744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5,135</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34,404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4,672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34,002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17,155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3,289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145,152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19,036</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(18,030)</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(2,913)</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127,122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35,306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91,816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11,732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127,122</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8540" w:type="dxa"/>
            <w:vAlign w:val="bottom"/>
            <w:gridSpan w:val="8"/>
          </w:tcPr>
          <w:p>
            <w:pPr>
              <w:ind w:left="640"/>
              <w:spacing w:after="0"/>
              <w:rPr>
                <w:sz w:val="20"/>
                <w:szCs w:val="20"/>
                <w:color w:val="auto"/>
              </w:rPr>
            </w:pPr>
            <w:r>
              <w:rPr>
                <w:rFonts w:ascii="Arial" w:cs="Arial" w:eastAsia="Arial" w:hAnsi="Arial"/>
                <w:sz w:val="18"/>
                <w:szCs w:val="18"/>
                <w:color w:val="auto"/>
              </w:rPr>
              <w:t>Maturities of our operating lease liabilities as of December 31, 2021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55,573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34,580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92,623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(5,633)</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(3,741)</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35,955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14,243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June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 years</w:t>
            </w:r>
          </w:p>
        </w:tc>
      </w:tr>
      <w:tr>
        <w:trPr>
          <w:trHeight w:val="239"/>
        </w:trPr>
        <w:tc>
          <w:tcPr>
            <w:tcW w:w="67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6.97 %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7.57 %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28,860</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31,562</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obtained in exchange for new operating lease obligations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ind w:left="500"/>
              <w:spacing w:after="0"/>
              <w:rPr>
                <w:sz w:val="20"/>
                <w:szCs w:val="20"/>
                <w:color w:val="auto"/>
              </w:rPr>
            </w:pPr>
            <w:r>
              <w:rPr>
                <w:rFonts w:ascii="Arial" w:cs="Arial" w:eastAsia="Arial" w:hAnsi="Arial"/>
                <w:sz w:val="18"/>
                <w:szCs w:val="18"/>
                <w:color w:val="auto"/>
              </w:rPr>
              <w:t>60,772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in 2022 primarily relates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June 30, 2022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MARAD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3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8,133</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8,538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38,538</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8,965</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9,412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209,412</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9,882</w:t>
            </w:r>
          </w:p>
        </w:tc>
      </w:tr>
      <w:tr>
        <w:trPr>
          <w:trHeight w:val="196"/>
        </w:trPr>
        <w:tc>
          <w:tcPr>
            <w:tcW w:w="38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44,930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274,930</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(5,278)</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(2,317)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(7,820)</w:t>
            </w:r>
          </w:p>
        </w:tc>
      </w:tr>
      <w:tr>
        <w:trPr>
          <w:trHeight w:val="196"/>
        </w:trPr>
        <w:tc>
          <w:tcPr>
            <w:tcW w:w="38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194,722</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42,613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267,110</w:t>
            </w:r>
          </w:p>
        </w:tc>
      </w:tr>
      <w:tr>
        <w:trPr>
          <w:trHeight w:val="203"/>
        </w:trPr>
        <w:tc>
          <w:tcPr>
            <w:tcW w:w="3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(8,133)</w:t>
            </w:r>
          </w:p>
        </w:tc>
      </w:tr>
      <w:tr>
        <w:trPr>
          <w:trHeight w:val="196"/>
        </w:trPr>
        <w:tc>
          <w:tcPr>
            <w:tcW w:w="38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194,722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34,480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258,977</w:t>
            </w: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4860" w:right="1100" w:hanging="4852"/>
        <w:spacing w:after="0" w:line="772"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certain components of our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On September 30, 2021, we entered into an asset-based credit agreement (the “ABL Facility”) with Bank of America, N.A. (“Bank of America”), Wells Fargo Bank, N.A. and Zions Bancorporation. The ABL Facility provides for an $80 million asset-based revolving credit facility, which matures on September 30, 2026, with a springing maturity 91 days prior to the maturity of any outstanding indebtedness with a principal amount in excess of $50 million. The ABL Facility also permits us to request an increase of the facility by up to $70 million, subject to certain conditions.</w:t>
      </w:r>
    </w:p>
    <w:p>
      <w:pPr>
        <w:spacing w:after="0" w:line="176"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Commitments under the ABL Facility are comprised of separate U.S. and U.K. revolving credit facility commitments of $45 million and $35 million, respectively. The ABL Facility provides funding based on a borrowing base calculation that includes eligible U.S. and U.K. customer accounts receivable and cash, and provides for a $10 million sub-limit for the issuance of letters of credit. As of June 30, 2022, we had no borrowings under the ABL Facility, and our available borrowing capacity under that facility, based on the borrowing base, totaled $60.3 million, net of $2.3 million of letters of credit issued under that facility.</w:t>
      </w:r>
    </w:p>
    <w:p>
      <w:pPr>
        <w:spacing w:after="0" w:line="179"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We and certain of our U.S. and U.K. subsidiaries are the initial borrowers under the ABL Facility, whose obligations under the ABL Facility are guaranteed by those borrowers and certain other U.S. and U.K. subsidiaries, excluding Cal Dive I</w:t>
      </w:r>
    </w:p>
    <w:p>
      <w:pPr>
        <w:ind w:right="40"/>
        <w:spacing w:after="0"/>
        <w:rPr>
          <w:sz w:val="20"/>
          <w:szCs w:val="20"/>
          <w:color w:val="auto"/>
        </w:rPr>
      </w:pPr>
      <w:r>
        <w:rPr>
          <w:rFonts w:ascii="Arial" w:cs="Arial" w:eastAsia="Arial" w:hAnsi="Arial"/>
          <w:sz w:val="18"/>
          <w:szCs w:val="18"/>
          <w:color w:val="auto"/>
        </w:rPr>
        <w:t>– Title XI, Inc. (“CDI Title XI”), Helix Offshore Services Limited and certain other enumerated subsidiaries. Other subsidiaries may be added as guarantors of the facility in the future. The ABL Facility is secured by all accounts receivable and designated deposit accounts of the U.S. borrowers and guarantors, and by substantially all of the assets of the U.K. borrowers and guarantors.</w:t>
      </w:r>
    </w:p>
    <w:p>
      <w:pPr>
        <w:spacing w:after="0" w:line="18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U.S. borrowings under the ABL Facility initially bear interest at the LIBOR rate plus a margin of 1.50% to 2.00% or at a base rate plus a margin of 0.50% to 1.00%. U.K. borrowings under the ABL Facility denominated in U.S. dollars initially bear interest at the LIBOR rate and U.K. borrowings denominated in the British pound initially bear interest at the SONIA daily rate, each plus a margin of 1.50% to 2.00%. We also pay a commitment fee of 0.375% to 0.50% per annum on the unused portion of the facility. Beginning on the earlier of June 30, 2023, cessation of LIBOR or an earlier opt-in election, LIBOR will be replaced by either SOFR or term SOFR plus a margin of 0.114% to 0.428% or an alternate benchmark rate.</w:t>
      </w:r>
    </w:p>
    <w:p>
      <w:pPr>
        <w:spacing w:after="0" w:line="17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ABL Facility contains customary default provisions which, if triggered, could result in acceleration of all amounts then outstanding. The ABL Facility requires us to satisfy and maintain a fixed charge coverage ratio of not less than 1.0 to 1.0 if availability is less than the greater of 10% of the borrowing base or $ 8 million. The ABL Facility also requires us to maintain a pro forma minimum excess availability of $16 million for the 91 days prior to the maturity of each of our outstanding convertible senior notes.</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On July 1, 2022, we entered into a first amendment to the ABL Facility to (i) increase the asset-based revolving credit facility from $80 million to $100 million, (ii) replace LIBOR with Term SOFR (also known as CME Term SOFR), as administered by CME Group Inc., and make certain conforming changes therewith, (iii) increase the amount of permitted debt for the deferred purchase price of property from $25 million to $50 million, (iv) increase the fixed coverage charge ratio trigger from $8 million to $10 million, (v) increase the excess availability requirements prior to the maturity of our outstanding convertible senior notes from $16 million to $20 million, (vi) establish an excess availability requirement for the portion of any post-closing earn-out consideration related to our acquisition of all of the equity interests of Alliance that will be paid in cash (Note 16), and (vii) provide for potential pricing adjustments based on specific metrics and performance targets determined by us and Bank of America, as agent with respect to the ABL Facility, related to environmental, social and governance (“ESG”) changes implemented by us in our business.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2022 (“2022 Notes”)</w:t>
      </w:r>
    </w:p>
    <w:p>
      <w:pPr>
        <w:spacing w:after="0" w:line="21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We fully redeemed the $35 million remaining principal amount of the 2022 Notes plus accrued interest by delivering cash upon maturity on May 1, 2022. The effective interest rate for the 2022 Notes was 4.8%. For the three- and six month periods ended June 30, 2022, total interest expense related to the 2022 Notes was $0.1 million and $0.6 million, respectively, primarily from coupon interest expense. For the three- and six-month periods ended June 30, 2021, total interest expense related to the 2022 Notes was $0.4 million and $ 0.8 million, respectively, with coupon interest expense of $0.4 million and $0.7 million, respectively, and the amortization of issuance costs of $0.1 million for the six-month period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2023 (“2023 Notes”)</w:t>
      </w:r>
    </w:p>
    <w:p>
      <w:pPr>
        <w:spacing w:after="0" w:line="21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2023 Notes bear interest at a coupon interest rate of 4.125% per annum payable semi-annually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w:t>
      </w:r>
    </w:p>
    <w:p>
      <w:pPr>
        <w:spacing w:after="0" w:line="18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Prior to March 15, 2023, holders of the 2023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2023 Notes is equal to or less than 97% of the conversion value of the notes during the five consecutive business days immediately after any ten consecutive trading day period (trading price condition). Holders of the 2023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18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Prior to March 15, 2021, the 2023 Notes were not redeemable. On or after March 15, 2021, we may redeem all or any portion of the 2023 Notes if the price of our common stock has been at least 130% of the conversion price for at least 20 trading days during any 30 consecutive trading day period preceding our redemption notice. Any redemption would be payable in cash equal to 100% of the principal amount to be redeemed plus accrued and unpaid interest and a “make-whole premium” calculated as the present value of all remaining scheduled interest payments. Holders of the 2023 Notes may convert any of their notes if we call the notes for redemption. Holders of the 2023 Notes may also require us to repurchase the notes following a “fundamental change,” which includes a change of control or a termination of trading of our common stock (as defined in the indenture governing the 2023 Notes).</w:t>
      </w:r>
    </w:p>
    <w:p>
      <w:pPr>
        <w:spacing w:after="0" w:line="180"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174"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The effective interest rate for the 2023 Notes is 4.8%. For the three- and six-month periods ended June 30, 2022, total interest expense related to the 2023 Notes was $0.3 million and $0.7 million, respectively, with coupon interest expense of $0.3 million and $0.6 million, respectively, and the amortization of debt issuance costs of $0.1 million for the six-month period ended June 30, 2022. For the three- and six-month periods ended June 30, 2021, total interest expense related to the 2023 Notes was $0.3 million and $0.7 million, respectively, with coupon interest expense of $0.3 million and $0.6 million, respectively, and the amortization of issuance costs of $0.1 million for the six-month period ended June 30,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2026 (“2026 Notes”)</w:t>
      </w:r>
    </w:p>
    <w:p>
      <w:pPr>
        <w:spacing w:after="0" w:line="21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w:t>
      </w:r>
    </w:p>
    <w:p>
      <w:pPr>
        <w:spacing w:after="0" w:line="242" w:lineRule="auto"/>
        <w:rPr>
          <w:sz w:val="20"/>
          <w:szCs w:val="20"/>
          <w:color w:val="auto"/>
        </w:rPr>
      </w:pPr>
      <w:r>
        <w:rPr>
          <w:rFonts w:ascii="Arial" w:cs="Arial" w:eastAsia="Arial" w:hAnsi="Arial"/>
          <w:sz w:val="18"/>
          <w:szCs w:val="18"/>
          <w:color w:val="auto"/>
        </w:rPr>
        <w:t>$1,000 principal amount, which currently represents 28,675,900 potentially convertible shares at an initial conversion price of approximately $ 6.97 per share of common stock. Upon conversion, we have the right to satisfy our conversion obligation by delivering cash, shares of our common stock or any combination thereof.</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Prior to August 15, 2023, the 2026 Notes are not redeemable. On or after August 15, 2023, we may redeem all or any portion of the 2026 Notes if the price of our common stock has been at least 130% of the conversion price for at least 20 trading days during any 30 consecutive trading day period preceding our redemption notice. Any redemption would be payable in cash equal to 100% of the principal amount plus accrued and unpaid interest and a “make-whole premium” calculated as the present value of all remaining scheduled interest payments.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spacing w:after="0" w:line="180"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17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effective interest rate for the 2026 Notes is 7.6%. For the three- and six-month periods ended June 30, 2022, total interest expense related to the 2026 Notes was $3.7 million and $7.4 million, respectively, with coupon interest expense of $3.4 million and $ 6.8 million, respectively, and the amortization of debt issuance costs of $0.3 million and $0.6 million, respectively. For the three- and six-month periods ended June 30, 2021, total interest expense related to the 2026 Notes was $3.7 million and $7.3 million, respectively, with coupon interest expense of $3.4 million and $6.7 million, respectively, and the amortization of debt issuance costs of $0.3 million and $0.6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We previously had a credit agreement (and the amendments made thereafter, collectively the “Credit Agreement”) with a group of lenders led by Bank of America. The Credit Agreement was comprised of a term loan (the “Term Loan”) and a revolving credit facility (the “Revolving Credit Facility”) with a maximum availability of $175 million and had a maturity date of December 31, 2021. Concurrent with our entering into the ABL Facility on September 30, 2021, the Credit Agreement was terminated, the $ 28 million remaining balance of the Term Loan was repaid in full and the letters of credit issued under the Revolving Credit Facility were transferred to the ABL Facility. We had no borrowings under the Revolving Credit Facility.</w:t>
      </w:r>
    </w:p>
    <w:p>
      <w:pPr>
        <w:spacing w:after="0" w:line="179"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 xml:space="preserve">We previously had a credit agreement with a syndicated bank lending group for a term loan (the “Nordea Q5000 Loan”) to finance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loan was secured by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its charter earnings. In January 2021, we repaid the remaining principal amount of $53.6 million.</w:t>
      </w:r>
    </w:p>
    <w:p>
      <w:pPr>
        <w:spacing w:after="0" w:line="169" w:lineRule="exact"/>
        <w:rPr>
          <w:sz w:val="20"/>
          <w:szCs w:val="20"/>
          <w:color w:val="auto"/>
        </w:rPr>
      </w:pPr>
    </w:p>
    <w:p>
      <w:pPr>
        <w:ind w:right="340" w:firstLine="648"/>
        <w:spacing w:after="0" w:line="244" w:lineRule="auto"/>
        <w:rPr>
          <w:sz w:val="20"/>
          <w:szCs w:val="20"/>
          <w:color w:val="auto"/>
        </w:rPr>
      </w:pPr>
      <w:r>
        <w:rPr>
          <w:rFonts w:ascii="Arial" w:cs="Arial" w:eastAsia="Arial" w:hAnsi="Arial"/>
          <w:sz w:val="18"/>
          <w:szCs w:val="18"/>
          <w:color w:val="auto"/>
        </w:rPr>
        <w:t>In accordance with the ABL Facility, the 2023 Notes, the 2026 Notes and the MARAD Debt, we are required to comply with certain covenants, including minimum liquidity and a springing fixed charge coverage ratio (applicable under certain conditions that are currently not applicable) with respect to the ABL Facility and the maintenance of net worth, working capital and debt-to-equity requirements with respect to the MARAD Debt. As of June 30, 2022, we were in compliance with these covenants.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1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3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For the three- and six-month periods ended June 30, 2022, we recognized income tax expense of $1.4 million and $3.6 million, respectively, resulting in effective tax rates of (5.1)% and (5.2)%, respectively. For the three- and six-month periods ended June 30, 2021, we recognized income tax benefit of $2.0 million and $1.9 million, respectively, resulting in effective tax rates of 12.6% and 10.0%, respectively. These variances were primarily attributable to the earnings mix between our higher and lower tax rate jurisdictions as well as losses for which no financial statement benefits have been recognized. For the three- and six-month periods ended June 30, 2022, our aggregate tax expense was greater than the aggregate tax benefit of our losses, resulting in negative effective tax rates. The effective tax rates in those periods were significantly lower than the U.S. statutory rate primarily due to non-creditable foreign income and deemed profit taxes, as well as unbenefited tax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b w:val="1"/>
                <w:bCs w:val="1"/>
                <w:color w:val="auto"/>
              </w:rPr>
              <w:t>Robotics</w:t>
            </w: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Facilities</w:t>
            </w:r>
          </w:p>
        </w:tc>
        <w:tc>
          <w:tcPr>
            <w:tcW w:w="20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2022</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86,048</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25,852</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20,243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50,712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106,291</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49,850</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17,678</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(11,207)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162,612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June 30, 2021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76,669</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55,636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14,218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132,305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31,651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Six months ended June 30, 2022</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177,394</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46,989</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223,748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35,264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35,972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212,658</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87,201</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35,972</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(23,094)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312,737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Six months ended June 30, 2021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125,886</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140,187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23,388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30,665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169,051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266,073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53,807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are recognized when our right to consideration becomes unconditional.</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3). Contract assets were $9.1 million at June 30, 2022 and $ 0.6 million at December 31, 2021. We had no credit losses on our contract assets for the three- and six-month periods ended June 30, 2022 and 2021.</w:t>
      </w:r>
    </w:p>
    <w:p>
      <w:pPr>
        <w:spacing w:after="0" w:line="185"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and “Other non-current liabilities” in the accompanying condensed consolidated balance sheets (Note 3). Contract liabilities totaled $6.4 million at June 30, 2022 and $8.7 million at December 31, 2021. Revenue recognized for the three- and six-month periods ended June 30, 2022 included $3.5 million and $5.8 million, respectively, that were included in the contract liability balance at the beginning of each period. Revenue recognized for the three- and six-month periods ended June 30, 2021 included $4.2 million and $5.4 million, respectively, that were included in the contract liability balance at the beginning of each period.</w:t>
      </w:r>
    </w:p>
    <w:p>
      <w:pPr>
        <w:spacing w:after="0" w:line="186"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As of June 30, 2022, $551.5 million related to unsatisfied performance obligations was expected to be recognized as revenue in the future, with $232.4 million, $233.5 million and $85.6 million in 2022, 2023 and 2024,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June 30, 2022.</w:t>
      </w:r>
    </w:p>
    <w:p>
      <w:pPr>
        <w:spacing w:after="0" w:line="179" w:lineRule="exact"/>
        <w:rPr>
          <w:sz w:val="20"/>
          <w:szCs w:val="20"/>
          <w:color w:val="auto"/>
        </w:rPr>
      </w:pPr>
    </w:p>
    <w:p>
      <w:pPr>
        <w:ind w:right="580" w:firstLine="648"/>
        <w:spacing w:after="0" w:line="271" w:lineRule="auto"/>
        <w:rPr>
          <w:sz w:val="20"/>
          <w:szCs w:val="20"/>
          <w:color w:val="auto"/>
        </w:rPr>
      </w:pPr>
      <w:r>
        <w:rPr>
          <w:rFonts w:ascii="Arial" w:cs="Arial" w:eastAsia="Arial" w:hAnsi="Arial"/>
          <w:sz w:val="18"/>
          <w:szCs w:val="18"/>
          <w:color w:val="auto"/>
        </w:rPr>
        <w:t>For the three- and six-month periods ended June 30, 2022 and 2021,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3). Our deferred contract costs totaled $8.7 million at June 30, 2022 and $3.3 million at December 31, 2021. For the three- and six-month periods ended June 30, 2022, we recorded $6.6 million and $11.2 million, respectively, related to amortization of these deferred contract costs. For the three- and six-month periods ended June 30, 2021, we recorded $9.5 million and $ 19.9 million, respectively, related to amortization of these deferred contract costs. There were no associated impairment losses for any period presented.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revenue recognition, see Notes 2 and 12 to our 2021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earnings per share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85"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Basic EPS is computed by dividing net income or loss available to common shareholders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The computations of the numerator (earnings or loss) and denominator (shares) to derive the basic and diluted EPS amounts presented on the face of the accompanying condensed consolidated statements of operations are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4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rPr>
              <w:t>June 30, 2021</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(29,699)</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(13,709)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4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151,205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150,028</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9"/>
              </w:rPr>
              <w:t>Six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5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9"/>
              </w:rPr>
              <w:t>June 30,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rPr>
              <w:t>June 30, 2021</w:t>
            </w:r>
          </w:p>
        </w:tc>
      </w:tr>
      <w:tr>
        <w:trPr>
          <w:trHeight w:val="196"/>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(71,730)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(16,587)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Accretion of redeemable noncontrolling interests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5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(71,730)</w:t>
            </w:r>
          </w:p>
        </w:tc>
        <w:tc>
          <w:tcPr>
            <w:tcW w:w="200" w:type="dxa"/>
            <w:vAlign w:val="bottom"/>
          </w:tcPr>
          <w:p>
            <w:pPr>
              <w:spacing w:after="0"/>
              <w:rPr>
                <w:sz w:val="17"/>
                <w:szCs w:val="17"/>
                <w:color w:val="auto"/>
              </w:rPr>
            </w:pPr>
          </w:p>
        </w:tc>
        <w:tc>
          <w:tcPr>
            <w:tcW w:w="8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151,174</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(16,828)</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149,982</w:t>
            </w:r>
          </w:p>
        </w:tc>
      </w:tr>
      <w:tr>
        <w:trPr>
          <w:trHeight w:val="20"/>
        </w:trPr>
        <w:tc>
          <w:tcPr>
            <w:tcW w:w="5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had net losses for the three- and six-month periods ended June 30, 2022 and 2021.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5340" w:type="dxa"/>
            <w:vAlign w:val="bottom"/>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740" w:type="dxa"/>
            <w:vAlign w:val="bottom"/>
            <w:tcBorders>
              <w:bottom w:val="single" w:sz="8" w:color="auto"/>
            </w:tcBorders>
          </w:tcPr>
          <w:p>
            <w:pPr>
              <w:spacing w:after="0"/>
              <w:rPr>
                <w:sz w:val="19"/>
                <w:szCs w:val="19"/>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151,205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150,028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151,174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149,982</w:t>
            </w:r>
          </w:p>
        </w:tc>
      </w:tr>
      <w:tr>
        <w:trPr>
          <w:trHeight w:val="203"/>
        </w:trPr>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1,325</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1,282</w:t>
            </w:r>
          </w:p>
        </w:tc>
      </w:tr>
      <w:tr>
        <w:trPr>
          <w:trHeight w:val="196"/>
        </w:trPr>
        <w:tc>
          <w:tcPr>
            <w:tcW w:w="53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152,455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151,353</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152,293</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151,264</w:t>
            </w:r>
          </w:p>
        </w:tc>
      </w:tr>
      <w:tr>
        <w:trPr>
          <w:trHeight w:val="20"/>
        </w:trPr>
        <w:tc>
          <w:tcPr>
            <w:tcW w:w="5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740" w:type="dxa"/>
            <w:vAlign w:val="bottom"/>
            <w:tcBorders>
              <w:bottom w:val="single" w:sz="8" w:color="auto"/>
            </w:tcBorders>
          </w:tcPr>
          <w:p>
            <w:pPr>
              <w:spacing w:after="0"/>
              <w:rPr>
                <w:sz w:val="19"/>
                <w:szCs w:val="19"/>
                <w:color w:val="auto"/>
              </w:rPr>
            </w:pPr>
          </w:p>
        </w:tc>
      </w:tr>
      <w:tr>
        <w:trPr>
          <w:trHeight w:val="196"/>
        </w:trPr>
        <w:tc>
          <w:tcPr>
            <w:tcW w:w="29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2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r>
        <w:trPr>
          <w:trHeight w:val="868"/>
        </w:trPr>
        <w:tc>
          <w:tcPr>
            <w:tcW w:w="2900" w:type="dxa"/>
            <w:vAlign w:val="bottom"/>
          </w:tcPr>
          <w:p>
            <w:pPr>
              <w:spacing w:after="0"/>
              <w:rPr>
                <w:sz w:val="24"/>
                <w:szCs w:val="24"/>
                <w:color w:val="auto"/>
              </w:rPr>
            </w:pP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0"/>
        </w:trPr>
        <w:tc>
          <w:tcPr>
            <w:tcW w:w="2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As of June 30, 2022, there were 4.2 million shares of our common stock available for issuance under our 2005 Long-Term Incentive Plan, as amended and restated (the “2005 Incentive Plan”). During the six-month period ended June 30, 2022, the following grants of share-based awards were made under the 2005 Incentive Plan: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70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2022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1,065,705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(1)</w:t>
            </w:r>
          </w:p>
        </w:tc>
        <w:tc>
          <w:tcPr>
            <w:tcW w:w="19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4,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(2)</w:t>
            </w:r>
          </w:p>
        </w:tc>
        <w:tc>
          <w:tcPr>
            <w:tcW w:w="19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2024</w:t>
            </w:r>
          </w:p>
        </w:tc>
      </w:tr>
      <w:tr>
        <w:trPr>
          <w:trHeight w:val="359"/>
        </w:trPr>
        <w:tc>
          <w:tcPr>
            <w:tcW w:w="1940" w:type="dxa"/>
            <w:vAlign w:val="bottom"/>
          </w:tcPr>
          <w:p>
            <w:pPr>
              <w:spacing w:after="0"/>
              <w:rPr>
                <w:sz w:val="20"/>
                <w:szCs w:val="20"/>
                <w:color w:val="auto"/>
              </w:rPr>
            </w:pPr>
            <w:r>
              <w:rPr>
                <w:rFonts w:ascii="Arial" w:cs="Arial" w:eastAsia="Arial" w:hAnsi="Arial"/>
                <w:sz w:val="18"/>
                <w:szCs w:val="18"/>
                <w:color w:val="auto"/>
              </w:rPr>
              <w:t xml:space="preserve">April 1, 2022 </w:t>
            </w:r>
            <w:r>
              <w:rPr>
                <w:rFonts w:ascii="Arial" w:cs="Arial" w:eastAsia="Arial" w:hAnsi="Arial"/>
                <w:sz w:val="26"/>
                <w:szCs w:val="26"/>
                <w:color w:val="auto"/>
                <w:vertAlign w:val="superscript"/>
              </w:rPr>
              <w:t>(2)</w:t>
            </w:r>
          </w:p>
        </w:tc>
        <w:tc>
          <w:tcPr>
            <w:tcW w:w="1940" w:type="dxa"/>
            <w:vAlign w:val="bottom"/>
            <w:gridSpan w:val="3"/>
          </w:tcPr>
          <w:p>
            <w:pPr>
              <w:ind w:left="220"/>
              <w:spacing w:after="0"/>
              <w:rPr>
                <w:sz w:val="20"/>
                <w:szCs w:val="20"/>
                <w:color w:val="auto"/>
              </w:rPr>
            </w:pPr>
            <w:r>
              <w:rPr>
                <w:rFonts w:ascii="Arial" w:cs="Arial" w:eastAsia="Arial" w:hAnsi="Arial"/>
                <w:sz w:val="18"/>
                <w:szCs w:val="18"/>
                <w:color w:val="auto"/>
              </w:rPr>
              <w:t>Restricted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14,710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4.78</w:t>
            </w:r>
          </w:p>
        </w:tc>
        <w:tc>
          <w:tcPr>
            <w:tcW w:w="2900" w:type="dxa"/>
            <w:vAlign w:val="bottom"/>
            <w:gridSpan w:val="2"/>
          </w:tcPr>
          <w:p>
            <w:pPr>
              <w:ind w:left="240"/>
              <w:spacing w:after="0"/>
              <w:rPr>
                <w:sz w:val="20"/>
                <w:szCs w:val="20"/>
                <w:color w:val="auto"/>
              </w:rPr>
            </w:pPr>
            <w:r>
              <w:rPr>
                <w:rFonts w:ascii="Arial" w:cs="Arial" w:eastAsia="Arial" w:hAnsi="Arial"/>
                <w:sz w:val="18"/>
                <w:szCs w:val="18"/>
                <w:color w:val="auto"/>
              </w:rPr>
              <w:t>100% on January 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200" w:hanging="652"/>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of Directors (our “Board”) who have elected to take their quarterly fees in stock in lieu of cash, of which 8,013 shares granted on January 4, 2022 and 5,230 shares granted on April 1, 2022 vested upon the approval of our Board’s Compensation Committee in connection with the departure of an independent director during the second quarter 2022.</w:t>
      </w:r>
    </w:p>
    <w:p>
      <w:pPr>
        <w:spacing w:after="0" w:line="66"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in 2022. For the three- and six-month periods ended June 30, 2022, $0.8 million and $1.4 million, respectively, were recognized as share-based compensation related to restricted stock. For the three- and six-month periods ended June 30, 2021, $0.9 million and $1.7 million, respectively, were recognized as share-based compensation related to restricted stock.</w:t>
      </w:r>
    </w:p>
    <w:p>
      <w:pPr>
        <w:spacing w:after="0" w:line="17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Our performance share units (“PSUs”) that were granted prior to 2021 are to be settled solely in shares of our common stock and are accounted for as equity awards. Those PSUs, which contain a service and a market condition, are based on the performance of our common stock against peer group companies. Our PSUs granted beginning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18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For PSUs that have a service and a market condition and are accounted for as equity awards, compensation cost is measured based on the grant date estimated fair value determined using a Monte Carlo simulation model and subsequently recognized over the vesting period on a straight-line basis. For PSUs that have a service and a performance condition and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six-month periods ended June 30, 2022, $ 1.1 million and $2.1 million, respectively, were recognized as share-based compensation related to equity PSUs. For the three - and six-month periods ended June 30, 2021, $1.0 million and $2.1 million, respectively, were recognized as share-based compensation related to equity PSUs. In January 2022, based on the performance of our common stock price as compared to our performance peer group over a three-year period, 559,150 equity PSUs granted in 2019 vested at 157%, representing 876,469 shares of our common stock with a total market value of $3.2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restricted stock units (“RSUs”) may be settled in either cash or shares of our common stock upon vesting at the discretion of the Compensation Committee and have been accounted for as liability awards. Liability RSUs are measured at their estimated fair value at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six-month periods ended June 30, 2022, $0.2 million and $0.8 million, respectively, were recognized as compensation cost. For the three- and six-month periods ended June 30, 2021, $0.2 million and $0.4 million, respectively, were recognized as compensation cost.</w:t>
      </w:r>
    </w:p>
    <w:p>
      <w:pPr>
        <w:spacing w:after="0" w:line="18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2022 and 2021, we granted fixed-value cash awards of $5.1 million and $3.5 million, respectively, to select management employees under the 2005 Incentive Plan. The value of these cash awards is recognized on a straight-line basis over a vesting period of three years. For the three- and six-month periods ended June 30, 2022, $1.1 million and $2.1 million, respectively, were recognized as compensation cost. For the three- and six-month periods ended June 30, 2021, $1.0 million and $2.0 million, respectively, were recognized as compensation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10"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We sponsor a defined contribution 401(k) retirement plan. Our discretionary contributions are in the form of cash and consist of a 50% match of each participant’s contribution up to 5% of the participant’s salary. Our discretionary contributions were suspended for 2021 and re-activated beginning January 2022. For the three- and six-month periods ended June 30, 2022, we made $0.4 million and $0.8 million, respectively, in contributions to the 401(k)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0"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We have an employee stock purchase plan (the “ESPP”). As of June 30, 2022, 1.4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and the ESPP, see Note 14 to our 2021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 Information</w:t>
      </w:r>
    </w:p>
    <w:p>
      <w:pPr>
        <w:spacing w:after="0" w:line="21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We have three reportable business segments: Well Intervention, Robotics and Production Facilities. Our U.S., U.K. and Brazil well intervention operating segments are aggregated into the Well Intervention segment for financial reporting purposes. Our Well Intervention segment provides services enabling our customers to safely access offshore wells for the purpose of performing production enhancement or decommissioning operations primarily in the Gulf of Mexico, Brazil, the North Sea and West Africa.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w:t>
      </w:r>
      <w:r>
        <w:rPr>
          <w:rFonts w:ascii="Arial" w:cs="Arial" w:eastAsia="Arial" w:hAnsi="Arial"/>
          <w:sz w:val="18"/>
          <w:szCs w:val="18"/>
          <w:color w:val="auto"/>
        </w:rPr>
        <w:t xml:space="preserve"> </w:t>
      </w:r>
      <w:r>
        <w:rPr>
          <w:rFonts w:ascii="Arial" w:cs="Arial" w:eastAsia="Arial" w:hAnsi="Arial"/>
          <w:sz w:val="18"/>
          <w:szCs w:val="18"/>
          <w:i w:val="1"/>
          <w:iCs w:val="1"/>
          <w:color w:val="auto"/>
        </w:rPr>
        <w:t>Enhancer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Siem Helix 1 </w:t>
      </w:r>
      <w:r>
        <w:rPr>
          <w:rFonts w:ascii="Arial" w:cs="Arial" w:eastAsia="Arial" w:hAnsi="Arial"/>
          <w:sz w:val="18"/>
          <w:szCs w:val="18"/>
          <w:color w:val="auto"/>
        </w:rPr>
        <w:t>and</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chartered vessels. Our well intervention equipment includes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systems, some of which we provide on a stand -alone basis. Our Robotics segment provides offshore construction, trenching, seabed clearance and IRM services to both the oil and gas and the renewable energy markets globally. Additionally, our Robotics services are used in and complement our well intervention services. Our Robotics segment includes ROVs, trenchers and robotics support vessels under term charters as well as spot vessels as needed.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(Note 11). All material intercompany transactions between the segments have been eliminated.</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106,291</w:t>
            </w:r>
          </w:p>
        </w:tc>
        <w:tc>
          <w:tcPr>
            <w:tcW w:w="100" w:type="dxa"/>
            <w:vAlign w:val="bottom"/>
          </w:tcPr>
          <w:p>
            <w:pPr>
              <w:spacing w:after="0"/>
              <w:rPr>
                <w:sz w:val="17"/>
                <w:szCs w:val="17"/>
                <w:color w:val="auto"/>
              </w:rPr>
            </w:pP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132,305</w:t>
            </w:r>
          </w:p>
        </w:tc>
        <w:tc>
          <w:tcPr>
            <w:tcW w:w="8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212,658</w:t>
            </w:r>
          </w:p>
        </w:tc>
        <w:tc>
          <w:tcPr>
            <w:tcW w:w="200" w:type="dxa"/>
            <w:vAlign w:val="bottom"/>
          </w:tcPr>
          <w:p>
            <w:pPr>
              <w:spacing w:after="0"/>
              <w:rPr>
                <w:sz w:val="17"/>
                <w:szCs w:val="17"/>
                <w:color w:val="auto"/>
              </w:rPr>
            </w:pPr>
          </w:p>
        </w:tc>
        <w:tc>
          <w:tcPr>
            <w:tcW w:w="2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266,073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87,201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14,218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35,972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(16,233)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(23,094)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162,612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161,941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312,737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325,356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(22,548)</w:t>
            </w:r>
          </w:p>
        </w:tc>
        <w:tc>
          <w:tcPr>
            <w:tcW w:w="3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(6,719)</w:t>
            </w:r>
          </w:p>
        </w:tc>
        <w:tc>
          <w:tcPr>
            <w:tcW w:w="3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(54,306)</w:t>
            </w:r>
          </w:p>
        </w:tc>
        <w:tc>
          <w:tcPr>
            <w:tcW w:w="28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11,146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11,896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(6,837)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(31,264)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(9,159)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(20,689)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(10,941)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(51,953)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12,793</w:t>
            </w:r>
          </w:p>
        </w:tc>
      </w:tr>
      <w:tr>
        <w:trPr>
          <w:trHeight w:val="203"/>
        </w:trPr>
        <w:tc>
          <w:tcPr>
            <w:tcW w:w="5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12,396</w:t>
            </w:r>
          </w:p>
        </w:tc>
      </w:tr>
      <w:tr>
        <w:trPr>
          <w:trHeight w:val="196"/>
        </w:trPr>
        <w:tc>
          <w:tcPr>
            <w:tcW w:w="51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11,207</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16,233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23,094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25,189</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The following table reflects total assets by reportable segment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r>
      <w:tr>
        <w:trPr>
          <w:trHeight w:val="196"/>
        </w:trPr>
        <w:tc>
          <w:tcPr>
            <w:tcW w:w="6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1,830,655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2,012,214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88,781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96,249</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113,984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119,004</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180,233</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98,561</w:t>
            </w:r>
          </w:p>
        </w:tc>
      </w:tr>
      <w:tr>
        <w:trPr>
          <w:trHeight w:val="196"/>
        </w:trPr>
        <w:tc>
          <w:tcPr>
            <w:tcW w:w="68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2,213,653</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Asset Retirement Obligations</w:t>
      </w:r>
    </w:p>
    <w:p>
      <w:pPr>
        <w:spacing w:after="0" w:line="212" w:lineRule="exact"/>
        <w:rPr>
          <w:sz w:val="20"/>
          <w:szCs w:val="20"/>
          <w:color w:val="auto"/>
        </w:rPr>
      </w:pPr>
    </w:p>
    <w:p>
      <w:pPr>
        <w:ind w:right="400" w:firstLine="648"/>
        <w:spacing w:after="0" w:line="244" w:lineRule="auto"/>
        <w:rPr>
          <w:sz w:val="20"/>
          <w:szCs w:val="20"/>
          <w:color w:val="auto"/>
        </w:rPr>
      </w:pPr>
      <w:r>
        <w:rPr>
          <w:rFonts w:ascii="Arial" w:cs="Arial" w:eastAsia="Arial" w:hAnsi="Arial"/>
          <w:sz w:val="18"/>
          <w:szCs w:val="18"/>
          <w:color w:val="auto"/>
        </w:rPr>
        <w:t>Asset retirement obligations (“AROs”) are recorded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Our AROs relate to our Droshky oil and gas properties that we acquired from Marathon Oil Corporation (“Marathon Oil”) in January 2019. In connection with assuming the P&amp;A obligations related to those assets, we are entitled to receive agreed-upon amounts from Marathon Oil as the P&amp;A work is completed. The following table describes the changes in our AROs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Revisions in estimates</w:t>
            </w: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r>
      <w:tr>
        <w:trPr>
          <w:trHeight w:val="203"/>
        </w:trPr>
        <w:tc>
          <w:tcPr>
            <w:tcW w:w="6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AROs at June 30,</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30,961</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28,330</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have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the first quarter 2022, the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were extended to February</w:t>
      </w:r>
    </w:p>
    <w:p>
      <w:pPr>
        <w:spacing w:after="0" w:line="234" w:lineRule="auto"/>
        <w:rPr>
          <w:sz w:val="20"/>
          <w:szCs w:val="20"/>
          <w:color w:val="auto"/>
        </w:rPr>
      </w:pPr>
      <w:r>
        <w:rPr>
          <w:rFonts w:ascii="Arial" w:cs="Arial" w:eastAsia="Arial" w:hAnsi="Arial"/>
          <w:sz w:val="18"/>
          <w:szCs w:val="18"/>
          <w:color w:val="auto"/>
        </w:rPr>
        <w:t xml:space="preserve">2025 and February 2027, respectively, with further options to extend. We have time charter agreements for the </w:t>
      </w:r>
      <w:r>
        <w:rPr>
          <w:rFonts w:ascii="Arial" w:cs="Arial" w:eastAsia="Arial" w:hAnsi="Arial"/>
          <w:sz w:val="18"/>
          <w:szCs w:val="18"/>
          <w:i w:val="1"/>
          <w:iCs w:val="1"/>
          <w:color w:val="auto"/>
        </w:rPr>
        <w:t>Grand</w:t>
      </w:r>
    </w:p>
    <w:p>
      <w:pPr>
        <w:spacing w:after="0" w:line="235" w:lineRule="auto"/>
        <w:rPr>
          <w:sz w:val="20"/>
          <w:szCs w:val="20"/>
          <w:color w:val="auto"/>
        </w:rPr>
      </w:pPr>
      <w:r>
        <w:rPr>
          <w:rFonts w:ascii="Arial" w:cs="Arial" w:eastAsia="Arial" w:hAnsi="Arial"/>
          <w:sz w:val="18"/>
          <w:szCs w:val="18"/>
          <w:i w:val="1"/>
          <w:iCs w:val="1"/>
          <w:color w:val="auto"/>
        </w:rPr>
        <w:t xml:space="preserve">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The expiration date of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charter was extended to</w:t>
      </w:r>
    </w:p>
    <w:p>
      <w:pPr>
        <w:spacing w:after="0" w:line="235" w:lineRule="auto"/>
        <w:rPr>
          <w:sz w:val="20"/>
          <w:szCs w:val="20"/>
          <w:color w:val="auto"/>
        </w:rPr>
      </w:pPr>
      <w:r>
        <w:rPr>
          <w:rFonts w:ascii="Arial" w:cs="Arial" w:eastAsia="Arial" w:hAnsi="Arial"/>
          <w:sz w:val="18"/>
          <w:szCs w:val="18"/>
          <w:color w:val="auto"/>
        </w:rPr>
        <w:t xml:space="preserve">December 2022, with an option to renew.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 expires May 2023. During the first quarter 2022, we</w:t>
      </w:r>
    </w:p>
    <w:p>
      <w:pPr>
        <w:spacing w:after="0" w:line="235" w:lineRule="auto"/>
        <w:rPr>
          <w:sz w:val="20"/>
          <w:szCs w:val="20"/>
          <w:color w:val="auto"/>
        </w:rPr>
      </w:pPr>
      <w:r>
        <w:rPr>
          <w:rFonts w:ascii="Arial" w:cs="Arial" w:eastAsia="Arial" w:hAnsi="Arial"/>
          <w:sz w:val="18"/>
          <w:szCs w:val="18"/>
          <w:color w:val="auto"/>
        </w:rPr>
        <w:t xml:space="preserve">executed short-term time charter agreements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 and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w:t>
      </w:r>
    </w:p>
    <w:p>
      <w:pPr>
        <w:spacing w:after="0"/>
        <w:rPr>
          <w:sz w:val="20"/>
          <w:szCs w:val="20"/>
          <w:color w:val="auto"/>
        </w:rPr>
      </w:pPr>
      <w:r>
        <w:rPr>
          <w:rFonts w:ascii="Arial" w:cs="Arial" w:eastAsia="Arial" w:hAnsi="Arial"/>
          <w:sz w:val="18"/>
          <w:szCs w:val="18"/>
          <w:color w:val="auto"/>
        </w:rPr>
        <w:t>Mexico.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520" w:firstLine="648"/>
        <w:spacing w:after="0" w:line="271" w:lineRule="auto"/>
        <w:rPr>
          <w:sz w:val="20"/>
          <w:szCs w:val="20"/>
          <w:color w:val="auto"/>
        </w:rPr>
      </w:pPr>
      <w:r>
        <w:rPr>
          <w:rFonts w:ascii="Arial" w:cs="Arial" w:eastAsia="Arial" w:hAnsi="Arial"/>
          <w:sz w:val="18"/>
          <w:szCs w:val="18"/>
          <w:color w:val="auto"/>
        </w:rPr>
        <w:t>We believe that there are currently no contingencies that would have a material adverse effect on our financial position, results of operations or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169"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one such lawsuit, during the third quarter 2021 the United States Court of Appeals for the Fifth Circuit issued a ruling adverse to us that may also have implications for some of the other cases in which we are involved, as well as the way offshore personnel are compensated throughout our industry. We further appealed that matter and in May 2022, the United States Supreme Court granted our petition for a writ of certiorari. We continue to vigorously defend these lawsuits. Notwithstanding that we believe we retain valid defenses, we have established a liability in certain of these matters. The final outcome of these matters remains uncertain, and the ultimate liability to us could be more or less than the liability established.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Statement of Cash Flow Information</w:t>
      </w:r>
    </w:p>
    <w:p>
      <w:pPr>
        <w:spacing w:after="0" w:line="212"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9"/>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9,550</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10,601</w:t>
            </w:r>
          </w:p>
        </w:tc>
      </w:tr>
      <w:tr>
        <w:trPr>
          <w:trHeight w:val="239"/>
        </w:trPr>
        <w:tc>
          <w:tcPr>
            <w:tcW w:w="6800" w:type="dxa"/>
            <w:vAlign w:val="bottom"/>
          </w:tcPr>
          <w:p>
            <w:pPr>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4,588</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totaled $0.3 million at June 30, 2022 and December 31, 2021.</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Allowance for Credit Losses</w:t>
      </w:r>
    </w:p>
    <w:p>
      <w:pPr>
        <w:spacing w:after="0" w:line="212"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3,469</w:t>
            </w:r>
          </w:p>
        </w:tc>
      </w:tr>
      <w:tr>
        <w:trPr>
          <w:trHeight w:val="203"/>
        </w:trPr>
        <w:tc>
          <w:tcPr>
            <w:tcW w:w="2480" w:type="dxa"/>
            <w:vAlign w:val="bottom"/>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Write-offs </w:t>
            </w:r>
            <w:r>
              <w:rPr>
                <w:rFonts w:ascii="Arial" w:cs="Arial" w:eastAsia="Arial" w:hAnsi="Arial"/>
                <w:sz w:val="23"/>
                <w:szCs w:val="23"/>
                <w:color w:val="auto"/>
                <w:vertAlign w:val="superscript"/>
              </w:rPr>
              <w:t>(2)</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(1,845)</w:t>
            </w:r>
          </w:p>
        </w:tc>
      </w:tr>
      <w:tr>
        <w:trPr>
          <w:trHeight w:val="196"/>
        </w:trPr>
        <w:tc>
          <w:tcPr>
            <w:tcW w:w="2480" w:type="dxa"/>
            <w:vAlign w:val="bottom"/>
          </w:tcPr>
          <w:p>
            <w:pPr>
              <w:spacing w:after="0" w:line="196" w:lineRule="exact"/>
              <w:rPr>
                <w:sz w:val="20"/>
                <w:szCs w:val="20"/>
                <w:color w:val="auto"/>
              </w:rPr>
            </w:pPr>
            <w:r>
              <w:rPr>
                <w:rFonts w:ascii="Arial" w:cs="Arial" w:eastAsia="Arial" w:hAnsi="Arial"/>
                <w:sz w:val="18"/>
                <w:szCs w:val="18"/>
                <w:color w:val="auto"/>
              </w:rPr>
              <w:t>Balance at June 30,</w:t>
            </w:r>
          </w:p>
        </w:tc>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1,548</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right="46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(reductions) in allowance for credit losses reflect credit loss reserves (releases) during the respective periods.</w:t>
      </w:r>
    </w:p>
    <w:p>
      <w:pPr>
        <w:spacing w:after="0" w:line="45" w:lineRule="exact"/>
        <w:rPr>
          <w:rFonts w:ascii="Arial" w:cs="Arial" w:eastAsia="Arial" w:hAnsi="Arial"/>
          <w:sz w:val="18"/>
          <w:szCs w:val="18"/>
          <w:color w:val="auto"/>
        </w:rPr>
      </w:pPr>
    </w:p>
    <w:p>
      <w:pPr>
        <w:ind w:left="660" w:right="34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write-offs of allowance for credit losses reflect certain receivables related to our Robotics segment that were previously reserved and subsequently deemed to be uncollectible.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21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16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Level 1. Observable inputs such as quoted prices in active markets;</w:t>
      </w:r>
    </w:p>
    <w:p>
      <w:pPr>
        <w:spacing w:after="0" w:line="2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8" w:lineRule="exact"/>
        <w:rPr>
          <w:rFonts w:ascii="Times New Roman" w:cs="Times New Roman" w:eastAsia="Times New Roman" w:hAnsi="Times New Roman"/>
          <w:sz w:val="18"/>
          <w:szCs w:val="18"/>
          <w:color w:val="auto"/>
        </w:rPr>
      </w:pPr>
    </w:p>
    <w:p>
      <w:pPr>
        <w:ind w:left="680" w:right="80" w:hanging="321"/>
        <w:spacing w:after="0" w:line="249"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are based on one or more of three valuation approaches as follows:</w:t>
      </w:r>
    </w:p>
    <w:p>
      <w:pPr>
        <w:spacing w:after="0" w:line="212" w:lineRule="exact"/>
        <w:rPr>
          <w:sz w:val="20"/>
          <w:szCs w:val="20"/>
          <w:color w:val="auto"/>
        </w:rPr>
      </w:pPr>
    </w:p>
    <w:p>
      <w:pPr>
        <w:ind w:left="680" w:right="440" w:hanging="321"/>
        <w:spacing w:after="0" w:line="245"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ind w:left="68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ind w:left="680" w:right="24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60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19"/>
                <w:szCs w:val="19"/>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2021</w:t>
            </w:r>
          </w:p>
        </w:tc>
      </w:tr>
      <w:tr>
        <w:trPr>
          <w:trHeight w:val="168"/>
        </w:trPr>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44,930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45,851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48,850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52,481</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 (matured May 2022)</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34,794</w:t>
            </w:r>
          </w:p>
        </w:tc>
      </w:tr>
      <w:tr>
        <w:trPr>
          <w:trHeight w:val="203"/>
        </w:trPr>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9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Notes (mature September 2023)</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29,054</w:t>
            </w:r>
          </w:p>
        </w:tc>
      </w:tr>
      <w:tr>
        <w:trPr>
          <w:trHeight w:val="202"/>
        </w:trPr>
        <w:tc>
          <w:tcPr>
            <w:tcW w:w="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2026</w:t>
            </w:r>
          </w:p>
        </w:tc>
        <w:tc>
          <w:tcPr>
            <w:tcW w:w="39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Notes (mature February 2026)</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191,902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200,562</w:t>
            </w:r>
          </w:p>
        </w:tc>
      </w:tr>
      <w:tr>
        <w:trPr>
          <w:trHeight w:val="196"/>
        </w:trPr>
        <w:tc>
          <w:tcPr>
            <w:tcW w:w="436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274,930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267,368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313,850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316,891</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660" w:right="60" w:hanging="65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5 for additional disclosures on our long-term debt.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60" w:right="20" w:hanging="652"/>
        <w:spacing w:after="0" w:line="24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estimated fair value of the 2022 Notes, the 2023 Notes and the 2026 Notes was determined using Level 1 fair value inputs under the market approach. The fair value of the MARAD Debt was estimated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Acquisition</w:t>
      </w:r>
    </w:p>
    <w:p>
      <w:pPr>
        <w:spacing w:after="0" w:line="2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On July 1, 2022, we completed our acquisition of all of the equity interests of Alliance for approximately $120 million cash at closing plus post-closing earn-out consideration payable in 2024 in the event the Alliance business achieves certain</w:t>
      </w:r>
    </w:p>
    <w:p>
      <w:pPr>
        <w:spacing w:after="0" w:line="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financial metrics in 2022 and 2023. Alliance provides services in support of the upstream and midstream industries‎ in the Gulf of Mexico shelf, including offshore oil field decommissioning and ‎reclamation, project management, engineered solutions, intervention, maintenance, repair, heavy lift and commercial diving services. The acquisition extends our energy transition strategy by adding shallow-water capabilities into what we expect to be a growing offshore decommissioning market.</w:t>
      </w:r>
    </w:p>
    <w:p>
      <w:pPr>
        <w:spacing w:after="0" w:line="180"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color w:val="auto"/>
        </w:rPr>
        <w:t>Due to the recent timing of the acquisition, the initial accounting for the Alliance acquisition is incomplete, and we are not able to disclose certain information relating to the acquisition, including the preliminary fair value of the contingent earn-out consideration, assets acquired and liabilities assumed.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4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capital expenditures or other financial items;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and/or perform commercial contracts, including the scope, timing and outcome of those contracts;</w:t>
      </w:r>
    </w:p>
    <w:p>
      <w:pPr>
        <w:ind w:left="680" w:right="26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our spending and cost reduction plans and our ability to manage changes, and the COVID-19 pandemic and oil price volatility and their respective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ind w:left="680" w:right="30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right="380" w:hanging="321"/>
        <w:spacing w:after="0" w:line="23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700" w:hanging="321"/>
        <w:spacing w:after="0" w:line="249"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ESG initiatives and the successes thereon or regarding our environmental efforts, including greenhouse gas emissions targets;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2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right="1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360" w:hanging="321"/>
        <w:spacing w:after="0" w:line="24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8" w:lineRule="exact"/>
        <w:rPr>
          <w:rFonts w:ascii="Times New Roman" w:cs="Times New Roman" w:eastAsia="Times New Roman" w:hAnsi="Times New Roman"/>
          <w:sz w:val="18"/>
          <w:szCs w:val="18"/>
          <w:color w:val="auto"/>
        </w:rPr>
      </w:pPr>
    </w:p>
    <w:p>
      <w:pPr>
        <w:ind w:left="680" w:right="20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1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and effects of the COVID-19 pandemic and actions by governments, customers, suppliers and partners with respect thereto;</w:t>
      </w:r>
    </w:p>
    <w:p>
      <w:pPr>
        <w:ind w:left="680" w:right="8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or the determination not to pursue or effect such initiatives;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potential cancellation, deferral or modification of our work or contracts by our customers;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capital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right="8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recertification and inspection as well as major maintenance items;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delays in the delivery, chartering or customer acceptance, and terms of acceptance, of our assets;</w:t>
      </w:r>
    </w:p>
    <w:p>
      <w:pPr>
        <w:spacing w:after="0" w:line="8" w:lineRule="exact"/>
        <w:rPr>
          <w:rFonts w:ascii="Times New Roman" w:cs="Times New Roman" w:eastAsia="Times New Roman" w:hAnsi="Times New Roman"/>
          <w:sz w:val="18"/>
          <w:szCs w:val="18"/>
          <w:color w:val="auto"/>
        </w:rPr>
      </w:pPr>
    </w:p>
    <w:p>
      <w:pPr>
        <w:ind w:left="680" w:right="86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ESG initiatives and disclosures;</w:t>
      </w:r>
    </w:p>
    <w:p>
      <w:pPr>
        <w:spacing w:after="0" w:line="8" w:lineRule="exact"/>
        <w:rPr>
          <w:rFonts w:ascii="Times New Roman" w:cs="Times New Roman" w:eastAsia="Times New Roman" w:hAnsi="Times New Roman"/>
          <w:sz w:val="18"/>
          <w:szCs w:val="18"/>
          <w:color w:val="auto"/>
        </w:rPr>
      </w:pPr>
    </w:p>
    <w:p>
      <w:pPr>
        <w:ind w:left="680" w:right="28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litigation and similar claims in which we may be involved;</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future hedging activities;</w:t>
      </w:r>
    </w:p>
    <w:p>
      <w:pPr>
        <w:spacing w:after="0" w:line="8" w:lineRule="exact"/>
        <w:rPr>
          <w:rFonts w:ascii="Times New Roman" w:cs="Times New Roman" w:eastAsia="Times New Roman" w:hAnsi="Times New Roman"/>
          <w:sz w:val="18"/>
          <w:szCs w:val="18"/>
          <w:color w:val="auto"/>
        </w:rPr>
      </w:pPr>
    </w:p>
    <w:p>
      <w:pPr>
        <w:ind w:left="680" w:right="6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factors generally described in Item 1A. Risk Factors in our 2021 Form 10-K.</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2021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2021 Form 10-K that attempt to advise interested parties of the risks and factors that may affect our business.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and robotics operations. Our services are centered on a three-legged business model well positioned for a global energy transition by maximizing production of remaining oil and gas reserves, decommissioning end-of-life oil and gas reserves and supporting renewable energy developments. Our well intervention fleet includes seven purpose-built well intervention vessels and 10 intervention systems. Our robotics equipment includes 40 work-class ROVs and four trenchers. We charter robotics support vessels on both long-term and spot bases to facilitate our ROV and trenching operations. Our well intervention and robotics operations are geographically dispersed throughout the world.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12"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Oil and gas prices experienced recent highs during the first half of 2022 as global demand continued to recover and supply was disrupted by regional conflicts. The increases in oil prices, as well as the outlook for higher sustained oil prices, should lead to higher customer spending for the industry. However, despite the current strong commodity price environment, there are broad headwinds to commodity price stability. These headwinds include those regional conflicts, high inflation, ongoing COVID-related uncertainties, various governmental and customer ESG initiatives and continued shifting of resource allocation to renewable energy. We expect this will contribute to commodity price volatility and may temper customer spending for oil and gas projects.</w:t>
      </w:r>
    </w:p>
    <w:p>
      <w:pPr>
        <w:spacing w:after="0" w:line="185"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176"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The COVID-19 pandemic resulted in new market dynamics and challenges to us, including contributing significantly to oil and gas price volatility and increased costs related to our supply chain, logistics and human capital resources. While the full impact of the COVID-19 pandemic, including the duration of its impact on economic activity, remains unknown, we expect such impact may continue into the foreseeable future, including affecting our customers’ willingness to commit to future spending, limiting access to and use of capital, disrupting supply chains and increasing costs, and negatively affecting human capital resources.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Over the near-term, as oil and gas companies evaluate their budgetary spend allocations, we expect they may be weighted towards short-cycle production enhancement of existing wells rather than new long-cycle exploration projects, as historically enhancement is less expensive per incremental barrel of oil than exploration. Over the longer term, we continue to expect oil and gas companies to increasingly focus on optimizing production of their existing subsea wells. Moreover, as the subsea tree base expands and ages and customers shift resources to renewable energy, the demand for P&amp;A services should persist. Our well intervention and robotics operations service the lifecycle of an oil and gas field and provide P&amp;A services at the end of the life of a field as required by governmental regulations, and we believe that we have a competitive advantage in performing these services efficiently.</w:t>
      </w:r>
    </w:p>
    <w:p>
      <w:pPr>
        <w:spacing w:after="0" w:line="18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expect the fundamentals for our business will remain favorable over the longer term as the need to prolong well life in oil and gas production and safely decommission end-of-life wells are primary drivers of demand for our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185"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Demand for our services in the renewable energy market is affected by various factors, including the pace of consumer shift towards renewable energy sources, global electricity demand, technological advancements that increase the production and/or reduce the cost of renewable energy, expansion of offshore renewable energy projects to deeper water, and government subsidies for renewable energy projects.</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 2021 due in part to supply chain disruptions and the effects of the COVID-19 pandemic, inflation rates began to rise significantly and remained high through the second quarter 2022. Although we are able to reduce some of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introducing appropriate sales price adjustments and by actively pursuing internal cost reduction efforts. However, competitive market pressures may affect our ability to recoup these price increases through the rates we charge, which may result in reductions in our operating margins and cash flows in the future. The recent high inflation rates seen in various major economies have caused concerns for central banks’ tightening of monetary policies. These concerns have contributed to stock market volatility as well as higher interest rates, which, combined with ongoing regional conflicts and unrest and continued COVID-related disruptions throughout the globe, could provide a strained macroeconomic outlook and in turn affect energy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 xml:space="preserve">We define backlog as firm commitments represented by signed contracts. As of June 30, 2022, our consolidated backlog totaled $552 million, of which $232 million is expected to be performed over the remainder of 2022. Our contract with Trident Energy Do Brasil LTDA. to provide P&amp;A services offshore Brazil with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chartered vessel, our contract with Petróleo Brasileiro S.A. (“Petrobras”) to provide well intervention services offshore Brazil with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chartered vessel, our well intervention contract with Shell Offshore Inc. for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our fixed fee agreement for the </w:t>
      </w:r>
      <w:r>
        <w:rPr>
          <w:rFonts w:ascii="Arial" w:cs="Arial" w:eastAsia="Arial" w:hAnsi="Arial"/>
          <w:sz w:val="18"/>
          <w:szCs w:val="18"/>
          <w:i w:val="1"/>
          <w:iCs w:val="1"/>
          <w:color w:val="auto"/>
        </w:rPr>
        <w:t xml:space="preserve">HP I </w:t>
      </w:r>
      <w:r>
        <w:rPr>
          <w:rFonts w:ascii="Arial" w:cs="Arial" w:eastAsia="Arial" w:hAnsi="Arial"/>
          <w:sz w:val="18"/>
          <w:szCs w:val="18"/>
          <w:color w:val="auto"/>
        </w:rPr>
        <w:t>represented approximately 54% of our total backlog as of June 30, 2022. Backlog is not necessarily a reliable indicator</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measure our operating performance based on EBITDA, Adjusted EBITDA and Free Cash Flow. EBITDA, Adjusted EBITDA and Free Cash Flow are non-GAAP financial measures that are commonly used but are not recognized accounting terms under GAAP. We use EBITDA, Adjusted EBITDA and Free Cash Flow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and Free Cash Flow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and Free Cash Flow differently from the way we do, which may limit their usefulness as comparative measures. EBITDA, Adjusted EBITDA and Free Cash Flow should not be considered in isolation or as a substitute for, but instead are supplemental to, income from operations, net income, cash flows from operating activities, or other income or cash flow data prepared in accordance with GAAP.</w:t>
      </w:r>
    </w:p>
    <w:p>
      <w:pPr>
        <w:spacing w:after="0" w:line="18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define EBITDA as earnings before income taxes, net interest expense, gains or losses on extinguishment of long-term debt, gains and losses on equity investments, net other income or expense, and depreciation and amortization expense. Non-cash impairment losses on goodwill and other long-lived assets are also added back if applicable. To arrive at our measure of Adjusted EBITDA, we exclude the gain or loss on disposition of assets, acquisition and integration costs and the general provision (release) for current expected credit losses, if any. We define Free Cash Flow as cash flows from operating activities less capital expenditures, net of proceeds from sale of assets. In the following reconciliation, we provide amounts as reflected in the condensed consolidated financial statements unless otherwise noted.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(16,733)</w:t>
            </w: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4,799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9,973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11,972</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33,158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34,941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66,646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69,507</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equity investment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(8,184)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(8,184)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14,979</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17,631</w:t>
            </w:r>
          </w:p>
        </w:tc>
        <w:tc>
          <w:tcPr>
            <w:tcW w:w="2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60,317</w:t>
            </w:r>
          </w:p>
        </w:tc>
      </w:tr>
      <w:tr>
        <w:trPr>
          <w:trHeight w:val="196"/>
        </w:trPr>
        <w:tc>
          <w:tcPr>
            <w:tcW w:w="5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Loss on disposition of assets, net</w:t>
            </w:r>
          </w:p>
        </w:tc>
        <w:tc>
          <w:tcPr>
            <w:tcW w:w="18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5120" w:type="dxa"/>
            <w:vAlign w:val="bottom"/>
          </w:tcPr>
          <w:p>
            <w:pPr>
              <w:ind w:left="220"/>
              <w:spacing w:after="0" w:line="183" w:lineRule="exact"/>
              <w:rPr>
                <w:sz w:val="20"/>
                <w:szCs w:val="20"/>
                <w:color w:val="auto"/>
              </w:rPr>
            </w:pPr>
            <w:r>
              <w:rPr>
                <w:rFonts w:ascii="Arial" w:cs="Arial" w:eastAsia="Arial" w:hAnsi="Arial"/>
                <w:sz w:val="18"/>
                <w:szCs w:val="18"/>
                <w:color w:val="auto"/>
              </w:rPr>
              <w:t>General provision (release) for current expected credit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5120" w:type="dxa"/>
            <w:vAlign w:val="bottom"/>
          </w:tcPr>
          <w:p>
            <w:pPr>
              <w:ind w:left="22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5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16,759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19,285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60,980</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(23,254)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92,540</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(25,441)</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85,779</w:t>
            </w: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810"/>
              <w:spacing w:after="0"/>
              <w:rPr>
                <w:sz w:val="20"/>
                <w:szCs w:val="20"/>
                <w:color w:val="auto"/>
              </w:rPr>
            </w:pPr>
            <w:r>
              <w:rPr>
                <w:rFonts w:ascii="Arial" w:cs="Arial" w:eastAsia="Arial" w:hAnsi="Arial"/>
                <w:sz w:val="18"/>
                <w:szCs w:val="18"/>
                <w:color w:val="auto"/>
              </w:rPr>
              <w:t>29</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5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2022 and 2021</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have three reportable business segments: Well Intervention, Robotics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106,291</w:t>
            </w:r>
          </w:p>
        </w:tc>
        <w:tc>
          <w:tcPr>
            <w:tcW w:w="3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132,305</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(26,014)</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49,850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31,651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18,199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17,678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14,218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3,460</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(11,207)</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(16,233)</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162,612</w:t>
            </w:r>
          </w:p>
        </w:tc>
        <w:tc>
          <w:tcPr>
            <w:tcW w:w="3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161,941</w:t>
            </w:r>
          </w:p>
        </w:tc>
        <w:tc>
          <w:tcPr>
            <w:tcW w:w="2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w:t>
            </w:r>
          </w:p>
        </w:tc>
        <w:tc>
          <w:tcPr>
            <w:tcW w:w="2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gridSpan w:val="2"/>
          </w:tcPr>
          <w:p>
            <w:pPr>
              <w:jc w:val="right"/>
              <w:ind w:right="40"/>
              <w:spacing w:after="0" w:line="196" w:lineRule="exact"/>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(19,336)</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(16,794)</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11,597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2,286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9,311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(302)</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(1,717)</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23 %</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38 %</w:t>
            </w:r>
          </w:p>
        </w:tc>
        <w:tc>
          <w:tcPr>
            <w:tcW w:w="28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Number of vessels or robotics assets </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 Utilization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 / 67 %</w:t>
            </w:r>
          </w:p>
        </w:tc>
        <w:tc>
          <w:tcPr>
            <w:tcW w:w="28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 / 72 %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 / 53 %</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 / 36 %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rPr>
              <w:t>Chartered robotics vessels</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 / 94 %</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 / 93 %</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1" w:lineRule="exact"/>
        <w:rPr>
          <w:sz w:val="20"/>
          <w:szCs w:val="20"/>
          <w:color w:val="auto"/>
        </w:rPr>
      </w:pPr>
    </w:p>
    <w:p>
      <w:pPr>
        <w:ind w:left="660" w:right="20" w:hanging="652"/>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number of vessels or robotics assets as of the end of the period, including spot vessels and those under term charters, and excluding acquired vessels prior to their in-service dates and vessels or assets disposed of and/or taken out of service.</w:t>
      </w:r>
    </w:p>
    <w:p>
      <w:pPr>
        <w:spacing w:after="0" w:line="60" w:lineRule="exact"/>
        <w:rPr>
          <w:rFonts w:ascii="Arial" w:cs="Arial" w:eastAsia="Arial" w:hAnsi="Arial"/>
          <w:sz w:val="18"/>
          <w:szCs w:val="18"/>
          <w:color w:val="auto"/>
        </w:rPr>
      </w:pPr>
    </w:p>
    <w:p>
      <w:pPr>
        <w:ind w:left="660" w:right="20" w:hanging="652"/>
        <w:spacing w:after="0" w:line="24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or robotics assets generated revenues by the total number of calendar days in the applicable period. Utilization rates of chartered robotics vessels during the three-month periods ended June 30, 2022 and 2021 included 116 and 61 spot vessel days, respectively, at near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ROVs and trenchers.</w:t>
      </w:r>
    </w:p>
    <w:p>
      <w:pPr>
        <w:spacing w:after="0" w:line="21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10,206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2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7,314</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6,027</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11,207</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16,233</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340" w:type="dxa"/>
            <w:vAlign w:val="bottom"/>
            <w:vMerge w:val="restart"/>
          </w:tcPr>
          <w:p>
            <w:pPr>
              <w:jc w:val="right"/>
              <w:ind w:right="29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1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June 30, 2022 were flat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2021, reflecting higher revenues from our Robotics and Production Facilities segments, offset by lower revenues from our Well Intervention segment.</w:t>
      </w:r>
    </w:p>
    <w:p>
      <w:pPr>
        <w:spacing w:after="0" w:line="16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Our Well Intervention revenues decreased by 20% for the three-month period ended June 30, 2022 as compared to the same period in 2021, primarily reflecting lower utilization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in West Africa and lower rates and utilization in Brazil, offset in part by higher rates and utilization in the Gulf of Mexico and higher utilization in the North Sea.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had minimal utilization as the vessel commenced its scheduled maintenance during the second quarter 2022 whereas it was 96% utilized during the second quarter 2021. In Brazil,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operated at lower rates under the extended contract with Petrobras during the second quarter 2022 whereas it was on higher legacy contract rates during the second quarter 2021.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transited back to Brazil after completion of the accommodations project offshore Ghana at lower rates during the second quarter 2022 whereas it was fully utilized on the extended contract with Petrobras during the second quarter 2021. In the Gulf of Mexico,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achieved higher utilization performing higher rate integrated projects while rates and utilization also improved for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during the second quarter 2022 as compared to the same period in 2021.</w:t>
      </w:r>
    </w:p>
    <w:p>
      <w:pPr>
        <w:spacing w:after="0" w:line="18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Our Robotics revenues increased by 57% for the three-month period ended June 30, 2022 as compared to the same period in 2021, primarily reflecting higher vessel and ROV activities. Chartered vessel days increased to 370 days during the second quarter 2022 as compared to 236 days during the second quarter 2021, although vessel utilization increased slightly to 94% in the second quarter 2022 from 93% during the second quarter 2021. Vessel days during the second quarter 2022 included 116 spot vessel days as compared to 61 spot vessel days during the second quarter 2021, primarily performing seabed clearance work in the North Sea. ROV and trencher utilization increased to 53% in the second quarter 2022 from 36% during the second quarter 2021, although trenching days decreased slightly to 81 days during the second quarter 2022 as compared to 84 days during the second quarter 2021.</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Our Production Facilities revenues increased by 24% for the three-month period ended June 30, 2022 as compared to the same period in 2021, primarily reflecting higher oil and gas production volumes and prices.</w:t>
      </w:r>
    </w:p>
    <w:p>
      <w:pPr>
        <w:spacing w:after="0" w:line="154" w:lineRule="exact"/>
        <w:rPr>
          <w:sz w:val="20"/>
          <w:szCs w:val="20"/>
          <w:color w:val="auto"/>
        </w:rPr>
      </w:pPr>
    </w:p>
    <w:p>
      <w:pPr>
        <w:jc w:val="both"/>
        <w:ind w:right="100" w:firstLine="648"/>
        <w:spacing w:after="0" w:line="275" w:lineRule="auto"/>
        <w:rPr>
          <w:sz w:val="20"/>
          <w:szCs w:val="20"/>
          <w:color w:val="auto"/>
        </w:rPr>
      </w:pPr>
      <w:r>
        <w:rPr>
          <w:rFonts w:ascii="Arial" w:cs="Arial" w:eastAsia="Arial" w:hAnsi="Arial"/>
          <w:sz w:val="17"/>
          <w:szCs w:val="17"/>
          <w:b w:val="1"/>
          <w:bCs w:val="1"/>
          <w:i w:val="1"/>
          <w:iCs w:val="1"/>
          <w:color w:val="auto"/>
        </w:rPr>
        <w:t xml:space="preserve">Gross Profit (Loss). </w:t>
      </w:r>
      <w:r>
        <w:rPr>
          <w:rFonts w:ascii="Arial" w:cs="Arial" w:eastAsia="Arial" w:hAnsi="Arial"/>
          <w:sz w:val="17"/>
          <w:szCs w:val="17"/>
          <w:color w:val="auto"/>
        </w:rPr>
        <w:t>Our consolidated gross loss was $1.4 million for the three-month period ended June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compared consolidated gross profit of $3.1 million for the same period in 2021, primarily reflecting decreased profitability in our Well Intervention segment, offset in part by increased profitability in our Robotics and Production Facilities segments.</w:t>
      </w:r>
    </w:p>
    <w:p>
      <w:pPr>
        <w:spacing w:after="0" w:line="152"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 xml:space="preserve">Our Well Intervention gross loss increased by $16.8 million for the three-month period ended June 30, 2022 as compared to the same period in 2021, primarily reflecting lower segment revenues, offset in part by a net reduction in operating costs due to lower </w:t>
      </w:r>
      <w:r>
        <w:rPr>
          <w:rFonts w:ascii="Arial" w:cs="Arial" w:eastAsia="Arial" w:hAnsi="Arial"/>
          <w:sz w:val="18"/>
          <w:szCs w:val="18"/>
          <w:i w:val="1"/>
          <w:iCs w:val="1"/>
          <w:color w:val="auto"/>
        </w:rPr>
        <w:t>Q7000</w:t>
      </w:r>
      <w:r>
        <w:rPr>
          <w:rFonts w:ascii="Arial" w:cs="Arial" w:eastAsia="Arial" w:hAnsi="Arial"/>
          <w:sz w:val="18"/>
          <w:szCs w:val="18"/>
          <w:color w:val="auto"/>
        </w:rPr>
        <w:t xml:space="preserve"> utilization and reduced charter costs in Brazil.</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Robotics gross profit increased by $9.3 million for the three-month period ended June 30, 2022 as compared to the same period in 2021, primarily reflecting higher revenues due to increased ROV activity and a higher number of vessel days.</w:t>
      </w:r>
    </w:p>
    <w:p>
      <w:pPr>
        <w:spacing w:after="0" w:line="16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Our Production Facilities gross profit increased by $1.6 million for the three-month period ended June 30, 2022 as compared to the same period in 2021, primarily reflecting higher revenues.</w:t>
      </w:r>
    </w:p>
    <w:p>
      <w:pPr>
        <w:spacing w:after="0" w:line="154"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$17.6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June 30, 2022 as compared to $13.4 million for the same period in 2021, primarily reflecting higher employee incentive compensation costs and Alliance acquisition related costs during the second quarter 2022 (Note 16).</w:t>
      </w:r>
    </w:p>
    <w:p>
      <w:pPr>
        <w:spacing w:after="0" w:line="174"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Equity in Earnings of Investment. </w:t>
      </w:r>
      <w:r>
        <w:rPr>
          <w:rFonts w:ascii="Arial" w:cs="Arial" w:eastAsia="Arial" w:hAnsi="Arial"/>
          <w:sz w:val="18"/>
          <w:szCs w:val="18"/>
          <w:color w:val="auto"/>
        </w:rPr>
        <w:t>Equity in earnings of investment was $ 8.2 million for the three-month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2022 primarily reflecting the cash distribution as a result of the sale of the “Independence Hub” platform (Note 2).</w:t>
      </w:r>
    </w:p>
    <w:p>
      <w:pPr>
        <w:spacing w:after="0" w:line="169"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$4.8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$5.9 million for the same period in 2021, primarily reflecting the repayment of certain indebtedness (Note 5).</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expense was $13.5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primarily due to foreign currency transaction losses reflecting the weakening of the British pound. Net other income was $ 1.0 million for the same period in 2021 primarily due to foreign currency transaction gains reflecting the strengthening of the British pound.</w:t>
      </w:r>
    </w:p>
    <w:p>
      <w:pPr>
        <w:spacing w:after="0" w:line="174"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$1.4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an income tax benefit of $2.0 million for the same period in 2021. The effective tax rates for the three-month periods ended June 30, 2022 and 2021 were (5.1)% and 12.6%, respectively. These variances were primarily attributable to the earnings mix between our higher and lower tax rate jurisdictions as well as losses for which no financial statement benefits have been recognized (Note 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2022 and 2021</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have three reportable business segments: Well Intervention, Robotics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Amount</w:t>
            </w:r>
          </w:p>
        </w:tc>
        <w:tc>
          <w:tcPr>
            <w:tcW w:w="2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212,658</w:t>
            </w:r>
          </w:p>
        </w:tc>
        <w:tc>
          <w:tcPr>
            <w:tcW w:w="240" w:type="dxa"/>
            <w:vAlign w:val="bottom"/>
          </w:tcPr>
          <w:p>
            <w:pPr>
              <w:spacing w:after="0"/>
              <w:rPr>
                <w:sz w:val="17"/>
                <w:szCs w:val="17"/>
                <w:color w:val="auto"/>
              </w:rPr>
            </w:pP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266,073</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(53,415)</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87,201</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53,807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33,394</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35,972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30,665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5,307</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(23,094)</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(25,189)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312,737</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325,356</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(12,619)</w:t>
            </w:r>
          </w:p>
        </w:tc>
        <w:tc>
          <w:tcPr>
            <w:tcW w:w="1300" w:type="dxa"/>
            <w:vAlign w:val="bottom"/>
            <w:tcBorders>
              <w:bottom w:val="single" w:sz="8" w:color="CCEEFF"/>
            </w:tcBorders>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Gross profit (loss) —</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(47,782)</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6,184</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(53,966)</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Robotics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15,117</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1,353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13,764</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13,296</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(2,099)</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(19,963)</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17,754</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(37,717)</w:t>
            </w:r>
          </w:p>
        </w:tc>
        <w:tc>
          <w:tcPr>
            <w:tcW w:w="130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Number of vessels or robotics assets </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 Utilization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 / 67 %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 / 82 %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 / 44 %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 / 30 %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Chartered robotics vessels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 / 92 %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 / 92 %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1" w:lineRule="exact"/>
        <w:rPr>
          <w:sz w:val="20"/>
          <w:szCs w:val="20"/>
          <w:color w:val="auto"/>
        </w:rPr>
      </w:pPr>
    </w:p>
    <w:p>
      <w:pPr>
        <w:ind w:left="660" w:right="20" w:hanging="652"/>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number of vessels or robotics assets as of the end of the period, including spot vessels and those under term charters, and excluding acquired vessels prior to their in-service dates and vessels or assets disposed of and/or taken out of service.</w:t>
      </w:r>
    </w:p>
    <w:p>
      <w:pPr>
        <w:spacing w:after="0" w:line="60" w:lineRule="exact"/>
        <w:rPr>
          <w:rFonts w:ascii="Arial" w:cs="Arial" w:eastAsia="Arial" w:hAnsi="Arial"/>
          <w:sz w:val="18"/>
          <w:szCs w:val="18"/>
          <w:color w:val="auto"/>
        </w:rPr>
      </w:pPr>
    </w:p>
    <w:p>
      <w:pPr>
        <w:ind w:left="660" w:right="20" w:hanging="652"/>
        <w:spacing w:after="0" w:line="24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or robotics assets generated revenues by the total number of calendar days in the applicable period. Utilization rates of chartered robotics vessels during the six-month periods ended June 30, 2022 and 2021 included 252 and 64 spot vessel days, respectively, at near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ROVs and trenchers.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3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40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(5,050)</w:t>
            </w:r>
          </w:p>
        </w:tc>
      </w:tr>
      <w:tr>
        <w:trPr>
          <w:trHeight w:val="203"/>
        </w:trPr>
        <w:tc>
          <w:tcPr>
            <w:tcW w:w="3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2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12,396</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2,955</w:t>
            </w:r>
          </w:p>
        </w:tc>
      </w:tr>
      <w:tr>
        <w:trPr>
          <w:trHeight w:val="196"/>
        </w:trPr>
        <w:tc>
          <w:tcPr>
            <w:tcW w:w="34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23,094</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25,189</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(2,095)</w:t>
            </w:r>
          </w:p>
        </w:tc>
      </w:tr>
      <w:tr>
        <w:trPr>
          <w:trHeight w:val="20"/>
        </w:trPr>
        <w:tc>
          <w:tcPr>
            <w:tcW w:w="3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six-month period ended June 30, 2022 decreased by 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2021, reflecting lower revenues from our Well Intervention segment, offset in part by higher revenues from our Robotics and Production Facilities segments.</w:t>
      </w:r>
    </w:p>
    <w:p>
      <w:pPr>
        <w:spacing w:after="0" w:line="16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 xml:space="preserve">Our Well Intervention revenues decreased by 20% for the six-month period ended June 30, 2022 as compared to the same period in 2021, primarily reflecting lower rates and utilization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in Brazil as both vessels rolled off their legacy contracts with Petrobras and lower utilization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in West Africa due to its scheduled maintenance during the second quarter 2022, offset in part by higher rates and utilization in the Gulf of Mexico during the second quarter 2022.</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revenues increased by 62% for the six-month period ended June 30, 2022 as compared to the same period in 2021, primarily reflecting higher vessel and ROV activities. Chartered vessel days increased to 693 days during the six-month period ended June 30, 2022 as compared to 401 days during the same period in 2021, although vessel utilization was flat at 92% during both periods. Vessel days during the six-month period ended June 30, 2022 included 252 spot vessel days as compared to 64 spot vessel days during the same period in 2021, primarily performing seabed clearance work in the North Sea. ROV and trencher utilization increased to 44% during the six-month period ended June 30, 2022 from 30% during the same period in 2021, although trenching days decreased slightly to 147 days during the six-month period ended June 30, 2022 as compared to 156 days during the same period in 2021.</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Our Production Facilities revenues increased by 17% for the six-month period ended June 30, 2022 as compared to the same period in 2021, primarily reflecting higher oil and gas production volumes and prices.</w:t>
      </w:r>
    </w:p>
    <w:p>
      <w:pPr>
        <w:spacing w:after="0" w:line="15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b w:val="1"/>
          <w:bCs w:val="1"/>
          <w:i w:val="1"/>
          <w:iCs w:val="1"/>
          <w:color w:val="auto"/>
        </w:rPr>
        <w:t xml:space="preserve">Gross Profit (Loss). </w:t>
      </w:r>
      <w:r>
        <w:rPr>
          <w:rFonts w:ascii="Arial" w:cs="Arial" w:eastAsia="Arial" w:hAnsi="Arial"/>
          <w:sz w:val="17"/>
          <w:szCs w:val="17"/>
          <w:color w:val="auto"/>
        </w:rPr>
        <w:t>Our consolidated gross loss was $20.0 million for the six-month period ended June 30,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compared consolidated gross profit of $17.8 million for the same period in 2021, primarily reflecting decreased profitability in our Well Intervention segment, offset in part by increased profitability in our Robotics and Production Facilities segments.</w:t>
      </w:r>
    </w:p>
    <w:p>
      <w:pPr>
        <w:spacing w:after="0" w:line="152"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Our Well Intervention segment had a gross loss of $47.8 million for the six-month period ended June 30, 2022 as compared to a gross profit of $6.2 million for the same period in 2021, primarily reflecting lower segment revenues.</w:t>
      </w:r>
    </w:p>
    <w:p>
      <w:pPr>
        <w:spacing w:after="0" w:line="154"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color w:val="auto"/>
        </w:rPr>
        <w:t>Our Robotics gross profit increased by $13.8 million for the six-month period ended June 30, 2022 as compared to the same period in 2021, primarily reflecting higher revenues due to increased ROV activity and a higher number of vessel days.</w:t>
      </w:r>
    </w:p>
    <w:p>
      <w:pPr>
        <w:spacing w:after="0" w:line="169"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18"/>
          <w:szCs w:val="18"/>
          <w:color w:val="auto"/>
        </w:rPr>
        <w:t>Our Production Facilities gross profit for the six-month period ended June 30, 2022 increased slightly as compared to the same period in 2021, primarily reflecting higher revenues.</w:t>
      </w:r>
    </w:p>
    <w:p>
      <w:pPr>
        <w:spacing w:after="0" w:line="154"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$32.0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six-month period ended June 30, 2022 as compared to $28.6 million for the same period in 2021, primarily reflecting higher employee incentive compensation costs and Alliance acquisition related costs (Note 16).</w:t>
      </w:r>
    </w:p>
    <w:p>
      <w:pPr>
        <w:spacing w:after="0" w:line="169" w:lineRule="exact"/>
        <w:rPr>
          <w:sz w:val="20"/>
          <w:szCs w:val="20"/>
          <w:color w:val="auto"/>
        </w:rPr>
      </w:pPr>
    </w:p>
    <w:p>
      <w:pPr>
        <w:ind w:right="4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Equity in Earnings of Investment. </w:t>
      </w:r>
      <w:r>
        <w:rPr>
          <w:rFonts w:ascii="Arial" w:cs="Arial" w:eastAsia="Arial" w:hAnsi="Arial"/>
          <w:sz w:val="18"/>
          <w:szCs w:val="18"/>
          <w:color w:val="auto"/>
        </w:rPr>
        <w:t>Equity in earnings of investment was $ 8.2 million for the six-month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2022 primarily reflecting the cash distribution as a result of the sale of the “Independence Hub” platform (Note 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$10.0 million for the six-month period ended June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$12.0 million for the same period in 2021, primarily reflecting the repayment of certain indebtedness (Note 5).</w:t>
      </w:r>
    </w:p>
    <w:p>
      <w:pPr>
        <w:spacing w:after="0" w:line="16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expense was $17.4 million for the six-month period ended June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foreign currency transaction losses reflecting the weakening of the British pound. Net other income was $2.6 million for the same period in 2021 primarily due to foreign currency transaction gains reflecting the strengthening of the British pound.</w:t>
      </w:r>
    </w:p>
    <w:p>
      <w:pPr>
        <w:spacing w:after="0" w:line="174" w:lineRule="exact"/>
        <w:rPr>
          <w:sz w:val="20"/>
          <w:szCs w:val="20"/>
          <w:color w:val="auto"/>
        </w:rPr>
      </w:pPr>
    </w:p>
    <w:p>
      <w:pPr>
        <w:ind w:right="26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$3.6 million for the six-month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an income tax benefit of $1.9 million for the same period in 2021. The effective tax rates for the six-month periods ended June 30, 2022 and 2021 were (5.2)% and 10.0%, respectively. These variances were primarily attributable to the earnings mix between our higher and lower tax rate jurisdictions as well as losses for which no financial statement benefits have been recognized (Note 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252,678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251,255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258,977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262,137</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320,857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304,660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It measures short-term liquidity and operational efficiency and is important for predicting cash flow and debt requirements. Our net working capital includes current maturities of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right="80" w:firstLine="648"/>
        <w:spacing w:after="0" w:line="301" w:lineRule="auto"/>
        <w:rPr>
          <w:sz w:val="20"/>
          <w:szCs w:val="20"/>
          <w:color w:val="auto"/>
        </w:rPr>
      </w:pPr>
      <w:r>
        <w:rPr>
          <w:rFonts w:ascii="Arial" w:cs="Arial" w:eastAsia="Arial" w:hAnsi="Arial"/>
          <w:sz w:val="17"/>
          <w:szCs w:val="17"/>
          <w:color w:val="auto"/>
        </w:rPr>
        <w:t>Long-term debt in the table above is net of unamortized debt issuance costs and excludes current maturities of $8.1 million at June 30, 2022 and $42.9 million at December 31, 2021. See Note 5 for information relating to our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Our liquidity at June 30, 2022 included $260.6 million of cash and cash equivalents and $60.3 million of available</w:t>
      </w:r>
    </w:p>
    <w:p>
      <w:pPr>
        <w:spacing w:after="0" w:line="234" w:lineRule="auto"/>
        <w:rPr>
          <w:sz w:val="20"/>
          <w:szCs w:val="20"/>
          <w:color w:val="auto"/>
        </w:rPr>
      </w:pPr>
      <w:r>
        <w:rPr>
          <w:rFonts w:ascii="Arial" w:cs="Arial" w:eastAsia="Arial" w:hAnsi="Arial"/>
          <w:sz w:val="18"/>
          <w:szCs w:val="18"/>
          <w:color w:val="auto"/>
        </w:rPr>
        <w:t>borrowing capacity under the ABL Facility (Note 5) and excluded $2.5 million of restricted cash. Our liquidity at</w:t>
      </w:r>
    </w:p>
    <w:p>
      <w:pPr>
        <w:spacing w:after="0" w:line="235" w:lineRule="auto"/>
        <w:rPr>
          <w:sz w:val="20"/>
          <w:szCs w:val="20"/>
          <w:color w:val="auto"/>
        </w:rPr>
      </w:pPr>
      <w:r>
        <w:rPr>
          <w:rFonts w:ascii="Arial" w:cs="Arial" w:eastAsia="Arial" w:hAnsi="Arial"/>
          <w:sz w:val="18"/>
          <w:szCs w:val="18"/>
          <w:color w:val="auto"/>
        </w:rPr>
        <w:t>December 31, 2021 included $253.5 million of cash and cash equivalents and $51.1 million of available borrowing capacity</w:t>
      </w:r>
    </w:p>
    <w:p>
      <w:pPr>
        <w:spacing w:after="0" w:line="235" w:lineRule="auto"/>
        <w:rPr>
          <w:sz w:val="20"/>
          <w:szCs w:val="20"/>
          <w:color w:val="auto"/>
        </w:rPr>
      </w:pPr>
      <w:r>
        <w:rPr>
          <w:rFonts w:ascii="Arial" w:cs="Arial" w:eastAsia="Arial" w:hAnsi="Arial"/>
          <w:sz w:val="18"/>
          <w:szCs w:val="18"/>
          <w:color w:val="auto"/>
        </w:rPr>
        <w:t>under the ABL Facility and excluded $73.6 million of short-term project related restricted cash. As of June 30, 2022, we had</w:t>
      </w:r>
    </w:p>
    <w:p>
      <w:pPr>
        <w:spacing w:after="0" w:line="235" w:lineRule="auto"/>
        <w:rPr>
          <w:sz w:val="20"/>
          <w:szCs w:val="20"/>
          <w:color w:val="auto"/>
        </w:rPr>
      </w:pPr>
      <w:r>
        <w:rPr>
          <w:rFonts w:ascii="Arial" w:cs="Arial" w:eastAsia="Arial" w:hAnsi="Arial"/>
          <w:sz w:val="18"/>
          <w:szCs w:val="18"/>
          <w:color w:val="auto"/>
        </w:rPr>
        <w:t>approximately $20.5 million in Nigerian Naira, which is subject to currency exchange controls established by the Central</w:t>
      </w:r>
    </w:p>
    <w:p>
      <w:pPr>
        <w:spacing w:after="0"/>
        <w:rPr>
          <w:sz w:val="20"/>
          <w:szCs w:val="20"/>
          <w:color w:val="auto"/>
        </w:rPr>
      </w:pPr>
      <w:r>
        <w:rPr>
          <w:rFonts w:ascii="Arial" w:cs="Arial" w:eastAsia="Arial" w:hAnsi="Arial"/>
          <w:sz w:val="18"/>
          <w:szCs w:val="18"/>
          <w:color w:val="auto"/>
        </w:rPr>
        <w:t>Bank of Nigeria. Those exchange controls have to date restricted our ability to convert our Nigerian Naira into U.S. dollars.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COVID-19 pandemic impacted our operations and our revenues. We responded by deferring or reducing planned capital expenditures and operating costs during the past two years. This spending is returning with our increased activity. Furthermore, we fully redeemed the $35 million remaining principal amount of the 2022 Notes plus accrued interest by delivering cash upon maturity on May 1, 2022, and we have other term debt maturities during 2022 that we intend to settle in cash. Additionally on July 1, 2022, we completed our acquisition of all of the equity interests of Alliance for approximately $120 million cash at closing plus post-closing earn-out consideration payable in 2024 in the event the Alliance business achieves certain financial metrics in 2022 and 2023 (Note 16). We believe that our cash on hand, internally generated cash flows and availability under the ABL Facility will be sufficient to fund our operations and service our debt over at least the next 12 months.</w:t>
      </w:r>
    </w:p>
    <w:p>
      <w:pPr>
        <w:spacing w:after="0" w:line="183"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ABL Facility. We currently do not anticipate borrowing under the ABL Facility other than for the issuance of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9"/>
              </w:rPr>
              <w:t>June 30,</w:t>
            </w:r>
          </w:p>
        </w:tc>
        <w:tc>
          <w:tcPr>
            <w:tcW w:w="108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(23,254)</w:t>
            </w: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92,540</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5,653</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(6,761)</w:t>
            </w:r>
          </w:p>
        </w:tc>
      </w:tr>
      <w:tr>
        <w:trPr>
          <w:trHeight w:val="239"/>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(40,319)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(62,802)</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The decrease in our operating cash flows for the six-month period ended June 30, 2022 as compared to the same period in 2021 primarily reflects lower earnings, higher regulatory recertification costs for our vessels and systems and negative changes in net working capital. Operating cash flows for the six-month periods ended June 30, 2022 and 2021 included the receipt of $1.1 million and $6.6 million, respectively, in income tax refunds related to the U.S. Coronavirus Aid, Relief, and Economic Security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Cash flows provided by (used in) investing activities for the six-month periods ended June 30, 2022 and 2021 reflect the $7.8 million in net cash distribution from Independence Hub in May 2022 (Note 2) and the deferral or reduction of our planned capital expenditures as our response to the adverse impact to our operations as a result of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Net cash outflows from financing activities for the six-month period ended June 30, 2022 primarily reflect the repayment of $3.9 million related to the MARAD Debt and $35 million related to the 2022 Notes (Note 5). Net cash outflows from financing activities for the six-month period ended June 30, 2021 primarily reflect the repayment of $59.1 million related to our indebtedness, including the final maturity of $53.6 million of the Nordea Q5000 Loan.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June 30, 2022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June 30, 2022. Our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Short-Term</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44,930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8,133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Interest related to debt</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57,643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17,167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40,476</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281,530</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92,262</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189,268</w:t>
            </w:r>
          </w:p>
        </w:tc>
      </w:tr>
      <w:tr>
        <w:trPr>
          <w:trHeight w:val="196"/>
        </w:trPr>
        <w:tc>
          <w:tcPr>
            <w:tcW w:w="24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623,921</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127,380</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496,541</w:t>
            </w: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140" w:hanging="652"/>
        <w:spacing w:after="0" w:line="24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June 30, 2022, our commitment related to long-term vessel charters totaled approximately $246.5 million, of which $101.3 million was related to the non-lease (services) components that are not included in operating lease liabilities in the condensed consolidated balance sheet as of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11).</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approximate $31.0 million (undiscounted) as of June 30, 2022 and are all expected to be paid during the next 12 months. We are entitled to receive certain amounts from Marathon Oil Corporation as these decommissioning obligations are fulfilled.</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intervention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intervention systems to operate. Recertification may require dry dock and other compliance costs on a periodic basis, usually every 30 months. These costs can vary and generally range between $3.0 million to $15.0 million per vessel and $0.5 million to $5.0 million per intervention system. The timing of these costs can vary.</w:t>
      </w:r>
    </w:p>
    <w:p>
      <w:pPr>
        <w:spacing w:after="0" w:line="176"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ABL Facility and access to capital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2021 Form 10-K.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As of June 30, 2022, we were exposed to market risks associated with foreign currency exchange rates. We had no exposure to interest rate risk as we had no outstanding debt subject to floating rates.</w:t>
      </w:r>
    </w:p>
    <w:p>
      <w:pPr>
        <w:spacing w:after="0" w:line="154"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resulting in translation adjustments that are reflected in “Accumulated other comprehensive loss” in the shareholders’ equity section of our condensed consolidated balance sheets. For the six-month period ended June 30, 2022, we recorded foreign currency translation losses of $46.5 million to accumulated other comprehensive loss. Deferred taxes have not been provided on foreign currency translation adjustments as our non-U.S. undistributed earnings are permanently reinvested.</w:t>
      </w:r>
    </w:p>
    <w:p>
      <w:pPr>
        <w:spacing w:after="0" w:line="17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six-month periods ended June 30, 2022, we recorded foreign currency transaction losses of $13.5 million and $17.4 million, respectively, primarily related to our subsidiaries in the U.K.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firstLine="656"/>
        <w:spacing w:after="0"/>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June 30, 2022. Based on this evaluation, our principal executive officer and principal financial officer have concluded that our disclosure controls and procedures were effective as of June 30, 2022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jc w:val="both"/>
        <w:ind w:right="320" w:firstLine="656"/>
        <w:spacing w:after="0" w:line="253" w:lineRule="auto"/>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quarter ended June 30, 2022 that have materially affected, or are reasonably likely to materially affect, our internal control over financial reporting.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See Part I, Item 1, Note 12 — Litigation to the Condensed Consolidated Financial Statements, which is incorporated herein by reference.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Except as set forth below, there have been no material changes during the period ended June 30, 2022 in our “Risk Factors” as discussed in Item 1A of our Annual Report on Form 10-K for the year ended December 31, 2021.</w:t>
      </w:r>
    </w:p>
    <w:p>
      <w:pPr>
        <w:spacing w:after="0" w:line="156" w:lineRule="exact"/>
        <w:rPr>
          <w:sz w:val="20"/>
          <w:szCs w:val="20"/>
          <w:color w:val="auto"/>
        </w:rPr>
      </w:pPr>
    </w:p>
    <w:p>
      <w:pPr>
        <w:ind w:right="540" w:firstLine="648"/>
        <w:spacing w:after="0" w:line="278"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foreign ownership provisions or if these provisions were modified or repealed</w:t>
      </w:r>
      <w:r>
        <w:rPr>
          <w:rFonts w:ascii="Arial" w:cs="Arial" w:eastAsia="Arial" w:hAnsi="Arial"/>
          <w:sz w:val="18"/>
          <w:szCs w:val="18"/>
          <w:b w:val="1"/>
          <w:bCs w:val="1"/>
          <w:color w:val="auto"/>
        </w:rPr>
        <w:t>.</w:t>
      </w:r>
    </w:p>
    <w:p>
      <w:pPr>
        <w:spacing w:after="0" w:line="13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are subject to the Jones Act and other federal laws that restrict maritime cargo transportation between points in the U.S. As a result of the Alliance acquisition, we acquired 21 vessels registered under the U.S. flag which operate in the U.S. Gulf of Mexico coastwise trade. In order to operate vessels in the Jones Act trade and to be qualified to document vessels for coastwise trade, we must maintain U.S. citizen status for Jones Act purposes. We could cease being a U.S. citizen if certain events were to occur, including if non-U.S. citizens were to own 25% or more of our common stock. We are responsible for monitoring our ownership to ensure compliance with the Jones Act.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spacing w:after="0" w:line="185" w:lineRule="exact"/>
        <w:rPr>
          <w:sz w:val="20"/>
          <w:szCs w:val="20"/>
          <w:color w:val="auto"/>
        </w:rPr>
      </w:pPr>
    </w:p>
    <w:p>
      <w:pPr>
        <w:ind w:right="260" w:firstLine="648"/>
        <w:spacing w:after="0" w:line="278" w:lineRule="auto"/>
        <w:rPr>
          <w:sz w:val="20"/>
          <w:szCs w:val="20"/>
          <w:color w:val="auto"/>
        </w:rPr>
      </w:pPr>
      <w:r>
        <w:rPr>
          <w:rFonts w:ascii="Arial" w:cs="Arial" w:eastAsia="Arial" w:hAnsi="Arial"/>
          <w:sz w:val="18"/>
          <w:szCs w:val="18"/>
          <w:b w:val="1"/>
          <w:bCs w:val="1"/>
          <w:i w:val="1"/>
          <w:iCs w:val="1"/>
          <w:color w:val="auto"/>
        </w:rPr>
        <w:t>We may execute a strategic transaction that may not achieve intended results, could increase our debt or the number of our shares outstanding, or result in a change of control.</w:t>
      </w:r>
    </w:p>
    <w:p>
      <w:pPr>
        <w:spacing w:after="0" w:line="139"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ordinary operating matters.</w:t>
      </w:r>
    </w:p>
    <w:p>
      <w:pPr>
        <w:spacing w:after="0" w:line="183" w:lineRule="exact"/>
        <w:rPr>
          <w:sz w:val="20"/>
          <w:szCs w:val="20"/>
          <w:color w:val="auto"/>
        </w:rPr>
      </w:pPr>
    </w:p>
    <w:p>
      <w:pPr>
        <w:ind w:right="220" w:firstLine="648"/>
        <w:spacing w:after="0" w:line="242" w:lineRule="auto"/>
        <w:rPr>
          <w:sz w:val="20"/>
          <w:szCs w:val="20"/>
          <w:color w:val="auto"/>
        </w:rPr>
      </w:pPr>
      <w:r>
        <w:rPr>
          <w:rFonts w:ascii="Arial" w:cs="Arial" w:eastAsia="Arial" w:hAnsi="Arial"/>
          <w:sz w:val="18"/>
          <w:szCs w:val="18"/>
          <w:color w:val="auto"/>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requiring either waivers, amendments, or terminating such facility. Furthermore, a strategic transaction may result in a change in control of our company or otherwise materially and adversely affect our business.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72"/>
        </w:trPr>
        <w:tc>
          <w:tcPr>
            <w:tcW w:w="6660" w:type="dxa"/>
            <w:vAlign w:val="bottom"/>
            <w:gridSpan w:val="9"/>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9"/>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180" w:type="dxa"/>
            <w:vAlign w:val="bottom"/>
            <w:gridSpan w:val="7"/>
          </w:tcPr>
          <w:p>
            <w:pPr>
              <w:ind w:left="88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3"/>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(d)</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Maximum</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number of shares</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7"/>
                <w:szCs w:val="17"/>
                <w:color w:val="auto"/>
              </w:rPr>
            </w:pPr>
          </w:p>
        </w:tc>
        <w:tc>
          <w:tcPr>
            <w:tcW w:w="102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(b)</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that may yet</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Total number</w:t>
            </w:r>
          </w:p>
        </w:tc>
        <w:tc>
          <w:tcPr>
            <w:tcW w:w="100" w:type="dxa"/>
            <w:vAlign w:val="bottom"/>
          </w:tcPr>
          <w:p>
            <w:pPr>
              <w:spacing w:after="0"/>
              <w:rPr>
                <w:sz w:val="17"/>
                <w:szCs w:val="17"/>
                <w:color w:val="auto"/>
              </w:rPr>
            </w:pPr>
          </w:p>
        </w:tc>
        <w:tc>
          <w:tcPr>
            <w:tcW w:w="10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Average</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be purchased</w:t>
            </w:r>
          </w:p>
        </w:tc>
      </w:tr>
      <w:tr>
        <w:trPr>
          <w:trHeight w:val="193"/>
        </w:trPr>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line="193" w:lineRule="exact"/>
              <w:rPr>
                <w:sz w:val="20"/>
                <w:szCs w:val="20"/>
                <w:color w:val="auto"/>
              </w:rPr>
            </w:pPr>
            <w:r>
              <w:rPr>
                <w:rFonts w:ascii="Arial" w:cs="Arial" w:eastAsia="Arial" w:hAnsi="Arial"/>
                <w:sz w:val="18"/>
                <w:szCs w:val="18"/>
                <w:b w:val="1"/>
                <w:bCs w:val="1"/>
                <w:color w:val="auto"/>
                <w:w w:val="99"/>
              </w:rPr>
              <w:t>of shares</w:t>
            </w:r>
          </w:p>
        </w:tc>
        <w:tc>
          <w:tcPr>
            <w:tcW w:w="1120" w:type="dxa"/>
            <w:vAlign w:val="bottom"/>
            <w:gridSpan w:val="3"/>
          </w:tcPr>
          <w:p>
            <w:pPr>
              <w:ind w:left="20"/>
              <w:spacing w:after="0" w:line="193" w:lineRule="exact"/>
              <w:rPr>
                <w:sz w:val="20"/>
                <w:szCs w:val="20"/>
                <w:color w:val="auto"/>
              </w:rPr>
            </w:pPr>
            <w:r>
              <w:rPr>
                <w:rFonts w:ascii="Arial" w:cs="Arial" w:eastAsia="Arial" w:hAnsi="Arial"/>
                <w:sz w:val="18"/>
                <w:szCs w:val="18"/>
                <w:b w:val="1"/>
                <w:bCs w:val="1"/>
                <w:color w:val="auto"/>
              </w:rPr>
              <w:t>price paid</w:t>
            </w:r>
          </w:p>
        </w:tc>
        <w:tc>
          <w:tcPr>
            <w:tcW w:w="14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6"/>
                <w:szCs w:val="16"/>
                <w:color w:val="auto"/>
              </w:rPr>
            </w:pPr>
          </w:p>
        </w:tc>
        <w:tc>
          <w:tcPr>
            <w:tcW w:w="15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under the plans</w:t>
            </w:r>
          </w:p>
        </w:tc>
      </w:tr>
      <w:tr>
        <w:trPr>
          <w:trHeight w:val="231"/>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00"/>
              <w:spacing w:after="0" w:line="231"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or programs</w:t>
            </w:r>
          </w:p>
        </w:tc>
        <w:tc>
          <w:tcPr>
            <w:tcW w:w="220" w:type="dxa"/>
            <w:vAlign w:val="bottom"/>
          </w:tcPr>
          <w:p>
            <w:pPr>
              <w:spacing w:after="0"/>
              <w:rPr>
                <w:sz w:val="20"/>
                <w:szCs w:val="20"/>
                <w:color w:val="auto"/>
              </w:rPr>
            </w:pPr>
          </w:p>
        </w:tc>
        <w:tc>
          <w:tcPr>
            <w:tcW w:w="15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r>
      <w:tr>
        <w:trPr>
          <w:trHeight w:val="196"/>
        </w:trPr>
        <w:tc>
          <w:tcPr>
            <w:tcW w:w="2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April 1 to April 30, 2022</w:t>
            </w: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124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9,197,893</w:t>
            </w: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May 1 to May 31, 2022</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12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9,260,720</w:t>
            </w: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1 to June 30, 2022</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9,260,720</w:t>
            </w:r>
          </w:p>
        </w:tc>
      </w:tr>
      <w:tr>
        <w:trPr>
          <w:trHeight w:val="196"/>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80" w:type="dxa"/>
            <w:vAlign w:val="bottom"/>
            <w:tcBorders>
              <w:top w:val="single" w:sz="8" w:color="auto"/>
              <w:bottom w:val="single" w:sz="8" w:color="auto"/>
            </w:tcBorders>
          </w:tcPr>
          <w:p>
            <w:pPr>
              <w:ind w:left="1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Pr>
          <w:p>
            <w:pPr>
              <w:spacing w:after="0"/>
              <w:rPr>
                <w:sz w:val="7"/>
                <w:szCs w:val="7"/>
                <w:color w:val="auto"/>
              </w:rPr>
            </w:pPr>
          </w:p>
        </w:tc>
      </w:tr>
    </w:tbl>
    <w:p>
      <w:pPr>
        <w:spacing w:after="0" w:line="76" w:lineRule="exact"/>
        <w:rPr>
          <w:sz w:val="20"/>
          <w:szCs w:val="20"/>
          <w:color w:val="auto"/>
        </w:rPr>
      </w:pPr>
    </w:p>
    <w:p>
      <w:pPr>
        <w:ind w:left="660" w:right="340" w:hanging="652"/>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shares forfeited in satisfaction of tax obligations upon vesting of share-based awards under our existing long-term incentive plans.</w:t>
      </w:r>
    </w:p>
    <w:p>
      <w:pPr>
        <w:spacing w:after="0" w:line="45"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the terms of our stock repurchase program, we may repurchase shares of our common stock in an amount equal to any equity granted to our employees, officers and directors under our share-based compensation plans, including share-based awards under our existing long-term incentive plans and shares issued to our employees under our Employee Stock Purchase Plan (Note 9), and such shares increase the number of shares available for repurchase. For additional information regarding our stock repurchase program, see Note 11 to our 2021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640" w:type="dxa"/>
            <w:vAlign w:val="bottom"/>
            <w:tcBorders>
              <w:top w:val="single" w:sz="8" w:color="auto"/>
            </w:tcBorders>
            <w:gridSpan w:val="24"/>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2005 Amended and Restated Articles of Incorporation,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Second  Amended  and  Restated  By-Laws  of</w:t>
              </w:r>
            </w:hyperlink>
          </w:p>
        </w:tc>
        <w:tc>
          <w:tcPr>
            <w:tcW w:w="600" w:type="dxa"/>
            <w:vAlign w:val="bottom"/>
            <w:gridSpan w:val="15"/>
          </w:tcPr>
          <w:p>
            <w:pPr>
              <w:jc w:val="right"/>
              <w:ind w:right="240"/>
              <w:spacing w:after="0" w:line="182" w:lineRule="exact"/>
              <w:rPr>
                <w:rFonts w:ascii="Arial" w:cs="Arial" w:eastAsia="Arial" w:hAnsi="Arial"/>
                <w:sz w:val="18"/>
                <w:szCs w:val="18"/>
                <w:color w:val="0000EE"/>
                <w:w w:val="84"/>
              </w:rPr>
            </w:pPr>
            <w:hyperlink r:id="rId51">
              <w:r>
                <w:rPr>
                  <w:rFonts w:ascii="Arial" w:cs="Arial" w:eastAsia="Arial" w:hAnsi="Arial"/>
                  <w:sz w:val="18"/>
                  <w:szCs w:val="18"/>
                  <w:color w:val="0000EE"/>
                  <w:w w:val="84"/>
                </w:rPr>
                <w:t>Helix</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Energy Solutions Group, Inc., as amended.</w:t>
              </w:r>
            </w:hyperlink>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40" w:type="dxa"/>
            <w:vAlign w:val="bottom"/>
            <w:gridSpan w:val="24"/>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Amendment No. 1, dated as of July 1, 2022, to Loan,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Security  and  Guaranty  Agreement,  among  Helix</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Energy Solutions Group, Inc., Helix Well Ops Inc.,</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Helix</w:t>
              </w:r>
            </w:hyperlink>
          </w:p>
        </w:tc>
        <w:tc>
          <w:tcPr>
            <w:tcW w:w="1100" w:type="dxa"/>
            <w:vAlign w:val="bottom"/>
            <w:gridSpan w:val="2"/>
          </w:tcPr>
          <w:p>
            <w:pPr>
              <w:ind w:left="160"/>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Robotics</w:t>
              </w:r>
            </w:hyperlink>
          </w:p>
        </w:tc>
        <w:tc>
          <w:tcPr>
            <w:tcW w:w="1120" w:type="dxa"/>
            <w:vAlign w:val="bottom"/>
            <w:gridSpan w:val="4"/>
          </w:tcPr>
          <w:p>
            <w:pPr>
              <w:ind w:left="80"/>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Solutions,</w:t>
              </w:r>
            </w:hyperlink>
          </w:p>
        </w:tc>
        <w:tc>
          <w:tcPr>
            <w:tcW w:w="660" w:type="dxa"/>
            <w:vAlign w:val="bottom"/>
          </w:tcPr>
          <w:p>
            <w:pPr>
              <w:ind w:left="80"/>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Inc.,</w:t>
              </w:r>
            </w:hyperlink>
          </w:p>
        </w:tc>
        <w:tc>
          <w:tcPr>
            <w:tcW w:w="1120" w:type="dxa"/>
            <w:vAlign w:val="bottom"/>
            <w:gridSpan w:val="12"/>
          </w:tcPr>
          <w:p>
            <w:pPr>
              <w:jc w:val="right"/>
              <w:ind w:right="180"/>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Deepwater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Abandonment Alternatives, Inc., Helix Well Ops (U.K.)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Limited  and  Helix  Robotics  Solutions  Limited  as</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20" w:type="dxa"/>
            <w:vAlign w:val="bottom"/>
            <w:gridSpan w:val="18"/>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borrowers, the guarantors party thereto, the lenders</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party thereto, and Bank of America, N.A., as agent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security trustee for the lenders.</w:t>
              </w:r>
            </w:hyperlink>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Equity Purchase Agreement,</w:t>
              </w:r>
            </w:hyperlink>
          </w:p>
        </w:tc>
        <w:tc>
          <w:tcPr>
            <w:tcW w:w="2180" w:type="dxa"/>
            <w:vAlign w:val="bottom"/>
            <w:gridSpan w:val="18"/>
          </w:tcPr>
          <w:p>
            <w:pPr>
              <w:jc w:val="right"/>
              <w:ind w:right="260"/>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dated as of May 16,</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2022,  by  and  among  Helix  Alliance  Decom,  LLC,</w:t>
              </w:r>
            </w:hyperlink>
          </w:p>
        </w:tc>
        <w:tc>
          <w:tcPr>
            <w:tcW w:w="60" w:type="dxa"/>
            <w:vAlign w:val="bottom"/>
            <w:tcBorders>
              <w:bottom w:val="single" w:sz="8" w:color="0000EE"/>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gridSpan w:val="17"/>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Stephen J. Williams and Helix Energy Solutions Group,</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Inc. (solely for purposes of Sections 1.05(d) and 6.14).</w:t>
              </w:r>
            </w:hyperlink>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40" w:type="dxa"/>
            <w:vAlign w:val="bottom"/>
            <w:gridSpan w:val="24"/>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40" w:type="dxa"/>
            <w:vAlign w:val="bottom"/>
            <w:gridSpan w:val="24"/>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840" w:type="dxa"/>
            <w:vAlign w:val="bottom"/>
            <w:gridSpan w:val="20"/>
          </w:tcPr>
          <w:p>
            <w:pPr>
              <w:jc w:val="right"/>
              <w:ind w:right="240"/>
              <w:spacing w:after="0" w:line="182" w:lineRule="exact"/>
              <w:rPr>
                <w:sz w:val="20"/>
                <w:szCs w:val="20"/>
                <w:color w:val="auto"/>
              </w:rPr>
            </w:pPr>
            <w:r>
              <w:rPr>
                <w:rFonts w:ascii="Arial" w:cs="Arial" w:eastAsia="Arial" w:hAnsi="Arial"/>
                <w:sz w:val="18"/>
                <w:szCs w:val="18"/>
                <w:color w:val="0000EE"/>
              </w:rPr>
              <w:t>Chief  Executive  Officer  and</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Sarbanes–Oxley Act of 2002.</w:t>
            </w: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4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8"/>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64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640" w:type="dxa"/>
            <w:vAlign w:val="bottom"/>
            <w:gridSpan w:val="24"/>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640" w:type="dxa"/>
            <w:vAlign w:val="bottom"/>
            <w:gridSpan w:val="24"/>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640" w:type="dxa"/>
            <w:vAlign w:val="bottom"/>
            <w:gridSpan w:val="24"/>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640" w:type="dxa"/>
            <w:vAlign w:val="bottom"/>
            <w:gridSpan w:val="24"/>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w w:val="99"/>
              </w:rPr>
              <w:t>Linkbase Document.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480" w:right="40" w:hanging="1423"/>
        <w:spacing w:after="0" w:line="250"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-13970</wp:posOffset>
            </wp:positionV>
            <wp:extent cx="23914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rPr>
          <w:sz w:val="20"/>
          <w:szCs w:val="20"/>
          <w:color w:val="auto"/>
        </w:rPr>
      </w:pPr>
      <w:r>
        <w:rPr>
          <w:rFonts w:ascii="Arial" w:cs="Arial" w:eastAsia="Arial" w:hAnsi="Arial"/>
          <w:sz w:val="18"/>
          <w:szCs w:val="18"/>
          <w:color w:val="auto"/>
        </w:rPr>
        <w:t>Exhibit 3.1 to the Current Report on Form 8-K filed on September 28, 2006 (001-32936) Exhibit 4.1 to the Current Report on Form 8-K filed on July 1, 2022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Exhibit 2.1 to the Current Report on Form 8-K filed on July 1, 2022 (000-22739)</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3" w:right="10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June 30, 2022,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endash "/>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2"/>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0" Type="http://schemas.openxmlformats.org/officeDocument/2006/relationships/hyperlink" Target="https://www.sec.gov/Archives/edgar/data/0000866829/000095012906002103/h33539exv3w1.htm" TargetMode="External"/><Relationship Id="rId51" Type="http://schemas.openxmlformats.org/officeDocument/2006/relationships/hyperlink" Target="https://www.sec.gov/Archives/edgar/data/866829/000095012906008744/h39963exv3w1.htm" TargetMode="External"/><Relationship Id="rId52" Type="http://schemas.openxmlformats.org/officeDocument/2006/relationships/hyperlink" Target="https://www.sec.gov/Archives/edgar/data/866829/000086682922000014/hlx-20220701xex4d1.htm" TargetMode="External"/><Relationship Id="rId53" Type="http://schemas.openxmlformats.org/officeDocument/2006/relationships/hyperlink" Target="https://www.sec.gov/Archives/edgar/data/866829/000086682922000014/hlx-20220701x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2022-07-27T16:39:51Z</dcterms:created>
  <dcterms:modified xsi:type="dcterms:W3CDTF">2022-07-27T16:39:51Z</dcterms:modified>
</cp:coreProperties>
</file>