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3"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2"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69215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5"/>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2"/>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5"/>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 no par value</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vMerge w:val="continue"/>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jc w:val="both"/>
        <w:ind w:right="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2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2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49"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1" w:right="839" w:bottom="1440" w:gutter="0" w:footer="0" w:header="0"/>
          <w:type w:val="continuous"/>
        </w:sectPr>
      </w:pPr>
    </w:p>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As of October 20, 2025, 147,080,917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72390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66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40" w:type="dxa"/>
            <w:vAlign w:val="bottom"/>
            <w:gridSpan w:val="24"/>
          </w:tcPr>
          <w:p>
            <w:pPr>
              <w:spacing w:after="0" w:line="182" w:lineRule="exact"/>
              <w:rPr>
                <w:sz w:val="20"/>
                <w:szCs w:val="20"/>
                <w:color w:val="auto"/>
              </w:rPr>
            </w:pPr>
            <w:r>
              <w:rPr>
                <w:rFonts w:ascii="Arial" w:cs="Arial" w:eastAsia="Arial" w:hAnsi="Arial"/>
                <w:sz w:val="18"/>
                <w:szCs w:val="18"/>
                <w:color w:val="0000EE"/>
              </w:rPr>
              <w:t>Condensed Consolidated Balance Sheets – September 30, 2025 (Unaudited) and December 31,</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2024</w:t>
            </w:r>
          </w:p>
        </w:tc>
        <w:tc>
          <w:tcPr>
            <w:tcW w:w="2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Operations (Unaudited) – Three and nine months ended</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September 30, 2025 and 2024</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Comprehensive Income (Loss) (Unaudited) – Three and</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nine months ended September 30, 2025 and 2024</w:t>
            </w:r>
          </w:p>
        </w:tc>
        <w:tc>
          <w:tcPr>
            <w:tcW w:w="2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Shareholders’ Equity (Unaudited) – Three and nine</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months ended September 30, 2025 and 2024</w:t>
            </w:r>
          </w:p>
        </w:tc>
        <w:tc>
          <w:tcPr>
            <w:tcW w:w="3660" w:type="dxa"/>
            <w:vAlign w:val="bottom"/>
            <w:tcBorders>
              <w:top w:val="single" w:sz="8" w:color="0000EE"/>
            </w:tcBorders>
            <w:gridSpan w:val="7"/>
          </w:tcPr>
          <w:p>
            <w:pPr>
              <w:spacing w:after="0"/>
              <w:rPr>
                <w:sz w:val="15"/>
                <w:szCs w:val="15"/>
                <w:color w:val="auto"/>
              </w:rPr>
            </w:pPr>
          </w:p>
        </w:tc>
        <w:tc>
          <w:tcPr>
            <w:tcW w:w="66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Cash Flows (Unaudited) – Nine months ended</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9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September 30, 2025 and 2024</w:t>
            </w:r>
          </w:p>
        </w:tc>
        <w:tc>
          <w:tcPr>
            <w:tcW w:w="160" w:type="dxa"/>
            <w:vAlign w:val="bottom"/>
          </w:tcPr>
          <w:p>
            <w:pPr>
              <w:spacing w:after="0"/>
              <w:rPr>
                <w:sz w:val="15"/>
                <w:szCs w:val="15"/>
                <w:color w:val="auto"/>
              </w:rPr>
            </w:pPr>
          </w:p>
        </w:tc>
        <w:tc>
          <w:tcPr>
            <w:tcW w:w="8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48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86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Controls and Procedures</w:t>
            </w:r>
          </w:p>
        </w:tc>
        <w:tc>
          <w:tcPr>
            <w:tcW w:w="32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OTHER INFORMATION</w:t>
            </w:r>
          </w:p>
        </w:tc>
        <w:tc>
          <w:tcPr>
            <w:tcW w:w="596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Risk Factors</w:t>
            </w:r>
          </w:p>
        </w:tc>
        <w:tc>
          <w:tcPr>
            <w:tcW w:w="694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Defaults Upon Senior Securities</w:t>
            </w:r>
          </w:p>
        </w:tc>
        <w:tc>
          <w:tcPr>
            <w:tcW w:w="31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Mine Safety Disclosures</w:t>
            </w:r>
          </w:p>
        </w:tc>
        <w:tc>
          <w:tcPr>
            <w:tcW w:w="540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2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gridSpan w:val="2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Signatures</w:t>
            </w:r>
          </w:p>
        </w:tc>
        <w:tc>
          <w:tcPr>
            <w:tcW w:w="70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196"/>
        </w:trPr>
        <w:tc>
          <w:tcPr>
            <w:tcW w:w="6700" w:type="dxa"/>
            <w:vAlign w:val="bottom"/>
            <w:shd w:val="clear" w:color="auto" w:fill="CCEEFF"/>
          </w:tcPr>
          <w:p>
            <w:pPr>
              <w:ind w:left="296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338,033</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368,030</w:t>
            </w:r>
          </w:p>
        </w:tc>
      </w:tr>
      <w:tr>
        <w:trPr>
          <w:trHeight w:val="184"/>
        </w:trPr>
        <w:tc>
          <w:tcPr>
            <w:tcW w:w="6700" w:type="dxa"/>
            <w:vAlign w:val="bottom"/>
          </w:tcPr>
          <w:p>
            <w:pPr>
              <w:ind w:left="120"/>
              <w:spacing w:after="0" w:line="183" w:lineRule="exact"/>
              <w:rPr>
                <w:sz w:val="20"/>
                <w:szCs w:val="20"/>
                <w:color w:val="auto"/>
              </w:rPr>
            </w:pPr>
            <w:r>
              <w:rPr>
                <w:rFonts w:ascii="Arial" w:cs="Arial" w:eastAsia="Arial" w:hAnsi="Arial"/>
                <w:sz w:val="18"/>
                <w:szCs w:val="18"/>
                <w:color w:val="auto"/>
              </w:rPr>
              <w:t>Accounts receivable, net of allowance for credit losses of $3,954 and $3,682,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67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359,607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258,630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100,600</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83,022</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798,240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709,682</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3,173,123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(1,765,891)</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(1,630,902)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1,407,232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1,437,853</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297,021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329,649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81,869</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71,718</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47,525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48,178</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2,631,887</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147,402</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144,793</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99,248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90,455</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202"/>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57,826</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59,982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314,120</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304,416</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297,828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305,971</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257,159</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285,984</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117,821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113,973</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70,084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66,971</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1,057,012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1,077,315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no par, 240,000 shares authorized, 147,081 and 150,243 shares</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1,221,626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1,252,253</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390,644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368,087</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(37,395)</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(100,575)</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1,574,875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1,519,765</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2,631,887</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2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20" w:type="dxa"/>
            <w:vAlign w:val="bottom"/>
            <w:gridSpan w:val="9"/>
          </w:tcPr>
          <w:p>
            <w:pPr>
              <w:jc w:val="center"/>
              <w:ind w:left="75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40" w:type="dxa"/>
            <w:vAlign w:val="bottom"/>
            <w:gridSpan w:val="3"/>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120" w:type="dxa"/>
            <w:vAlign w:val="bottom"/>
            <w:gridSpan w:val="7"/>
          </w:tcPr>
          <w:p>
            <w:pPr>
              <w:jc w:val="center"/>
              <w:ind w:left="11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376,960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957,312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310,941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276,754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848,807</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842,722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66,019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65,665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108,505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Gain (loss) on disposition of assets, net</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(18,168)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(21,125)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(55,634)</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(64,098)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tcPr>
          <w:p>
            <w:pPr>
              <w:spacing w:after="0" w:line="196" w:lineRule="exact"/>
              <w:rPr>
                <w:sz w:val="20"/>
                <w:szCs w:val="20"/>
                <w:color w:val="auto"/>
              </w:rPr>
            </w:pPr>
            <w:r>
              <w:rPr>
                <w:rFonts w:ascii="Arial" w:cs="Arial" w:eastAsia="Arial" w:hAnsi="Arial"/>
                <w:sz w:val="18"/>
                <w:szCs w:val="18"/>
                <w:color w:val="auto"/>
              </w:rPr>
              <w:t>Income from operations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47,851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44,640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52,871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96,557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(17,197)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41,252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39,034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36,182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w:t>
            </w: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19,169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13,625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22,083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29,514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22,557</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146,907</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151,914</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148,805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152,171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1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147,698</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154,851</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149,550</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155,038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43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35,516</w:t>
            </w:r>
          </w:p>
        </w:tc>
      </w:tr>
      <w:tr>
        <w:trPr>
          <w:trHeight w:val="184"/>
        </w:trPr>
        <w:tc>
          <w:tcPr>
            <w:tcW w:w="5120" w:type="dxa"/>
            <w:vAlign w:val="bottom"/>
          </w:tcPr>
          <w:p>
            <w:pPr>
              <w:spacing w:after="0" w:line="183" w:lineRule="exact"/>
              <w:rPr>
                <w:sz w:val="20"/>
                <w:szCs w:val="20"/>
                <w:color w:val="auto"/>
              </w:rPr>
            </w:pPr>
            <w:r>
              <w:rPr>
                <w:rFonts w:ascii="Arial" w:cs="Arial" w:eastAsia="Arial" w:hAnsi="Arial"/>
                <w:sz w:val="18"/>
                <w:szCs w:val="18"/>
                <w:color w:val="auto"/>
              </w:rPr>
              <w:t>Other comprehensive income (loss) - foreign currency</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1"/>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translation gain (loss), net of tax</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41,689</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35,272</w:t>
            </w:r>
          </w:p>
        </w:tc>
      </w:tr>
      <w:tr>
        <w:trPr>
          <w:trHeight w:val="196"/>
        </w:trPr>
        <w:tc>
          <w:tcPr>
            <w:tcW w:w="5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71,203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85,737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70,788</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0" w:type="dxa"/>
            <w:vAlign w:val="bottom"/>
            <w:gridSpan w:val="9"/>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0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2025</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146,986</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$ 1,219,477</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$ 368,561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1,568,776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(18,133)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1,521</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2025</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147,081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$ 1,221,626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$ 390,644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1,574,875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June 30, 2024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152,051</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$ 1,267,768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$ 318,452</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(89,432)</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1,678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Balance, September 30, 2024</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152,101</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$ 1,270,347</w:t>
            </w:r>
          </w:p>
        </w:tc>
        <w:tc>
          <w:tcPr>
            <w:tcW w:w="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$ 347,966</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(47,743)</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2024</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150,243</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$ 1,252,253</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$ 368,087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(100,575)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(4,643)</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(30,177)</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(30,177)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4,564</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2025</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147,081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$ 1,221,626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$ 390,644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1,574,875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2023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152,291</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$ 1,271,565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$ 312,450</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(83,015)</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(10,218)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Termination of capped calls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4,381</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5,104</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2024</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152,101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$ 1,270,347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$ 347,966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jc w:val="right"/>
              <w:ind w:right="67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7"/>
                <w:szCs w:val="17"/>
                <w:b w:val="1"/>
                <w:bCs w:val="1"/>
                <w:color w:val="auto"/>
              </w:rPr>
              <w:t>2025</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Net income</w:t>
            </w:r>
          </w:p>
        </w:tc>
        <w:tc>
          <w:tcPr>
            <w:tcW w:w="5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22,557</w:t>
            </w:r>
          </w:p>
        </w:tc>
        <w:tc>
          <w:tcPr>
            <w:tcW w:w="260" w:type="dxa"/>
            <w:vAlign w:val="bottom"/>
          </w:tcPr>
          <w:p>
            <w:pPr>
              <w:spacing w:after="0"/>
              <w:rPr>
                <w:sz w:val="16"/>
                <w:szCs w:val="16"/>
                <w:color w:val="auto"/>
              </w:rPr>
            </w:pPr>
          </w:p>
        </w:tc>
        <w:tc>
          <w:tcPr>
            <w:tcW w:w="480" w:type="dxa"/>
            <w:vAlign w:val="bottom"/>
            <w:gridSpan w:val="2"/>
          </w:tcPr>
          <w:p>
            <w:pPr>
              <w:jc w:val="right"/>
              <w:ind w:right="35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35,516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00" w:type="dxa"/>
            <w:vAlign w:val="bottom"/>
          </w:tcPr>
          <w:p>
            <w:pPr>
              <w:ind w:left="200"/>
              <w:spacing w:after="0" w:line="167" w:lineRule="exact"/>
              <w:rPr>
                <w:sz w:val="20"/>
                <w:szCs w:val="20"/>
                <w:color w:val="auto"/>
              </w:rPr>
            </w:pPr>
            <w:r>
              <w:rPr>
                <w:rFonts w:ascii="Arial" w:cs="Arial" w:eastAsia="Arial" w:hAnsi="Arial"/>
                <w:sz w:val="17"/>
                <w:szCs w:val="17"/>
                <w:color w:val="auto"/>
              </w:rPr>
              <w:t>Depreciation and amortization, excluding amortization of deferred recertification</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7"/>
                <w:szCs w:val="17"/>
                <w:color w:val="auto"/>
              </w:rPr>
              <w:t>and dry dock costs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101,026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105,532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deferred recertification and dry dock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42,506</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Deferred recertification and dry dock costs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(48,276)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(29,239)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Payment of earnout consideration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discount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177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1,533</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4,941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5,524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3,819</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Loss on disposition of assets,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Losses related to convertible senior notes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20,922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gains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(690)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(93,298)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12,741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(900)</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(13,778)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(15,175)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2,644</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32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2,722</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23,586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108,051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(10,646)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(10,780)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sale of assets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Proceeds from insurance recoveries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top w:val="single" w:sz="8" w:color="CCEEFF"/>
            </w:tcBorders>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(10,646)</w:t>
            </w: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(60,720)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(9,186)</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(8,749)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Proceeds from settlement of capped calls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4,381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(30,214)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(10,189)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(7,266)</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1,745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1,859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 of earnout consideration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(26,700)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(44,921)</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(105,574)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1,984</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decrease in cash and cash equivalents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(29,997)</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(8,071)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Pr>
          <w:p>
            <w:pPr>
              <w:spacing w:after="0" w:line="183" w:lineRule="exact"/>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368,030</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332,191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280" w:type="dxa"/>
            <w:vAlign w:val="bottom"/>
          </w:tcPr>
          <w:p>
            <w:pPr>
              <w:spacing w:after="0"/>
              <w:rPr>
                <w:sz w:val="15"/>
                <w:szCs w:val="15"/>
                <w:color w:val="auto"/>
              </w:rPr>
            </w:pPr>
          </w:p>
        </w:tc>
        <w:tc>
          <w:tcPr>
            <w:tcW w:w="3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338,033</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324,120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accounting principles generally accepted in the U.S. (“GAAP”).</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nine-month periods ended September 30, 2025 are not necessarily indicative of the results that may be expected for the year ending December 31, 2025. Our balance sheet as of December 31, 2024 included herein has been derived from the audited balance sheet as of December 31, 2024 included in our 2024 Annual Report on Form 10-K (our “2024 Form 10-K”). These unaudited condensed consolidated financial statements should be read in conjunction with the audited annual consolidated financial statements and notes thereto included in our 2024 Form 10-K.</w:t>
      </w:r>
    </w:p>
    <w:p>
      <w:pPr>
        <w:spacing w:after="0" w:line="180"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1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In December 2023, the Financial Accounting Standards Board (the “FASB”) issued accounting Standards Update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spacing w:after="0" w:line="180"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In November 2024, the FASB issued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w:t>
      </w:r>
    </w:p>
    <w:p>
      <w:pPr>
        <w:spacing w:after="0" w:line="2" w:lineRule="exact"/>
        <w:rPr>
          <w:sz w:val="20"/>
          <w:szCs w:val="20"/>
          <w:color w:val="auto"/>
        </w:rPr>
      </w:pPr>
    </w:p>
    <w:p>
      <w:pPr>
        <w:ind w:right="40" w:firstLine="8"/>
        <w:spacing w:after="0" w:line="23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spacing w:after="0" w:line="183"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We do not expect other recently issued accounting standards to have a material impact on our financial position, results of operations or cash flows when they become effective.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12"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Our services are key in supporting a global energy transition:</w:t>
      </w:r>
    </w:p>
    <w:p>
      <w:pPr>
        <w:spacing w:after="0" w:line="169" w:lineRule="exact"/>
        <w:rPr>
          <w:sz w:val="20"/>
          <w:szCs w:val="20"/>
          <w:color w:val="auto"/>
        </w:rPr>
      </w:pPr>
    </w:p>
    <w:p>
      <w:pPr>
        <w:ind w:left="680" w:right="720" w:hanging="321"/>
        <w:spacing w:after="0" w:line="24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safely and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and extend the lives of existing oil and gas reserves;</w:t>
      </w:r>
    </w:p>
    <w:p>
      <w:pPr>
        <w:spacing w:after="0" w:line="1"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are a full-field abandonment contractor and believe that regulatory push for plug and</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(“P&amp;A”) and transition to renewable energy will facilitate the continued growth of the abandonment market; and</w:t>
      </w:r>
    </w:p>
    <w:p>
      <w:pPr>
        <w:spacing w:after="0" w:line="1" w:lineRule="exact"/>
        <w:rPr>
          <w:rFonts w:ascii="Times New Roman" w:cs="Times New Roman" w:eastAsia="Times New Roman" w:hAnsi="Times New Roman"/>
          <w:sz w:val="18"/>
          <w:szCs w:val="18"/>
          <w:color w:val="auto"/>
        </w:rPr>
      </w:pPr>
    </w:p>
    <w:p>
      <w:pPr>
        <w:ind w:left="680" w:right="620" w:hanging="321"/>
        <w:spacing w:after="0" w:line="242"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Renewables </w:t>
      </w:r>
      <w:r>
        <w:rPr>
          <w:rFonts w:ascii="Arial" w:cs="Arial" w:eastAsia="Arial" w:hAnsi="Arial"/>
          <w:sz w:val="18"/>
          <w:szCs w:val="18"/>
          <w:color w:val="auto"/>
        </w:rPr>
        <w:t>— we are an established global leader in jet trenching and provide specialty support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developments (primarily offshore wind farms), including boulder removal and unexploded ordnance clearance.</w:t>
      </w:r>
    </w:p>
    <w:p>
      <w:pPr>
        <w:spacing w:after="0" w:line="179"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We provide a range of services to the oil and gas and renewable energy markets primarily in the Gulf of America (deepwater and shelf), U.S. East Coast, Brazil, North Sea, Asia Pacific and West Africa regions. Our North Sea operations and our Gulf of America shelf operations are usually subject to seasonal changes in activity levels, which generally peak in the summer months and decline in the winter months. Our services are segregated into four reportable business segments: Well Intervention, Robotics, Shallow Water Abandonment and Production Facilities.</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vessels,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spacing w:after="0" w:line="185"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predominantly in the Gulf of America shelf, including offshore oilfield decommissioning and ‎reclamation, well intervention, IRM, heavy lift and commercial diving services. Our Shallow Water Abandonment segment includes Helix Alliance that was acquired in July 2022, a vertically integrated company that offers a diversified fleet of marine assets including liftboats, offshore supply vessels (“OSVs”), dive support vessels (“DSVs”), a heavy lift derrick barge, a crew boat, P&amp;A systems and coiled tubing (“CT”) systems.</w:t>
      </w:r>
    </w:p>
    <w:p>
      <w:pPr>
        <w:spacing w:after="0" w:line="17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100" w:type="dxa"/>
            <w:vAlign w:val="bottom"/>
            <w:gridSpan w:val="3"/>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39,093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15,154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8)</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02"/>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25,707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31,874</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11,887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100,600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83,022</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1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3,428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3,365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47,525</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which may be used to offset certain payment obligations associated with the vessels at the end of their respective charter term.</w:t>
      </w:r>
    </w:p>
    <w:p>
      <w:pPr>
        <w:spacing w:after="0" w:line="4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present value of receivables for P&amp;A work to be performed by us on Droshky oil and gas properties we acquired from Marathon Oil Corporation in 2019.</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42,890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49,521</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2,607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10,278</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(Note 8)</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31,090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14,914</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22,661</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15,742</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99,248</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90,455</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8)</w:t>
            </w:r>
          </w:p>
        </w:tc>
        <w:tc>
          <w:tcPr>
            <w:tcW w:w="28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Asset retirement obligations (Note 12)</w:t>
            </w:r>
          </w:p>
        </w:tc>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67,266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62,947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2,818</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196"/>
        </w:trPr>
        <w:tc>
          <w:tcPr>
            <w:tcW w:w="3980" w:type="dxa"/>
            <w:vAlign w:val="bottom"/>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28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70,084</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66,971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2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9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9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23,378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67,957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65,475</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2,236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9,192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8,353</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14,920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36,609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41,324</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42,429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43,518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113,671</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115,082</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September 30, 2025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74,427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4,145</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65,768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3,532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54,059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3,011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57,070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46,804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12,937</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59,741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356,022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32,124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(64,434)</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(8,727)</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(73,161)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291,588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23,397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54,325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237,263</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19,896</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291,588</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23,397</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December 31, 2024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78,442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5,324</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55,933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3,368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86,257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15,736</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401,171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34,926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(80,564)</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(9,567)</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(90,131)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264,964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21,020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64"/>
        </w:trPr>
        <w:tc>
          <w:tcPr>
            <w:tcW w:w="8440" w:type="dxa"/>
            <w:vAlign w:val="bottom"/>
            <w:gridSpan w:val="4"/>
          </w:tcPr>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148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 years</w:t>
            </w:r>
          </w:p>
        </w:tc>
      </w:tr>
      <w:tr>
        <w:trPr>
          <w:trHeight w:val="239"/>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7.80 %</w:t>
            </w:r>
          </w:p>
        </w:tc>
        <w:tc>
          <w:tcPr>
            <w:tcW w:w="2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7.89 %</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66,229</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60,042</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Right-of-use assets related to new operating lease liabilities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14,776</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right="20" w:hanging="652"/>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operating lease additions are primarily related to the charter for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during the nine-month period ended September 30, 2025, and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Shelia Bordelon </w:t>
      </w:r>
      <w:r>
        <w:rPr>
          <w:rFonts w:ascii="Arial" w:cs="Arial" w:eastAsia="Arial" w:hAnsi="Arial"/>
          <w:sz w:val="18"/>
          <w:szCs w:val="18"/>
          <w:color w:val="auto"/>
        </w:rPr>
        <w:t>during the nine-month period ended September 30, 2024 (Note 13).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September 30, 2025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MARAD</w:t>
            </w:r>
          </w:p>
        </w:tc>
        <w:tc>
          <w:tcPr>
            <w:tcW w:w="260" w:type="dxa"/>
            <w:vAlign w:val="bottom"/>
          </w:tcPr>
          <w:p>
            <w:pPr>
              <w:spacing w:after="0"/>
              <w:rPr>
                <w:sz w:val="17"/>
                <w:szCs w:val="17"/>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2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Debt</w:t>
            </w: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5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9,644</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3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314,645</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discount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(1,009)</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(5,432)</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(6,164)</w:t>
            </w:r>
          </w:p>
        </w:tc>
      </w:tr>
      <w:tr>
        <w:trPr>
          <w:trHeight w:val="196"/>
        </w:trPr>
        <w:tc>
          <w:tcPr>
            <w:tcW w:w="5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13,913</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293,559</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307,472</w:t>
            </w:r>
          </w:p>
        </w:tc>
      </w:tr>
      <w:tr>
        <w:trPr>
          <w:trHeight w:val="203"/>
        </w:trPr>
        <w:tc>
          <w:tcPr>
            <w:tcW w:w="5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(9,644)</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r>
      <w:tr>
        <w:trPr>
          <w:trHeight w:val="196"/>
        </w:trPr>
        <w:tc>
          <w:tcPr>
            <w:tcW w:w="5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4,269</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293,559</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297,828</w:t>
            </w:r>
          </w:p>
        </w:tc>
      </w:tr>
      <w:tr>
        <w:trPr>
          <w:trHeight w:val="20"/>
        </w:trPr>
        <w:tc>
          <w:tcPr>
            <w:tcW w:w="2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76" w:lineRule="exact"/>
        <w:rPr>
          <w:sz w:val="20"/>
          <w:szCs w:val="20"/>
          <w:color w:val="auto"/>
        </w:rPr>
      </w:pPr>
    </w:p>
    <w:p>
      <w:pPr>
        <w:ind w:left="660" w:right="600" w:hanging="65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discount and debt issuance costs are amortized to interest expense over the term of the applicable debt agreement.</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Below is a summary of our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various amendments (collectively, the “Amended ABL Facility”). The Amended ABL Facility provides a $120 million asset-based revolving credit line that matures on August 2, 2029, with a springing maturity 91 days prior to the maturity of any outstanding indebtedness with a principal amount in excess of $ 50 million. The Amended ABL Facility permits us to request an increase of the facility of up to $30 million, subject to certain conditions.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September 30, 2025, we had no borrowings under the Amended ABL Facility, and our available borrowing capacity, based on the borrowing base, totaled $94.3 million, net of $1.5 million of letters of credit issued and includes $2.5 million of cash pledged to the facility.</w:t>
      </w:r>
    </w:p>
    <w:p>
      <w:pPr>
        <w:spacing w:after="0" w:line="179"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7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7"/>
          <w:szCs w:val="17"/>
          <w:color w:val="auto"/>
        </w:rPr>
        <w:t>U.S. borrowings under the Amended ABL Facility bear interest at the Term SOFR rate (also known as CME Term SOFR as administered by CME Group, Inc.) plus a margin of 1.50% to 2.00% or at a base rate plus a margin of 0.50%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8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In 2005, Helix’s subsidiary CDI-Title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CDI-Title XI for so long as the MARAD Debt remains outstanding. The MARAD Debt is payable in equal semi-annual installments through February 2027 and bears interest at a rate of 4.93%.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 (“2029 Notes”)</w:t>
      </w:r>
    </w:p>
    <w:p>
      <w:pPr>
        <w:spacing w:after="0" w:line="210"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redeem our former Convertible Senior Notes due 2026 (the “2026 Notes”). See details regarding the redemption of the 2026 Notes below.</w:t>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The 2029 Notes bear interest at a coupon interest rate of 9.75% per annum payable semi-annually in arrears on March 1 and September 1 of each year, beginning on March 1, 2024. The 2029 Notes mature on March 1, 2029 unless earlier redeemed or repurchased by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8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104.875%</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8"/>
              </w:rPr>
              <w:t>102.438%</w:t>
            </w: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2028 and thereafter</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100.000%</w:t>
            </w:r>
          </w:p>
        </w:tc>
      </w:tr>
    </w:tbl>
    <w:p>
      <w:pPr>
        <w:spacing w:after="0" w:line="18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spacing w:after="0" w:line="169"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spacing w:after="0" w:line="169"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 Redemption</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January 2024, we issued a notice for the redemption of the remaining $ 40.0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$ 60.2 million cash in March 2024 and recognized pre-tax losses of $20.9 million. These losses are reflected in “Losses related to convertible senior notes” in the accompanying condensed consolidated statement of operations. The 2026 Notes had a coupon interest rate of 6.75% per annum and an effective interest rate of 7.6%. For the nine-month period ended September 30, 2024, total interest expense related to the 2026 Notes was $0.4 million with coupon interest expense of $0.3 million and the amortization of debt issuance costs of $0.1 million.</w:t>
      </w:r>
    </w:p>
    <w:p>
      <w:pPr>
        <w:spacing w:after="0" w:line="18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counterparties to hedge the dilution risk of the 2026 Notes. Concurrent with the settlement of the 2026 Notes Redemptions in March 2024, we terminated the remaining 2026 Capped Calls and received $4.4 million in cash, recognizing an increase to “Common stock” in the shareholders’ equity section of the accompanying condensed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September 30, 2025, we were in compliance with these covenants.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8,241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24,733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25,594</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(8,537)</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17,197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17,057</w:t>
            </w: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July 4, 2025, the One Big Beautiful Bill Act was passed into law. The legislation provides us with benefits that are temporary in nature with no material impact on our income tax expense or effective tax rate for the three- and nine-month periods ended September 30, 2025.</w:t>
      </w:r>
    </w:p>
    <w:p>
      <w:pPr>
        <w:spacing w:after="0" w:line="16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For the three- and nine-month periods ended September 30, 2025, we recorded income tax provision of $19.2 million and $13.6 million, respectively, resulting in effective tax rates of 46.5% and 37.7% respectively. The effective tax rates for these periods were impacted by certain discrete items and the jurisdictional mix of earnings. For the three- and nine-month periods ended September 30, 2024, we recorded income tax provision of $9.5 million and $22.5 million, respectively, resulting in effective tax rates of 24.4% and 38.8%, respectively. The effective rate for the three-month period ended September 30, 2024 was impacted by certain non-deductible expenses and non-creditable foreign income taxes. The effective rate for the nine-month period ended September 30, 2024 was impacted by the non-deductibility of certain losses associated with the 2026 Notes Redemptions, which was characterized as a discrete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Repurchase Programs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 February 2023, our Board of Directors (our “Board”) authorized a share repurchase program to repurchase issued and outstanding shares of our common stock up to $200 million (the “2023 Repurchase Program”). As of September 30, 2025, approximately $128.4 million remained authorized for the repurchase of shares under the 2023 Repurchase Program. During the nine-month period ended September 30, 2025, we repurchased a total of 4,643,060 shares of our common stock pursuant to the 2023 Repurchase Program for approximately $30.0 million. During the nine-month period ended September 30, 2024, we repurchased a total of 937,585 shares of our common stock pursuant to the 2023 Repurchase Program for approximately $10.2 million.</w:t>
      </w:r>
    </w:p>
    <w:p>
      <w:pPr>
        <w:spacing w:after="0" w:line="18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as well as a plan established under Rule 10b5-1 under the Exchange Act, and may also be made through privately negotiated transactions or future plans, instructions or contracts established under Rule 10b5-1.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spacing w:after="0" w:line="16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We provide services to our customers in the following markets that are key to our energy transition strategy: Production maximization, Decommissioning and Renewables. The following tables provide information about disaggregated revenue by contract duration and by market strategy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Shallow Water</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Production</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120" w:type="dxa"/>
            <w:vAlign w:val="bottom"/>
          </w:tcPr>
          <w:p>
            <w:pPr>
              <w:spacing w:after="0"/>
              <w:rPr>
                <w:sz w:val="17"/>
                <w:szCs w:val="17"/>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Abandonment</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Facilities</w:t>
            </w: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0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Three months ended</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80,075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82,168</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70,777</w:t>
            </w:r>
          </w:p>
        </w:tc>
        <w:tc>
          <w:tcPr>
            <w:tcW w:w="20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233,020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113,130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17,239</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18,513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(8,807)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143,940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193,205</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99,407</w:t>
            </w: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74,642</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18,513</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(8,807)</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376,960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200" w:type="dxa"/>
            <w:vAlign w:val="bottom"/>
          </w:tcPr>
          <w:p>
            <w:pPr>
              <w:spacing w:after="0" w:line="175" w:lineRule="exact"/>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20" w:type="dxa"/>
            <w:vAlign w:val="bottom"/>
            <w:gridSpan w:val="2"/>
          </w:tcPr>
          <w:p>
            <w:pPr>
              <w:spacing w:after="0" w:line="231" w:lineRule="exact"/>
              <w:rPr>
                <w:sz w:val="20"/>
                <w:szCs w:val="20"/>
                <w:color w:val="auto"/>
              </w:rPr>
            </w:pPr>
            <w:r>
              <w:rPr>
                <w:rFonts w:ascii="Arial" w:cs="Arial" w:eastAsia="Arial" w:hAnsi="Arial"/>
                <w:sz w:val="18"/>
                <w:szCs w:val="18"/>
                <w:b w:val="1"/>
                <w:bCs w:val="1"/>
                <w:color w:val="auto"/>
              </w:rPr>
              <w:t xml:space="preserve">September 30, 2024 </w:t>
            </w:r>
            <w:r>
              <w:rPr>
                <w:rFonts w:ascii="Arial" w:cs="Arial" w:eastAsia="Arial" w:hAnsi="Arial"/>
                <w:sz w:val="26"/>
                <w:szCs w:val="26"/>
                <w:b w:val="1"/>
                <w:bCs w:val="1"/>
                <w:color w:val="auto"/>
                <w:vertAlign w:val="superscript"/>
              </w:rPr>
              <w:t>(1)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130,150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48,906</w:t>
            </w:r>
          </w:p>
        </w:tc>
        <w:tc>
          <w:tcPr>
            <w:tcW w:w="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44,463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35,620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18,185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20,695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(8,972)</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109,991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84,526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2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Nine months ended</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150,428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169,497</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132,898</w:t>
            </w:r>
          </w:p>
        </w:tc>
        <w:tc>
          <w:tcPr>
            <w:tcW w:w="20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452,763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397,937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66,524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55,431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(24,523)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504,549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548,365</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236,021</w:t>
            </w: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142,078</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55,431</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(24,583)</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957,312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200" w:type="dxa"/>
            <w:vAlign w:val="bottom"/>
          </w:tcPr>
          <w:p>
            <w:pPr>
              <w:spacing w:after="0" w:line="175" w:lineRule="exact"/>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20" w:type="dxa"/>
            <w:vAlign w:val="bottom"/>
            <w:gridSpan w:val="2"/>
          </w:tcPr>
          <w:p>
            <w:pPr>
              <w:spacing w:after="0" w:line="231" w:lineRule="exact"/>
              <w:rPr>
                <w:sz w:val="20"/>
                <w:szCs w:val="20"/>
                <w:color w:val="auto"/>
              </w:rPr>
            </w:pPr>
            <w:r>
              <w:rPr>
                <w:rFonts w:ascii="Arial" w:cs="Arial" w:eastAsia="Arial" w:hAnsi="Arial"/>
                <w:sz w:val="18"/>
                <w:szCs w:val="18"/>
                <w:b w:val="1"/>
                <w:bCs w:val="1"/>
                <w:color w:val="auto"/>
              </w:rPr>
              <w:t xml:space="preserve">September 30, 2024 </w:t>
            </w:r>
            <w:r>
              <w:rPr>
                <w:rFonts w:ascii="Arial" w:cs="Arial" w:eastAsia="Arial" w:hAnsi="Arial"/>
                <w:sz w:val="26"/>
                <w:szCs w:val="26"/>
                <w:b w:val="1"/>
                <w:bCs w:val="1"/>
                <w:color w:val="auto"/>
                <w:vertAlign w:val="superscript"/>
              </w:rPr>
              <w:t>(1)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5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417,716</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118,275</w:t>
            </w:r>
          </w:p>
        </w:tc>
        <w:tc>
          <w:tcPr>
            <w:tcW w:w="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(6,471)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185,958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97,809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28,147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70,247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(29,396)</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352,765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603,674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216,084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149,289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(35,867)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Production</w:t>
            </w:r>
          </w:p>
        </w:tc>
        <w:tc>
          <w:tcPr>
            <w:tcW w:w="2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Intercompany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Facilities</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2"/>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2025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2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65,350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33,591</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2,607</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18,513</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(3,804)</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13,071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Renewables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50,104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3,491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2,641</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tcBorders>
              <w:bottom w:val="single" w:sz="8" w:color="CCEEFF"/>
            </w:tcBorders>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193,205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99,407</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74,642</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18,513</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(8,807)</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376,960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460" w:type="dxa"/>
            <w:vAlign w:val="bottom"/>
            <w:gridSpan w:val="2"/>
          </w:tcPr>
          <w:p>
            <w:pPr>
              <w:spacing w:after="0" w:line="175"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80" w:type="dxa"/>
            <w:vAlign w:val="bottom"/>
            <w:gridSpan w:val="3"/>
          </w:tcPr>
          <w:p>
            <w:pPr>
              <w:spacing w:after="0" w:line="231" w:lineRule="exact"/>
              <w:rPr>
                <w:sz w:val="20"/>
                <w:szCs w:val="20"/>
                <w:color w:val="auto"/>
              </w:rPr>
            </w:pPr>
            <w:r>
              <w:rPr>
                <w:rFonts w:ascii="Arial" w:cs="Arial" w:eastAsia="Arial" w:hAnsi="Arial"/>
                <w:sz w:val="18"/>
                <w:szCs w:val="18"/>
                <w:b w:val="1"/>
                <w:bCs w:val="1"/>
                <w:color w:val="auto"/>
              </w:rPr>
              <w:t xml:space="preserve">September 30, 2024 </w:t>
            </w:r>
            <w:r>
              <w:rPr>
                <w:rFonts w:ascii="Arial" w:cs="Arial" w:eastAsia="Arial" w:hAnsi="Arial"/>
                <w:sz w:val="26"/>
                <w:szCs w:val="26"/>
                <w:b w:val="1"/>
                <w:bCs w:val="1"/>
                <w:color w:val="auto"/>
                <w:vertAlign w:val="superscript"/>
              </w:rPr>
              <w:t>(1)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92,323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34,541</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20,695</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(6,266)</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82,135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2,746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71,112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153,249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Renewables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42,804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174,613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84,526</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71,595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20,695</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4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Nine months ended</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2025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2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189,112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87,871</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4,953</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55,431</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(8,478)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328,889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353,809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24,320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137,049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Renewables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108,865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14,965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tcBorders>
              <w:bottom w:val="single" w:sz="8" w:color="CCEEFF"/>
            </w:tcBorders>
            <w:gridSpan w:val="2"/>
          </w:tcPr>
          <w:p>
            <w:pPr>
              <w:ind w:left="2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548,365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236,021</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142,078</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55,431</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957,312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460" w:type="dxa"/>
            <w:vAlign w:val="bottom"/>
            <w:gridSpan w:val="2"/>
          </w:tcPr>
          <w:p>
            <w:pPr>
              <w:spacing w:after="0" w:line="175" w:lineRule="exact"/>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80" w:type="dxa"/>
            <w:vAlign w:val="bottom"/>
            <w:gridSpan w:val="3"/>
          </w:tcPr>
          <w:p>
            <w:pPr>
              <w:spacing w:after="0" w:line="231" w:lineRule="exact"/>
              <w:rPr>
                <w:sz w:val="20"/>
                <w:szCs w:val="20"/>
                <w:color w:val="auto"/>
              </w:rPr>
            </w:pPr>
            <w:r>
              <w:rPr>
                <w:rFonts w:ascii="Arial" w:cs="Arial" w:eastAsia="Arial" w:hAnsi="Arial"/>
                <w:sz w:val="18"/>
                <w:szCs w:val="18"/>
                <w:b w:val="1"/>
                <w:bCs w:val="1"/>
                <w:color w:val="auto"/>
              </w:rPr>
              <w:t xml:space="preserve">September 30, 2024 </w:t>
            </w:r>
            <w:r>
              <w:rPr>
                <w:rFonts w:ascii="Arial" w:cs="Arial" w:eastAsia="Arial" w:hAnsi="Arial"/>
                <w:sz w:val="26"/>
                <w:szCs w:val="26"/>
                <w:b w:val="1"/>
                <w:bCs w:val="1"/>
                <w:color w:val="auto"/>
                <w:vertAlign w:val="superscript"/>
              </w:rPr>
              <w:t>(1)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270,301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73,573</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6,734</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70,247</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(23,704)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332,959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15,257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142,555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(11,812)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478,959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Renewables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117,469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603,674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216,084</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149,289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70,247</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(35,867)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60" w:hanging="652"/>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nine-month periods ended September 30, 2024, $8.1 million and $20.1 million, respectively, have been removed from Well Intervention segment revenues and related intersegment eliminations. See Note 11 regarding this change in prior year reported segment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0"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Net contract assets were $8.8 million as of September 30, 2025 and $12.2 million as of December 31, 2024 and are reflected in “Other current assets” in the accompanying condensed consolidated balance sheets (Note 3). The decrease in net contract assets was primarily attributable to less accrued revenues related to lump sum demobilization fees. We had no credit losses on our contract assets for the three- and nine-month periods ended September 30, 2025 and 2024.</w:t>
      </w:r>
    </w:p>
    <w:p>
      <w:pPr>
        <w:spacing w:after="0" w:line="174"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Net contract liabilities totaled $31.1 million as of September 30, 2025 and $15.6 million as of December 31, 2024 and are reflected as “Deferred revenue,” a component of “Accrued liabilities” and “Other non-current liabilities” in the accompanying condensed consolidated balance sheets (Note 3). The increase was primarily attributable to a larger amount of deferred mobilization fees for work that has not yet been completed as well as more prepayments on work not yet performed. Revenue recognized for the three- and nine-month periods ended September 30, 2025 included $19.8 million and $19.4 million, respectively, that were included in the contract liability balance at the beginning of each period. Revenue recognized for the three- and nine-month periods ended September 30, 2024 included $12.6 million and $34.4 million, respectively, that were included in the contract liability balance at the beginning of each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As of September 30, 2025, $ 1.3 billion related to unsatisfied performance obligations was expected to be recognized as revenue in the future, with $207.6 million, $542.0 million and $559.9 million in 2025, 2026 and 2027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September 30, 2025.</w:t>
      </w:r>
    </w:p>
    <w:p>
      <w:pPr>
        <w:spacing w:after="0" w:line="179" w:lineRule="exact"/>
        <w:rPr>
          <w:sz w:val="20"/>
          <w:szCs w:val="20"/>
          <w:color w:val="auto"/>
        </w:rPr>
      </w:pPr>
    </w:p>
    <w:p>
      <w:pPr>
        <w:ind w:right="1020" w:firstLine="648"/>
        <w:spacing w:after="0" w:line="271" w:lineRule="auto"/>
        <w:rPr>
          <w:sz w:val="20"/>
          <w:szCs w:val="20"/>
          <w:color w:val="auto"/>
        </w:rPr>
      </w:pPr>
      <w:r>
        <w:rPr>
          <w:rFonts w:ascii="Arial" w:cs="Arial" w:eastAsia="Arial" w:hAnsi="Arial"/>
          <w:sz w:val="18"/>
          <w:szCs w:val="18"/>
          <w:color w:val="auto"/>
        </w:rPr>
        <w:t>For the three- and nine-month periods ended September 30, 2025 and 2024, revenues recognized from performance obligations satisfied (or partially satisfied) in previous periods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Deferred contract costs are reflected as “Deferred costs,” a component of “Other current assets” and “Other assets, net” in the accompanying condensed consolidated balance sheets (Note 3). Our deferred contract costs totaled $29.1 million as of September 30, 2025 and $37.2 million as of December 31, 2024. For the three- and nine-month periods ended September 30, 2025, we recorded $20.5 million and $ 53.7 million, respectively, related to amortization of these deferred contract costs. For the three - and nine-month periods ended September 30, 2024, we recorded $9.9 million and $41.1 million, respectively, related to amortization of these deferred contract costs. There were no associated impairment losses for any period presented.</w:t>
      </w:r>
    </w:p>
    <w:p>
      <w:pPr>
        <w:spacing w:after="0" w:line="185" w:lineRule="exact"/>
        <w:rPr>
          <w:sz w:val="20"/>
          <w:szCs w:val="20"/>
          <w:color w:val="auto"/>
        </w:rPr>
      </w:pPr>
    </w:p>
    <w:p>
      <w:pPr>
        <w:ind w:right="1240" w:firstLine="648"/>
        <w:spacing w:after="0" w:line="477" w:lineRule="auto"/>
        <w:rPr>
          <w:sz w:val="20"/>
          <w:szCs w:val="20"/>
          <w:color w:val="auto"/>
        </w:rPr>
      </w:pPr>
      <w:r>
        <w:rPr>
          <w:rFonts w:ascii="Arial" w:cs="Arial" w:eastAsia="Arial" w:hAnsi="Arial"/>
          <w:sz w:val="18"/>
          <w:szCs w:val="18"/>
          <w:color w:val="auto"/>
        </w:rPr>
        <w:t xml:space="preserve">For additional information regarding revenue recognition, see Notes 2 and 11 to our 2024 Form 10-K. </w:t>
      </w:r>
      <w:r>
        <w:rPr>
          <w:rFonts w:ascii="Arial" w:cs="Arial" w:eastAsia="Arial" w:hAnsi="Arial"/>
          <w:sz w:val="18"/>
          <w:szCs w:val="18"/>
          <w:b w:val="1"/>
          <w:bCs w:val="1"/>
          <w:color w:val="auto"/>
        </w:rPr>
        <w:t>Note 9 — Earnings Per Share</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computations of the numerator (earnings) and denominator (shares) to derive the basic and diluted earnings per share (“EPS”) amounts presented on the face of the accompanying condensed consolidated statements of operations are as follows (in thousands,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September 30, 2025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September 30,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22,083</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29,514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Pr>
          <w:p>
            <w:pPr>
              <w:spacing w:after="0" w:line="196" w:lineRule="exact"/>
              <w:rPr>
                <w:sz w:val="20"/>
                <w:szCs w:val="20"/>
                <w:color w:val="auto"/>
              </w:rPr>
            </w:pPr>
            <w:r>
              <w:rPr>
                <w:rFonts w:ascii="Arial" w:cs="Arial" w:eastAsia="Arial" w:hAnsi="Arial"/>
                <w:sz w:val="18"/>
                <w:szCs w:val="18"/>
                <w:color w:val="auto"/>
              </w:rPr>
              <w:t>Net income available to common shareholders, basic</w:t>
            </w:r>
          </w:p>
        </w:tc>
        <w:tc>
          <w:tcPr>
            <w:tcW w:w="20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22,068</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146,907</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29,485</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151,914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Earnings per share, basic</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shareholders, 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22,068</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146,907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29,485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22,068</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147,698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29,486</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diluted</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September 30, 2025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22,557</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35,516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gridSpan w:val="2"/>
          </w:tcPr>
          <w:p>
            <w:pPr>
              <w:spacing w:after="0" w:line="196" w:lineRule="exact"/>
              <w:rPr>
                <w:sz w:val="20"/>
                <w:szCs w:val="20"/>
                <w:color w:val="auto"/>
              </w:rPr>
            </w:pPr>
            <w:r>
              <w:rPr>
                <w:rFonts w:ascii="Arial" w:cs="Arial" w:eastAsia="Arial" w:hAnsi="Arial"/>
                <w:sz w:val="18"/>
                <w:szCs w:val="18"/>
                <w:color w:val="auto"/>
              </w:rPr>
              <w:t>Net income available to common shareholders, basic</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22,541</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148,805</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35,480</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152,171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Earnings per share, basic</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shareholders, basic</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22,541</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148,805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35,480</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22,541</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149,550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35,481</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per share, diluted</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2026 Notes were excluded from the diluted EPS calculation as they were anti-dilutive (in thousands):</w:t>
      </w:r>
    </w:p>
    <w:p>
      <w:pPr>
        <w:spacing w:after="0" w:line="7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Nine Months Ended</w:t>
      </w:r>
    </w:p>
    <w:p>
      <w:pPr>
        <w:spacing w:after="0" w:line="14"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-1905</wp:posOffset>
            </wp:positionV>
            <wp:extent cx="1825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ind w:left="7500"/>
        <w:spacing w:after="0"/>
        <w:tabs>
          <w:tab w:leader="none" w:pos="904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tabs>
          <w:tab w:leader="none" w:pos="8080" w:val="left"/>
          <w:tab w:leader="none" w:pos="9380" w:val="left"/>
        </w:tabs>
        <w:rPr>
          <w:sz w:val="20"/>
          <w:szCs w:val="20"/>
          <w:color w:val="auto"/>
        </w:rPr>
      </w:pPr>
      <w:r>
        <w:rPr>
          <w:rFonts w:ascii="Arial" w:cs="Arial" w:eastAsia="Arial" w:hAnsi="Arial"/>
          <w:sz w:val="18"/>
          <w:szCs w:val="18"/>
          <w:color w:val="auto"/>
        </w:rPr>
        <w:t>2026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We have outstanding restricted stock units (“RSUs”) (Note 10) that can be settled in either cash or shares of our common stock, or a combination thereof, which are not included in the computation of diluted EPS as cash settlement is assumed.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As of September 30, 2025, there were approximately 8.1 million shares of our common stock available for issuance under the 2005 Incentive Plan, assuming outstanding performance share units (“PSUs”) vest in shares of our common stock at 100% of the original awards and outstanding RSUs are settled in cash. During the nine-month period ended September 30, 2025, the following grants of share-based awards were made under the 2005 Incentive Plan: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Vesting Period/Vesting Date</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443,401</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(2)</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397,264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December 31, 2027</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(3)</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2027</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our executive officers and certain other officers.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have restricted stock outstanding granted to members of our Board. For the three- and nine-month periods ended September 30, 2025, we recognized $0.2 million and $0.7 million, respectively, as share-based compensation related to restricted stock. For the three- and nine-month periods ended September 30, 2024, we recognized $0.1 million and $0.7 million, respectively, as share-based compensation related to restricted stock.</w:t>
      </w:r>
    </w:p>
    <w:p>
      <w:pPr>
        <w:spacing w:after="0" w:line="17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outstanding PSUs can be settled in either cash or shares of our common stock, or a combination thereof, at the discretion of the Compensation Committee of our Board upon vesting and generally have been accounted for as equity awards. Those PSUs consist of two components measured across a three-year performance period: (i) 50% containing a service and market condition based on the performance of our common stock against peer group companies, and (ii) 50% containing a service and performance condition based on cumulative total Free Cash Flow.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spacing w:after="0" w:line="18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For the three- and nine-month periods ended September 30, 2025, $1.3 million and $3.8 million, respectively, were recognized as share-based compensation related to PSUs. For the three- and nine-month periods ended September 30, 2024, $ 1.6 million and $ 4.4 million, respectively, were recognized as share-based compensation related to PSUs. In the first quarter 2025, based on the performance of our common stock price as compared to our performance peer group and our cumulative total Free Cash Flow, in each case over a three-year performance period, 1,065,705 PSUs granted in 2022 vested at 200%, resulting in 1,958,334 shares of our common stock with a total market value of $18.3 million and $1.6 million of cash.</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Our outstanding RSUs can be settled in either cash or shares of our common stock, or a combination thereof, at the discretion of the Compensation Committee of our Board upon vesting and generally have been accounted for as liability awards. For the three- and nine-month periods ended September 30, 2025, $0.8 million and $2.3 million, respectively, were recognized as compensation cost. For the three- and nine-month periods ended September 30, 2024, $1.5 million and $5.2 million, respectively, were recognized as compensation cost.</w:t>
      </w:r>
    </w:p>
    <w:p>
      <w:pPr>
        <w:spacing w:after="0" w:line="176"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During the nine-month period ended September 30, 2025 and the year ended December 31, 2024, we granted fixed-value cash awards of $6.7 million and $6.1 million, respectively, to select management employees under the 2005 Incentive Plan. The value of these cash awards is recognized on a straight-line basis over a vesting period of three years. For the three- and nine-month periods ended September 30, 2025, $1.3 million and $4.2 million, respectively, were recognized as compensation cost. For the three- and nine-month periods ended September 30, 2024, $1.4 million and $4.1 million, respectively, were recognized as compensation cost.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We sponsor a defined contribution 401(k) retirement plan in the U.S. We also contribute to various other defined contribution plans globally. For the three- and nine-month periods ended September 30, 2025, we made contributions to our defined contribution plans totaling $1.3 million and $4.2 million, respectively. For the three- and nine-month periods ended September 30, 2024, we made contributions to our defined contribution plans totaling $1.3 million and $4.1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10"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As of September 30, 2025, 0.7 million shares were available for issuance under the ESPP. The ESPP currently has a purchase limit of 260 shares per employee per purchase period.</w:t>
      </w:r>
    </w:p>
    <w:p>
      <w:pPr>
        <w:spacing w:after="0" w:line="154"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For more information regarding our employee benefit plans, including the 2005 Incentive Plan, the defined contribution plans and the ESPP, see Note 13 to our 2024 Form 10-K.</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12" w:lineRule="exact"/>
        <w:rPr>
          <w:sz w:val="20"/>
          <w:szCs w:val="20"/>
          <w:color w:val="auto"/>
        </w:rPr>
      </w:pPr>
    </w:p>
    <w:p>
      <w:pPr>
        <w:ind w:right="340" w:firstLine="648"/>
        <w:spacing w:after="0" w:line="244"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These reportable segments are strategic business units that utilize different mix of vessels and/or equipment to perform different types of services. All material intercompany transactions between the segments have been eliminated. See Note 2 for more information on our business segments.</w:t>
      </w:r>
    </w:p>
    <w:p>
      <w:pPr>
        <w:spacing w:after="0" w:line="176"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Three months ended</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193,205</w:t>
            </w:r>
          </w:p>
        </w:tc>
        <w:tc>
          <w:tcPr>
            <w:tcW w:w="32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90,600</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74,642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18,513</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376,960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193,205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99,407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74,642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18,513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385,767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376,960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(67,517)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(1,410)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Pr>
          <w:p>
            <w:pPr>
              <w:ind w:left="320"/>
              <w:spacing w:after="0" w:line="196" w:lineRule="exact"/>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20"/>
                <w:szCs w:val="20"/>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8,558</w:t>
            </w:r>
          </w:p>
        </w:tc>
        <w:tc>
          <w:tcPr>
            <w:tcW w:w="200" w:type="dxa"/>
            <w:vAlign w:val="bottom"/>
          </w:tcPr>
          <w:p>
            <w:pPr>
              <w:spacing w:after="0"/>
              <w:rPr>
                <w:sz w:val="20"/>
                <w:szCs w:val="20"/>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27,878</w:t>
            </w:r>
          </w:p>
        </w:tc>
        <w:tc>
          <w:tcPr>
            <w:tcW w:w="200" w:type="dxa"/>
            <w:vAlign w:val="bottom"/>
          </w:tcPr>
          <w:p>
            <w:pPr>
              <w:spacing w:after="0"/>
              <w:rPr>
                <w:sz w:val="20"/>
                <w:szCs w:val="20"/>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15,741</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5,381</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57,558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360" w:type="dxa"/>
            <w:vAlign w:val="bottom"/>
          </w:tcPr>
          <w:p>
            <w:pPr>
              <w:spacing w:after="0" w:line="183" w:lineRule="exact"/>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September 30, 2024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174,613</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75,554</w:t>
            </w:r>
          </w:p>
        </w:tc>
        <w:tc>
          <w:tcPr>
            <w:tcW w:w="5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71,557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20,695</w:t>
            </w:r>
          </w:p>
        </w:tc>
        <w:tc>
          <w:tcPr>
            <w:tcW w:w="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8,972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174,613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84,526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20,695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(150,718)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(56,331)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(57,697)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(12,033)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20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ind w:left="320"/>
              <w:spacing w:after="0" w:line="196" w:lineRule="exact"/>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16,109</w:t>
            </w:r>
          </w:p>
        </w:tc>
        <w:tc>
          <w:tcPr>
            <w:tcW w:w="2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24,158</w:t>
            </w:r>
          </w:p>
        </w:tc>
        <w:tc>
          <w:tcPr>
            <w:tcW w:w="20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8,808</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8,288</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57,363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Production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Intervention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Facilities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Borders>
              <w:top w:val="single" w:sz="8" w:color="CCEEFF"/>
            </w:tcBorders>
            <w:gridSpan w:val="3"/>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Nine months ended</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September 30, 2025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548,365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211,502</w:t>
            </w:r>
          </w:p>
        </w:tc>
        <w:tc>
          <w:tcPr>
            <w:tcW w:w="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142,014</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55,431</w:t>
            </w:r>
          </w:p>
        </w:tc>
        <w:tc>
          <w:tcPr>
            <w:tcW w:w="20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957,312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24,519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548,365</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236,021</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142,078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55,431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981,895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(24,583)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Borders>
              <w:bottom w:val="single" w:sz="8" w:color="CCEEFF"/>
            </w:tcBorders>
            <w:gridSpan w:val="3"/>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957,312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(512,187)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(171,725)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(126,328)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(4,146)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3"/>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20"/>
                <w:szCs w:val="20"/>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12,098</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52,269</w:t>
            </w:r>
          </w:p>
        </w:tc>
        <w:tc>
          <w:tcPr>
            <w:tcW w:w="200" w:type="dxa"/>
            <w:vAlign w:val="bottom"/>
          </w:tcPr>
          <w:p>
            <w:pPr>
              <w:spacing w:after="0"/>
              <w:rPr>
                <w:sz w:val="20"/>
                <w:szCs w:val="20"/>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1,943</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16,750</w:t>
            </w:r>
          </w:p>
        </w:tc>
        <w:tc>
          <w:tcPr>
            <w:tcW w:w="200" w:type="dxa"/>
            <w:vAlign w:val="bottom"/>
          </w:tcPr>
          <w:p>
            <w:pPr>
              <w:spacing w:after="0"/>
              <w:rPr>
                <w:sz w:val="20"/>
                <w:szCs w:val="20"/>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83,060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360" w:type="dxa"/>
            <w:vAlign w:val="bottom"/>
            <w:gridSpan w:val="3"/>
          </w:tcPr>
          <w:p>
            <w:pPr>
              <w:spacing w:after="0" w:line="183" w:lineRule="exact"/>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380" w:type="dxa"/>
            <w:vAlign w:val="bottom"/>
            <w:gridSpan w:val="4"/>
          </w:tcPr>
          <w:p>
            <w:pPr>
              <w:spacing w:after="0"/>
              <w:rPr>
                <w:sz w:val="20"/>
                <w:szCs w:val="20"/>
                <w:color w:val="auto"/>
              </w:rPr>
            </w:pPr>
            <w:r>
              <w:rPr>
                <w:rFonts w:ascii="Arial" w:cs="Arial" w:eastAsia="Arial" w:hAnsi="Arial"/>
                <w:sz w:val="18"/>
                <w:szCs w:val="18"/>
                <w:b w:val="1"/>
                <w:bCs w:val="1"/>
                <w:color w:val="auto"/>
              </w:rPr>
              <w:t>September 30, 2024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597,581</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186,536</w:t>
            </w: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149,063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70,247</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29,548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35,867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603,674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216,084</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149,289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70,247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gridSpan w:val="3"/>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CCEEFF"/>
            </w:tcBorders>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(515,440)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(146,155)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(136,830)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(52,732)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60" w:type="dxa"/>
            <w:vAlign w:val="bottom"/>
            <w:gridSpan w:val="3"/>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3"/>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Segment operating income (loss)</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64,087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58,008</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15,842</w:t>
            </w:r>
          </w:p>
        </w:tc>
        <w:tc>
          <w:tcPr>
            <w:tcW w:w="20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Intersegment amounts are derived primarily from equipment and services provided to other business segments. Beginning with the full-year 2024, certain intersegment revenues of Well Intervention are no longer evaluated by the CODM in his assessment of the segment’s results as those revenues are pass-through amounts related to non-core services. Accordingly, for the three- and nine-month periods ended September 30, 2024, $8.1 million and $20.1 million, respectively, have been removed from Well Intervention segment revenues and related intersegment eliminations. This change has no impact on our segment profit or our consolidated revenues and operating income (loss).</w:t>
      </w:r>
    </w:p>
    <w:p>
      <w:pPr>
        <w:spacing w:after="0" w:line="76" w:lineRule="exact"/>
        <w:rPr>
          <w:rFonts w:ascii="Arial" w:cs="Arial" w:eastAsia="Arial" w:hAnsi="Arial"/>
          <w:sz w:val="18"/>
          <w:szCs w:val="18"/>
          <w:color w:val="auto"/>
        </w:rPr>
      </w:pPr>
    </w:p>
    <w:p>
      <w:pPr>
        <w:ind w:left="660" w:right="180" w:hanging="652"/>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shown.</w:t>
      </w:r>
    </w:p>
    <w:p>
      <w:pPr>
        <w:spacing w:after="0" w:line="4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segment items relate to gain (loss) on disposition of assets, net.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65"/>
        </w:trPr>
        <w:tc>
          <w:tcPr>
            <w:tcW w:w="9100" w:type="dxa"/>
            <w:vAlign w:val="bottom"/>
            <w:gridSpan w:val="15"/>
          </w:tcPr>
          <w:p>
            <w:pPr>
              <w:ind w:left="660"/>
              <w:spacing w:after="0"/>
              <w:rPr>
                <w:sz w:val="20"/>
                <w:szCs w:val="20"/>
                <w:color w:val="auto"/>
              </w:rPr>
            </w:pPr>
            <w:r>
              <w:rPr>
                <w:rFonts w:ascii="Arial" w:cs="Arial" w:eastAsia="Arial" w:hAnsi="Arial"/>
                <w:sz w:val="18"/>
                <w:szCs w:val="18"/>
                <w:color w:val="auto"/>
              </w:rPr>
              <w:t>The table below provides a reconciliation of segment profit to income before income taxes (in thousands):</w:t>
            </w:r>
          </w:p>
        </w:tc>
        <w:tc>
          <w:tcPr>
            <w:tcW w:w="82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1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1280" w:type="dxa"/>
            <w:vAlign w:val="bottom"/>
            <w:tcBorders>
              <w:bottom w:val="single" w:sz="8" w:color="CCEEFF"/>
            </w:tcBorders>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Reconciliation of segment profit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51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Segment operating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57,558</w:t>
            </w:r>
          </w:p>
        </w:tc>
        <w:tc>
          <w:tcPr>
            <w:tcW w:w="10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57,363</w:t>
            </w:r>
          </w:p>
        </w:tc>
        <w:tc>
          <w:tcPr>
            <w:tcW w:w="8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83,060</w:t>
            </w:r>
          </w:p>
        </w:tc>
        <w:tc>
          <w:tcPr>
            <w:tcW w:w="100" w:type="dxa"/>
            <w:vAlign w:val="bottom"/>
          </w:tcPr>
          <w:p>
            <w:pPr>
              <w:spacing w:after="0"/>
              <w:rPr>
                <w:sz w:val="17"/>
                <w:szCs w:val="17"/>
                <w:color w:val="auto"/>
              </w:rPr>
            </w:pP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134,036</w:t>
            </w:r>
          </w:p>
        </w:tc>
      </w:tr>
      <w:tr>
        <w:trPr>
          <w:trHeight w:val="203"/>
        </w:trPr>
        <w:tc>
          <w:tcPr>
            <w:tcW w:w="51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(30,189)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(37,479)</w:t>
            </w:r>
          </w:p>
        </w:tc>
      </w:tr>
      <w:tr>
        <w:trPr>
          <w:trHeight w:val="203"/>
        </w:trPr>
        <w:tc>
          <w:tcPr>
            <w:tcW w:w="51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(5,689)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(17,057)</w:t>
            </w:r>
          </w:p>
        </w:tc>
      </w:tr>
      <w:tr>
        <w:trPr>
          <w:trHeight w:val="203"/>
        </w:trPr>
        <w:tc>
          <w:tcPr>
            <w:tcW w:w="51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r>
      <w:tr>
        <w:trPr>
          <w:trHeight w:val="203"/>
        </w:trPr>
        <w:tc>
          <w:tcPr>
            <w:tcW w:w="51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Other non-operating income (expense), net</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r>
      <w:tr>
        <w:trPr>
          <w:trHeight w:val="196"/>
        </w:trPr>
        <w:tc>
          <w:tcPr>
            <w:tcW w:w="5100" w:type="dxa"/>
            <w:vAlign w:val="bottom"/>
            <w:tcBorders>
              <w:top w:val="single" w:sz="8" w:color="CCEEFF"/>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items are also regularly provided to the CODM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4,663</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3,186</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10,646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44,004</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31,211</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107,982</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5,801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5,764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17,380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14,286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and eliminations</w:t>
            </w: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55,661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42,904</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143,532</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60" w:hanging="652"/>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 cash paid principally for the acquisition, construction, upgrade, modification and refurbishment of long-lived property and equipment.</w:t>
      </w:r>
    </w:p>
    <w:p>
      <w:pPr>
        <w:spacing w:after="0" w:line="45" w:lineRule="exact"/>
        <w:rPr>
          <w:rFonts w:ascii="Arial" w:cs="Arial" w:eastAsia="Arial" w:hAnsi="Arial"/>
          <w:sz w:val="18"/>
          <w:szCs w:val="18"/>
          <w:color w:val="auto"/>
        </w:rPr>
      </w:pPr>
    </w:p>
    <w:p>
      <w:pPr>
        <w:ind w:left="660" w:right="80" w:hanging="652"/>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aggregate of depreciation and amortization expense related to property and equipment and deferred recertification and dry dock costs, which is included within the segment expense captions “Direct cost of revenues” and “Selling, general and administrative expenses” as well as the line item caption “Corporate, eliminations and other” presented above.</w:t>
      </w:r>
    </w:p>
    <w:p>
      <w:pPr>
        <w:spacing w:after="0" w:line="16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We have not included a disclosure of total assets by segment as management’s focus is on operating performance and cash flow generation and the CODM does not regularly review segment asset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 Retirement Obligations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asset retirement obligations (“AROs”) relate to mature offshore oil and gas properties (Droshky and Thunder Hawk Field) that we acquired with the intention to perform decommissioning work at the end of their life cycles. The following table describes the changes in our AROs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62,947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Revisions in estimates</w:t>
            </w: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(4,010)</w:t>
            </w:r>
          </w:p>
        </w:tc>
      </w:tr>
      <w:tr>
        <w:trPr>
          <w:trHeight w:val="203"/>
        </w:trPr>
        <w:tc>
          <w:tcPr>
            <w:tcW w:w="6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4,319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4,224</w:t>
            </w: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AROs at September 30,</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67,266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61,570</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Our Well Intervention segment has long-term charter agreements with Sea1 Offshore (formerly Siem Offshore)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whose charter terms expire in December 2030 and December 2031, respectively. Our Robotics segment has long-term 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Shelia</w:t>
      </w:r>
      <w:r>
        <w:rPr>
          <w:rFonts w:ascii="Arial" w:cs="Arial" w:eastAsia="Arial" w:hAnsi="Arial"/>
          <w:sz w:val="18"/>
          <w:szCs w:val="18"/>
          <w:color w:val="auto"/>
        </w:rPr>
        <w:t xml:space="preserve"> </w:t>
      </w:r>
      <w:r>
        <w:rPr>
          <w:rFonts w:ascii="Arial" w:cs="Arial" w:eastAsia="Arial" w:hAnsi="Arial"/>
          <w:sz w:val="18"/>
          <w:szCs w:val="18"/>
          <w:i w:val="1"/>
          <w:iCs w:val="1"/>
          <w:color w:val="auto"/>
        </w:rPr>
        <w:t>Bordelon</w:t>
      </w:r>
      <w:r>
        <w:rPr>
          <w:rFonts w:ascii="Arial" w:cs="Arial" w:eastAsia="Arial" w:hAnsi="Arial"/>
          <w:sz w:val="18"/>
          <w:szCs w:val="18"/>
          <w:color w:val="auto"/>
        </w:rPr>
        <w:t>, the</w:t>
      </w:r>
      <w:r>
        <w:rPr>
          <w:rFonts w:ascii="Arial" w:cs="Arial" w:eastAsia="Arial" w:hAnsi="Arial"/>
          <w:sz w:val="18"/>
          <w:szCs w:val="18"/>
          <w:i w:val="1"/>
          <w:iCs w:val="1"/>
          <w:color w:val="auto"/>
        </w:rPr>
        <w:t xml:space="preserve"> North Sea Enabler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Glomar Wave</w:t>
      </w:r>
      <w:r>
        <w:rPr>
          <w:rFonts w:ascii="Arial" w:cs="Arial" w:eastAsia="Arial" w:hAnsi="Arial"/>
          <w:sz w:val="18"/>
          <w:szCs w:val="18"/>
          <w:color w:val="auto"/>
        </w:rPr>
        <w:t>, whose charter terms expire in December 2030, May 2028,</w:t>
      </w:r>
    </w:p>
    <w:p>
      <w:pPr>
        <w:jc w:val="both"/>
        <w:ind w:right="60"/>
        <w:spacing w:after="0" w:line="242" w:lineRule="auto"/>
        <w:rPr>
          <w:sz w:val="20"/>
          <w:szCs w:val="20"/>
          <w:color w:val="auto"/>
        </w:rPr>
      </w:pPr>
      <w:r>
        <w:rPr>
          <w:rFonts w:ascii="Arial" w:cs="Arial" w:eastAsia="Arial" w:hAnsi="Arial"/>
          <w:sz w:val="18"/>
          <w:szCs w:val="18"/>
          <w:color w:val="auto"/>
        </w:rPr>
        <w:t xml:space="preserve">June 2026, December 2025 and December 2025, respectively. In February 2025, our Robotics segment took delivery of the </w:t>
      </w:r>
      <w:r>
        <w:rPr>
          <w:rFonts w:ascii="Arial" w:cs="Arial" w:eastAsia="Arial" w:hAnsi="Arial"/>
          <w:sz w:val="18"/>
          <w:szCs w:val="18"/>
          <w:i w:val="1"/>
          <w:iCs w:val="1"/>
          <w:color w:val="auto"/>
        </w:rPr>
        <w:t xml:space="preserve">Trym </w:t>
      </w:r>
      <w:r>
        <w:rPr>
          <w:rFonts w:ascii="Arial" w:cs="Arial" w:eastAsia="Arial" w:hAnsi="Arial"/>
          <w:sz w:val="18"/>
          <w:szCs w:val="18"/>
          <w:color w:val="auto"/>
        </w:rPr>
        <w:t>with a three-year charter that expires in February 2028. On April 1, 2025, we extended the</w:t>
      </w:r>
      <w:r>
        <w:rPr>
          <w:rFonts w:ascii="Arial" w:cs="Arial" w:eastAsia="Arial" w:hAnsi="Arial"/>
          <w:sz w:val="18"/>
          <w:szCs w:val="18"/>
          <w:i w:val="1"/>
          <w:iCs w:val="1"/>
          <w:color w:val="auto"/>
        </w:rPr>
        <w:t xml:space="preserve"> Trym </w:t>
      </w:r>
      <w:r>
        <w:rPr>
          <w:rFonts w:ascii="Arial" w:cs="Arial" w:eastAsia="Arial" w:hAnsi="Arial"/>
          <w:sz w:val="18"/>
          <w:szCs w:val="18"/>
          <w:color w:val="auto"/>
        </w:rPr>
        <w:t>charter by one year to</w:t>
      </w:r>
      <w:r>
        <w:rPr>
          <w:rFonts w:ascii="Arial" w:cs="Arial" w:eastAsia="Arial" w:hAnsi="Arial"/>
          <w:sz w:val="18"/>
          <w:szCs w:val="18"/>
          <w:i w:val="1"/>
          <w:iCs w:val="1"/>
          <w:color w:val="auto"/>
        </w:rPr>
        <w:t xml:space="preserve"> </w:t>
      </w:r>
      <w:r>
        <w:rPr>
          <w:rFonts w:ascii="Arial" w:cs="Arial" w:eastAsia="Arial" w:hAnsi="Arial"/>
          <w:sz w:val="18"/>
          <w:szCs w:val="18"/>
          <w:color w:val="auto"/>
        </w:rPr>
        <w:t>April 1, 2029.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spacing w:after="0" w:line="169"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We are involved in various legal proceedings and other matters in the normal course of business, including claims under the General Maritime Laws of the United States and the Merchant Marine Act of 1920 (commonly referred to as the Jones Act), contract-related disputes and employee-related disputes. We recognize losses for contingencies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accrued for or covered by insurance, will have a material adverse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Statement of Cash Flow Information</w:t>
      </w:r>
    </w:p>
    <w:p>
      <w:pPr>
        <w:spacing w:after="0" w:line="21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The following table provides supplemental cash flow information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30,694</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25,331</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26,497</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were $1.4 million at September 30, 2025 and $0.1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Allowance for Credit Losses</w:t>
      </w:r>
    </w:p>
    <w:p>
      <w:pPr>
        <w:spacing w:after="0" w:line="212" w:lineRule="exact"/>
        <w:rPr>
          <w:sz w:val="20"/>
          <w:szCs w:val="20"/>
          <w:color w:val="auto"/>
        </w:rPr>
      </w:pPr>
    </w:p>
    <w:p>
      <w:pPr>
        <w:jc w:val="both"/>
        <w:ind w:right="240" w:firstLine="648"/>
        <w:spacing w:after="0" w:line="247"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3,407</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w:t>
            </w:r>
          </w:p>
        </w:tc>
        <w:tc>
          <w:tcPr>
            <w:tcW w:w="4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3,954</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3,882</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reflect reserves for expected credit losses during the respective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2025</w:t>
            </w:r>
          </w:p>
        </w:tc>
        <w:tc>
          <w:tcPr>
            <w:tcW w:w="120" w:type="dxa"/>
            <w:vAlign w:val="bottom"/>
          </w:tcPr>
          <w:p>
            <w:pPr>
              <w:spacing w:after="0"/>
              <w:rPr>
                <w:sz w:val="19"/>
                <w:szCs w:val="19"/>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 2024</w:t>
            </w:r>
          </w:p>
        </w:tc>
      </w:tr>
      <w:tr>
        <w:trPr>
          <w:trHeight w:val="168"/>
        </w:trPr>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50"/>
              <w:spacing w:after="0" w:line="168" w:lineRule="exact"/>
              <w:rPr>
                <w:sz w:val="20"/>
                <w:szCs w:val="20"/>
                <w:color w:val="auto"/>
              </w:rPr>
            </w:pPr>
            <w:r>
              <w:rPr>
                <w:rFonts w:ascii="Arial" w:cs="Arial" w:eastAsia="Arial" w:hAnsi="Arial"/>
                <w:sz w:val="18"/>
                <w:szCs w:val="18"/>
                <w:b w:val="1"/>
                <w:bCs w:val="1"/>
                <w:color w:val="auto"/>
              </w:rPr>
              <w:t>Principal</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2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1"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10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23,505</w:t>
            </w:r>
          </w:p>
        </w:tc>
      </w:tr>
      <w:tr>
        <w:trPr>
          <w:trHeight w:val="203"/>
        </w:trPr>
        <w:tc>
          <w:tcPr>
            <w:tcW w:w="43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313,500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319,500</w:t>
            </w:r>
          </w:p>
        </w:tc>
      </w:tr>
      <w:tr>
        <w:trPr>
          <w:trHeight w:val="196"/>
        </w:trPr>
        <w:tc>
          <w:tcPr>
            <w:tcW w:w="436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314,645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328,111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323,831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343,005</w:t>
            </w:r>
          </w:p>
        </w:tc>
      </w:tr>
      <w:tr>
        <w:trPr>
          <w:trHeight w:val="20"/>
        </w:trPr>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76" w:lineRule="exact"/>
        <w:rPr>
          <w:sz w:val="20"/>
          <w:szCs w:val="20"/>
          <w:color w:val="auto"/>
        </w:rPr>
      </w:pPr>
    </w:p>
    <w:p>
      <w:pPr>
        <w:ind w:left="660" w:right="60" w:hanging="65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discount and debt issuance costs. See Note 5 for additional disclosures on our long-term debt.</w:t>
      </w:r>
    </w:p>
    <w:p>
      <w:pPr>
        <w:spacing w:after="0" w:line="45" w:lineRule="exact"/>
        <w:rPr>
          <w:rFonts w:ascii="Arial" w:cs="Arial" w:eastAsia="Arial" w:hAnsi="Arial"/>
          <w:sz w:val="18"/>
          <w:szCs w:val="18"/>
          <w:color w:val="auto"/>
        </w:rPr>
      </w:pPr>
    </w:p>
    <w:p>
      <w:pPr>
        <w:ind w:left="660" w:right="460" w:hanging="65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estimated fair value was determined using Level 2 fair value inputs under the market approach, which was determined using quotes in inactive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0" w:lineRule="exact"/>
        <w:rPr>
          <w:sz w:val="20"/>
          <w:szCs w:val="20"/>
          <w:color w:val="auto"/>
        </w:rPr>
      </w:pPr>
    </w:p>
    <w:p>
      <w:pPr>
        <w:ind w:left="680" w:right="720" w:hanging="321"/>
        <w:spacing w:after="0" w:line="24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capital spending, share repurchases, working capital, debt and liquidity, cash flows, future operations expenditures or other financial items;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460" w:hanging="321"/>
        <w:spacing w:after="0" w:line="249"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both"/>
        <w:ind w:left="680" w:right="320" w:hanging="321"/>
        <w:spacing w:after="0" w:line="241"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energy transition and energy security;</w:t>
      </w:r>
    </w:p>
    <w:p>
      <w:pPr>
        <w:spacing w:after="0" w:line="8" w:lineRule="exact"/>
        <w:rPr>
          <w:rFonts w:ascii="Times New Roman" w:cs="Times New Roman" w:eastAsia="Times New Roman" w:hAnsi="Times New Roman"/>
          <w:sz w:val="18"/>
          <w:szCs w:val="18"/>
          <w:color w:val="auto"/>
        </w:rPr>
      </w:pPr>
    </w:p>
    <w:p>
      <w:pPr>
        <w:ind w:left="680" w:right="66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identify, effect and integrate mergers, acquisitions, joint ventures or other transactions and any subsequently identified legacy issues with respect thereto;</w:t>
      </w:r>
    </w:p>
    <w:p>
      <w:pPr>
        <w:ind w:left="680" w:right="520" w:hanging="321"/>
        <w:spacing w:after="0" w:line="248"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statements regarding the acquisition, construction, completion, upgrades to or maintenance and/or regulatory certification of vessels, systems or equipment and any anticipated costs or downtime related thereto;</w:t>
      </w:r>
    </w:p>
    <w:p>
      <w:pPr>
        <w:ind w:left="680" w:right="26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8" w:lineRule="exact"/>
        <w:rPr>
          <w:rFonts w:ascii="Times New Roman" w:cs="Times New Roman" w:eastAsia="Times New Roman" w:hAnsi="Times New Roman"/>
          <w:sz w:val="18"/>
          <w:szCs w:val="18"/>
          <w:color w:val="auto"/>
        </w:rPr>
      </w:pPr>
    </w:p>
    <w:p>
      <w:pPr>
        <w:ind w:left="680" w:right="34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ind w:left="680" w:right="2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sustainability initiatives and the successes thereon or regarding our environmental efforts, including with respect to greenhouse gas emissions;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management, including our ability to retain our senior management and other key employees;</w:t>
      </w: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share repurchase authorization or program;</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100" w:hanging="321"/>
        <w:spacing w:after="0" w:line="24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natural gas price volatility and the cyclical nature of the oil and gas market;</w:t>
      </w:r>
    </w:p>
    <w:p>
      <w:pPr>
        <w:spacing w:after="0" w:line="8" w:lineRule="exact"/>
        <w:rPr>
          <w:rFonts w:ascii="Times New Roman" w:cs="Times New Roman" w:eastAsia="Times New Roman" w:hAnsi="Times New Roman"/>
          <w:sz w:val="18"/>
          <w:szCs w:val="18"/>
          <w:color w:val="auto"/>
        </w:rPr>
      </w:pPr>
    </w:p>
    <w:p>
      <w:pPr>
        <w:ind w:left="680" w:right="12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geopolitical and domestic policy changes, including tariffs, that may negatively affect oil and gas production and/or pricing or adversely impact offshore renewable energy projects, costs of materials, regulations surrounding safe offshore well intervention, regulations of decommissioning offshore oil and gas wells, and global trade, economic growth and stability;</w:t>
      </w:r>
    </w:p>
    <w:p>
      <w:pPr>
        <w:spacing w:after="0" w:line="1" w:lineRule="exact"/>
        <w:rPr>
          <w:rFonts w:ascii="Times New Roman" w:cs="Times New Roman" w:eastAsia="Times New Roman" w:hAnsi="Times New Roman"/>
          <w:sz w:val="18"/>
          <w:szCs w:val="18"/>
          <w:color w:val="auto"/>
        </w:rPr>
      </w:pPr>
    </w:p>
    <w:p>
      <w:pPr>
        <w:jc w:val="both"/>
        <w:ind w:left="680" w:right="20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p>
      <w:pPr>
        <w:spacing w:after="0" w:line="1" w:lineRule="exact"/>
        <w:rPr>
          <w:rFonts w:ascii="Times New Roman" w:cs="Times New Roman" w:eastAsia="Times New Roman" w:hAnsi="Times New Roman"/>
          <w:sz w:val="18"/>
          <w:szCs w:val="18"/>
          <w:color w:val="auto"/>
        </w:rPr>
      </w:pPr>
    </w:p>
    <w:p>
      <w:pPr>
        <w:ind w:left="680" w:right="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amounts payable in connection therewith,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results of acquired properties and/or equipment;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8"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jc w:val="both"/>
        <w:ind w:left="680" w:right="280" w:hanging="321"/>
        <w:spacing w:after="0" w:line="234" w:lineRule="auto"/>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contracts by customers, suppliers and other counterparties;</w:t>
      </w:r>
    </w:p>
    <w:p>
      <w:pPr>
        <w:spacing w:after="0" w:line="26"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right="4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ind w:left="680" w:right="32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74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right="54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risk management activities and processes, including with respect to our cybersecurity initiatives and disclosures;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8" w:lineRule="exact"/>
        <w:rPr>
          <w:rFonts w:ascii="Times New Roman" w:cs="Times New Roman" w:eastAsia="Times New Roman" w:hAnsi="Times New Roman"/>
          <w:sz w:val="18"/>
          <w:szCs w:val="18"/>
          <w:color w:val="auto"/>
        </w:rPr>
      </w:pPr>
    </w:p>
    <w:p>
      <w:pPr>
        <w:ind w:left="680" w:right="90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right="48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stock price on our financing activities such as repurchases of our common stock under share repurchase programs;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sustainability initiatives and disclosures;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any future hedging activities;</w:t>
      </w:r>
    </w:p>
    <w:p>
      <w:pPr>
        <w:spacing w:after="0" w:line="8" w:lineRule="exact"/>
        <w:rPr>
          <w:rFonts w:ascii="Times New Roman" w:cs="Times New Roman" w:eastAsia="Times New Roman" w:hAnsi="Times New Roman"/>
          <w:sz w:val="18"/>
          <w:szCs w:val="18"/>
          <w:color w:val="auto"/>
        </w:rPr>
      </w:pPr>
    </w:p>
    <w:p>
      <w:pPr>
        <w:ind w:left="680" w:right="180" w:hanging="321"/>
        <w:spacing w:after="0" w:line="234" w:lineRule="auto"/>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management, including a loss of one or more key employees;</w:t>
      </w: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factors generally described in Item 1A. Risk Factors in our 2024 Form 10-K.</w:t>
      </w:r>
    </w:p>
    <w:p>
      <w:pPr>
        <w:spacing w:after="0" w:line="206"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2024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2024 Form 10-K that attempt to advise interested parties of the risks and factors that may affect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segment includes seven purpose-built well intervention vessels and 12 intervention systems. Our Robotics segment includes 39 work-class ROVs, six trenchers, three IROV boulder grabs, and robotics support vessels chartered on long-term, short-term and flexible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level of spending of offshore energy companies on operational activities and capital projects. The level of spending by our customers is significantly affected by the prevailing market prices for oil and natural gas, which are impacted by many factors including domestic and global economic conditions, hydrocarbon production and capacity, geopolitical issues, weather, global health, and various other factors. Demand for decommissioning is affected by commodity prices as well as governmental regulations and political forces globally.</w:t>
      </w:r>
    </w:p>
    <w:p>
      <w:pPr>
        <w:spacing w:after="0" w:line="17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well intervention assets and services.</w:t>
      </w:r>
    </w:p>
    <w:p>
      <w:pPr>
        <w:spacing w:after="0" w:line="179" w:lineRule="exact"/>
        <w:rPr>
          <w:sz w:val="20"/>
          <w:szCs w:val="20"/>
          <w:color w:val="auto"/>
        </w:rPr>
      </w:pPr>
    </w:p>
    <w:p>
      <w:pPr>
        <w:ind w:right="220" w:firstLine="648"/>
        <w:spacing w:after="0" w:line="244" w:lineRule="auto"/>
        <w:rPr>
          <w:sz w:val="20"/>
          <w:szCs w:val="20"/>
          <w:color w:val="auto"/>
        </w:rPr>
      </w:pPr>
      <w:r>
        <w:rPr>
          <w:rFonts w:ascii="Arial" w:cs="Arial" w:eastAsia="Arial" w:hAnsi="Arial"/>
          <w:sz w:val="18"/>
          <w:szCs w:val="18"/>
          <w:color w:val="auto"/>
        </w:rPr>
        <w:t>Once end-of-life oil and gas wells have depleted their production, we P&amp;A and decommission wells and infrastructure in our Well Intervention and Shallow Water Abandonment segments. We believe that our well intervention vessels have a competitive advantage in performing these services more efficiently than rigs, and with our suite of shallow water assets and capabilities, we are the only provider capable of providing all facets of decommissioning services in the Gulf of America shelf.</w:t>
      </w:r>
    </w:p>
    <w:p>
      <w:pPr>
        <w:spacing w:after="0" w:line="17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support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Environment</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Commodity prices remained volatile during the third quarter 2025 and averaged in the $60s during most of the quarter. The current market environment is uncertain following the ongoing escalation of tariffs globally and the production increases by the Organization of Petroleum Exporting Countries (“OPEC”) and other non-OPEC producer nations (collectively with OPEC members, “OPEC+”). The offshore oil and gas market continues to evaluate governmental regulations and changes thereto, including the ongoing effects of the U.K. government’s Energy Profits Levy (windfall tax), geopolitical instability and uncertainty, regional conflicts, unrest in the Middle East, and customer spending declines following mergers in the U.K. North Sea. These factors have shifted spending decisions of our customers into 2026, which has caused a slow-down in activity levels in the second half of 2025. These factors have also prolonged a supply and demand imbalance for offshore vessels, which has negatively impacted activity levels and rates in regions in which we operate.</w:t>
      </w:r>
    </w:p>
    <w:p>
      <w:pPr>
        <w:spacing w:after="0" w:line="169"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The international wind market continues to be robust, with continued activity and sanctioned work primarily in Europe and Asia Pacific. U.S. wind farm activity is uncertain following the 2025 Wind Energy Ban, a Presidential Memorandum issued in the U.S. in January 2025 temporarily withdrawing wind energy leasing in the U.S. Outer Continental Shelf.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We anticipate ongoing headwinds for our assets not under long-term contracts, namely in spot markets for our Well Intervention segment, specifically in the North Sea and on the </w:t>
      </w:r>
      <w:r>
        <w:rPr>
          <w:rFonts w:ascii="Arial" w:cs="Arial" w:eastAsia="Arial" w:hAnsi="Arial"/>
          <w:sz w:val="18"/>
          <w:szCs w:val="18"/>
          <w:i w:val="1"/>
          <w:iCs w:val="1"/>
          <w:color w:val="auto"/>
        </w:rPr>
        <w:t>Q4000</w:t>
      </w:r>
      <w:r>
        <w:rPr>
          <w:rFonts w:ascii="Arial" w:cs="Arial" w:eastAsia="Arial" w:hAnsi="Arial"/>
          <w:sz w:val="18"/>
          <w:szCs w:val="18"/>
          <w:color w:val="auto"/>
        </w:rPr>
        <w:t>, and in our Shallow Water Abandonment segment during the remainder of 2025 and into 2026, during which time we expect a soft rate environment and low potential utilization of our vessels and systems. Our performance should be supported by our backlog from new contracting and by increasing demand for our decommissioning services internationally, which should grow over mid- to long-term as the subsea tree base expands and as customers reduce their decommissioning obligations. We expect the demand for shallow water decommissioning services in the Gulf of America to improve over time as former owners address their decommissioning obligations related to oil and gas properties that have reverted to them following bankruptcies. We expect long-term growth in our renewables services as the global demand for energy increases and the international energy market continues offshore renewable energy developments.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backlog is represented by signed contracts. As of September 30, 2025, our consolidated backlog totaled approximately $1.3 billion, of which $208 million is expected to be performed over the remainder of 2025. Our various contracts with Shell and Subsea 7 globally, our contracts with Petrobras in Brazil, and our new multi-year trenching agreement with NKT in the North Sea represented approximately 80% of our total backlog as of September 30, 2025. Backlog is not necessarily a reliable indicator of revenues derived from our contracts as (i) services are often added but may sometimes be subtracted; (ii) contracts may be renegotiated, deferred, canceled and in many cases modified while in progress; and (iii)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22,083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35,516</w:t>
            </w: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19,169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13,625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22,547</w:t>
            </w: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5,689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17,197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17,057</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2,647</w:t>
            </w:r>
          </w:p>
        </w:tc>
      </w:tr>
      <w:tr>
        <w:trPr>
          <w:trHeight w:val="203"/>
        </w:trPr>
        <w:tc>
          <w:tcPr>
            <w:tcW w:w="51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55,661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42,904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143,532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132,728</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103,512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87,676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197,814</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210,495</w:t>
            </w:r>
          </w:p>
        </w:tc>
      </w:tr>
      <w:tr>
        <w:trPr>
          <w:trHeight w:val="196"/>
        </w:trPr>
        <w:tc>
          <w:tcPr>
            <w:tcW w:w="5100" w:type="dxa"/>
            <w:vAlign w:val="bottom"/>
          </w:tcPr>
          <w:p>
            <w:pPr>
              <w:ind w:left="12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on disposition of assets, net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General provision for current expected credit losses</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r>
      <w:tr>
        <w:trPr>
          <w:trHeight w:val="196"/>
        </w:trPr>
        <w:tc>
          <w:tcPr>
            <w:tcW w:w="510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103,671</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198,086</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231,506</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23,586</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108,051</w:t>
            </w:r>
          </w:p>
        </w:tc>
      </w:tr>
      <w:tr>
        <w:trPr>
          <w:trHeight w:val="184"/>
        </w:trPr>
        <w:tc>
          <w:tcPr>
            <w:tcW w:w="6800" w:type="dxa"/>
            <w:vAlign w:val="bottom"/>
          </w:tcPr>
          <w:p>
            <w:pPr>
              <w:ind w:left="120"/>
              <w:spacing w:after="0" w:line="183" w:lineRule="exact"/>
              <w:rPr>
                <w:sz w:val="20"/>
                <w:szCs w:val="20"/>
                <w:color w:val="auto"/>
              </w:rPr>
            </w:pPr>
            <w:r>
              <w:rPr>
                <w:rFonts w:ascii="Arial" w:cs="Arial" w:eastAsia="Arial" w:hAnsi="Arial"/>
                <w:sz w:val="18"/>
                <w:szCs w:val="18"/>
                <w:color w:val="auto"/>
              </w:rPr>
              <w:t>Less: Capital expenditures, net of proceeds from asset sales and insurance</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recoveries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(10,317)</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12,940</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97,734</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6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307,472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Cash and cash equivalents</w:t>
            </w:r>
          </w:p>
        </w:tc>
        <w:tc>
          <w:tcPr>
            <w:tcW w:w="2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(338,033)</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(368,030)</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2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(30,561)</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(52,873)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60" w:type="dxa"/>
            <w:vAlign w:val="bottom"/>
            <w:vMerge w:val="restart"/>
          </w:tcPr>
          <w:p>
            <w:pPr>
              <w:jc w:val="right"/>
              <w:ind w:right="165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1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2025 and 2024</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The following table details our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193,205</w:t>
            </w:r>
          </w:p>
        </w:tc>
        <w:tc>
          <w:tcPr>
            <w:tcW w:w="120" w:type="dxa"/>
            <w:vAlign w:val="bottom"/>
          </w:tcPr>
          <w:p>
            <w:pPr>
              <w:spacing w:after="0"/>
              <w:rPr>
                <w:sz w:val="17"/>
                <w:szCs w:val="17"/>
                <w:color w:val="auto"/>
              </w:rPr>
            </w:pP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174,613</w:t>
            </w:r>
          </w:p>
        </w:tc>
        <w:tc>
          <w:tcPr>
            <w:tcW w:w="1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18,592</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14,881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74,642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71,595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(2,182)</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(8,807)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376,960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12,439</w:t>
            </w:r>
          </w:p>
        </w:tc>
        <w:tc>
          <w:tcPr>
            <w:tcW w:w="120" w:type="dxa"/>
            <w:vAlign w:val="bottom"/>
          </w:tcPr>
          <w:p>
            <w:pPr>
              <w:spacing w:after="0"/>
              <w:rPr>
                <w:sz w:val="17"/>
                <w:szCs w:val="17"/>
                <w:color w:val="auto"/>
              </w:rPr>
            </w:pP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20,110</w:t>
            </w:r>
          </w:p>
        </w:tc>
        <w:tc>
          <w:tcPr>
            <w:tcW w:w="1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(7,671)</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3,797</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10,810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6,884</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(2,774)</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31 %</w:t>
            </w: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24 %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31 %</w:t>
            </w: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76 %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97 %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 63 %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 77 %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92 %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96 %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 67 %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 76 %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42 %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25 %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43" w:lineRule="exact"/>
        <w:rPr>
          <w:rFonts w:ascii="Arial" w:cs="Arial" w:eastAsia="Arial" w:hAnsi="Arial"/>
          <w:sz w:val="17"/>
          <w:szCs w:val="17"/>
          <w:color w:val="auto"/>
        </w:rPr>
      </w:pPr>
    </w:p>
    <w:p>
      <w:pPr>
        <w:ind w:left="660" w:right="80" w:hanging="652"/>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(excluding vessel charter off-hire days) in the applicable period.</w:t>
      </w:r>
    </w:p>
    <w:p>
      <w:pPr>
        <w:spacing w:after="0" w:line="6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Robotics</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8,807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196"/>
        </w:trPr>
        <w:tc>
          <w:tcPr>
            <w:tcW w:w="54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September 30, 2025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as compared to the same period in 2024, primarily reflecting higher revenues in our Well Intervention, Robotics and Shallow Water Abandonment business segments, offset in part by lower revenues in our Production Facilities segment.</w:t>
      </w:r>
    </w:p>
    <w:p>
      <w:pPr>
        <w:spacing w:after="0" w:line="16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Our Well Intervention revenues increased by 11% for the three-month period ended September 30, 2025 as compared to the same period in 2024, primarily reflecting fewer transit and mobilization days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and higher rates in Brazil, offset in part by lower utilization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During the third quarter 2024,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incurred approximately 38 days of paid transit and mobilization during which period revenues and costs were deferred and not recognized. Revenues increased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which operated at higher contractual rates as compared to the third quarter 2024. Revenues decreased on the </w:t>
      </w:r>
      <w:r>
        <w:rPr>
          <w:rFonts w:ascii="Arial" w:cs="Arial" w:eastAsia="Arial" w:hAnsi="Arial"/>
          <w:sz w:val="18"/>
          <w:szCs w:val="18"/>
          <w:i w:val="1"/>
          <w:iCs w:val="1"/>
          <w:color w:val="auto"/>
        </w:rPr>
        <w:t>Seawell</w:t>
      </w:r>
      <w:r>
        <w:rPr>
          <w:rFonts w:ascii="Arial" w:cs="Arial" w:eastAsia="Arial" w:hAnsi="Arial"/>
          <w:sz w:val="18"/>
          <w:szCs w:val="18"/>
          <w:color w:val="auto"/>
        </w:rPr>
        <w:t>, which was warm-stacked during the third quarter 2025 as compared to having near full utilization during the third quarter 2024.</w:t>
      </w:r>
    </w:p>
    <w:p>
      <w:pPr>
        <w:spacing w:after="0" w:line="185" w:lineRule="exact"/>
        <w:rPr>
          <w:sz w:val="20"/>
          <w:szCs w:val="20"/>
          <w:color w:val="auto"/>
        </w:rPr>
      </w:pPr>
    </w:p>
    <w:p>
      <w:pPr>
        <w:ind w:right="80" w:firstLine="648"/>
        <w:spacing w:after="0" w:line="254" w:lineRule="auto"/>
        <w:rPr>
          <w:sz w:val="20"/>
          <w:szCs w:val="20"/>
          <w:color w:val="auto"/>
        </w:rPr>
      </w:pPr>
      <w:r>
        <w:rPr>
          <w:rFonts w:ascii="Arial" w:cs="Arial" w:eastAsia="Arial" w:hAnsi="Arial"/>
          <w:sz w:val="17"/>
          <w:szCs w:val="17"/>
          <w:color w:val="auto"/>
        </w:rPr>
        <w:t>Our Robotics revenues increased by 18% for the three-month period ended September 30, 2025 as compared to the same period in 2024, primarily reflecting higher rates on our chartered vessels and increased site clearance and third-party trenching activities, offset in part by fewer integrated vessel trenching days and lower overall ROV utilization. The third quarter 2025 included 536 chartered vessel days (including 28 spot vessel days at full utilization), which included 192 days of site clearance operations using three IROV boulder grabs, as compared to 532 chartered vessel days (including 92 spot vessel days at full utilization), which included 92 days of site clearance operations using one IROV boulder grab, during the third quarter 2024. The third quarter 2025 also included 165 days of trenching on third-party vessels with the T-1400-1 and T-1400-2 jet trenchers as compared to 92 days with the i-Plough during the third quarter 2024. Integrated vessel trenching decreased to 210 days during the third quarter 2025 as compared to 249 days during the third quarter 2024, and ROV utilization decreased to 63% during the third quarter 2025 as compared to 77% during the third quarter 2024.</w:t>
      </w:r>
    </w:p>
    <w:p>
      <w:pPr>
        <w:spacing w:after="0" w:line="172"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Our Shallow Water Abandonment revenues increased by 4% for the three-month period ended September 30, 2025 as compared to the same period in 2024, primarily reflecting higher utilization on our systems, offset in part by lower rates on our systems and lower overall utilization and rates on our vessels during the third quarter 2025. Utilization on P&amp;A systems and CT systems increased to 1,003 days, or 42%, during the third quarter 2025 as compared to 607 days, or 25%, during the third quarter 2024. Overall vessel utilization was 67% during the third quarter 2025 as compared to 76% during the third quarter 2024.</w:t>
      </w:r>
    </w:p>
    <w:p>
      <w:pPr>
        <w:spacing w:after="0" w:line="17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Our Production Facilities revenues decreased by 11% for the three-month period ended September 30, 2025 as compared to the same period in 2024, primarily reflecting lower oil and gas production and prices, offset in part by higher HFRS revenues during the third quarter 2025. The Thunder Hawk field remained shut in during the entire third quarter 2025 whereas the field had one month of production prior to being shut in during the third quarter 2024. Additionally, oil prices were approximately $10 per barrel lower during the third quarter 2025 as compared to the third quarter 2024. HFRS rates were higher during the third quarter 2025 as compared to the third quarter 2024.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increased slightly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as compared to the same period in 2024, primarily reflecting increased profitability from our Robotics and Shallow Water Abandonment business segments, offset in part by reduced profitability from our Well Intervention and Production Facilities segments.</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Our Well Intervention gross profit decreased by $7.7 million for the three-month period ended September 30, 2025 as compared to the same period in 2024, primarily reflecting higher costs during the third quarter 2025 due to acceleration of the amortization of deferred regulatory costs related to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a higher number of transit and mobilization days during the third quarter 2024 over which period costs were deferred, offset in part by higher revenues during the third quarter 2025.</w:t>
      </w:r>
    </w:p>
    <w:p>
      <w:pPr>
        <w:spacing w:after="0" w:line="17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Our Robotics gross profit increased by $3.8 million for the three-month period ended September 30, 2025 as compared to the same period in 2024, primarily reflecting higher rates, offset in part by higher costs and lower margins on certain projects due to the mix of contracting during the third quarter 2025.</w:t>
      </w:r>
    </w:p>
    <w:p>
      <w:pPr>
        <w:spacing w:after="0" w:line="169"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Our Shallow Water Abandonment gross profit increased by $6.9 million for the three-month period ended September 30, 2025 as compared to the same period in 2024 primarily due to higher revenues and lower costs during the third quarter 2025.</w:t>
      </w:r>
    </w:p>
    <w:p>
      <w:pPr>
        <w:spacing w:after="0" w:line="169"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Our Production Facilities gross profit decreased by $2.8 million for the three-month period ended September 30, 2025 as compared to the same period in 2024 primarily due to lower revenues during the third quarter 2025.</w:t>
      </w:r>
    </w:p>
    <w:p>
      <w:pPr>
        <w:spacing w:after="0" w:line="15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$18.2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September 30, 2025 as compared to $21.1 million for the same period in 2024, primarily reflecting lower employee compensation costs.</w:t>
      </w:r>
    </w:p>
    <w:p>
      <w:pPr>
        <w:spacing w:after="0" w:line="16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$ 1.0 million for the three-month period ended September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 minimal net other expense for the same period in 2024. Net other expense primarily includes net foreign currency losses related to the British pound on our U.K. subsidiaries’ foreign currency positions.</w:t>
      </w:r>
    </w:p>
    <w:p>
      <w:pPr>
        <w:spacing w:after="0" w:line="16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$19.2 million for the three-month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$9.5 million for the same period in 2024. The effective tax rate for the third quarter 2025 was impacted by certain discrete items and the jurisdictional mix of earnings. The effective rate for the third quarter 2024 was impacted by certain non-deductible expenses and non-creditable foreign income taxes.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2025 and 2024</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The following table details our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548,365</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603,674</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(55,309)</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236,021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216,084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19,937</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142,078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149,289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(7,211)</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55,431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70,247</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(14,816)</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(24,583)</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(35,867)</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11,284</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957,312</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(46,115)</w:t>
            </w:r>
          </w:p>
        </w:tc>
        <w:tc>
          <w:tcPr>
            <w:tcW w:w="130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24,455</w:t>
            </w:r>
          </w:p>
        </w:tc>
        <w:tc>
          <w:tcPr>
            <w:tcW w:w="2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76,869</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(52,414)</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60,150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65,754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(5,604)</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7,606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2,701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4,905</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17,971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17,116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(1,677)</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(1,735)</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108,505</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160,705</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(52,200)</w:t>
            </w:r>
          </w:p>
        </w:tc>
        <w:tc>
          <w:tcPr>
            <w:tcW w:w="130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6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72 %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 / 94 %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 / 59 %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 / 70 %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87 %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 / 90 %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 52 %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 / 59 %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 29 %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 / 26 %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43" w:lineRule="exact"/>
        <w:rPr>
          <w:rFonts w:ascii="Arial" w:cs="Arial" w:eastAsia="Arial" w:hAnsi="Arial"/>
          <w:sz w:val="17"/>
          <w:szCs w:val="17"/>
          <w:color w:val="auto"/>
        </w:rPr>
      </w:pPr>
    </w:p>
    <w:p>
      <w:pPr>
        <w:ind w:left="660" w:right="80" w:hanging="652"/>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(excluding vessel charter off-hire days) in the applicable period.</w:t>
      </w:r>
    </w:p>
    <w:p>
      <w:pPr>
        <w:spacing w:after="0" w:line="6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9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(6,093)</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24,519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29,548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(5,029)</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196"/>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24,583</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35,867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(11,284)</w:t>
            </w: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nine-month period ended September 30, 2025 decreased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 as compared to the same period in 2024, reflecting lower revenues in our Well Intervention, Shallow Water Abandonment and Production Facilities business segments, offset in part by higher revenues in our Robotics segment.</w:t>
      </w:r>
    </w:p>
    <w:p>
      <w:pPr>
        <w:spacing w:after="0" w:line="169"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Our Well Intervention revenues decreased by 9% for the nine-month period ended September 30, 2025 as compared to the same period in 2024, primarily reflecting lower utilization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Q7000</w:t>
      </w:r>
      <w:r>
        <w:rPr>
          <w:rFonts w:ascii="Arial" w:cs="Arial" w:eastAsia="Arial" w:hAnsi="Arial"/>
          <w:sz w:val="18"/>
          <w:szCs w:val="18"/>
          <w:color w:val="auto"/>
        </w:rPr>
        <w:t>, offset in part by higher rates on the</w:t>
      </w:r>
      <w:r>
        <w:rPr>
          <w:rFonts w:ascii="Arial" w:cs="Arial" w:eastAsia="Arial" w:hAnsi="Arial"/>
          <w:sz w:val="18"/>
          <w:szCs w:val="18"/>
          <w:i w:val="1"/>
          <w:iCs w:val="1"/>
          <w:color w:val="auto"/>
        </w:rPr>
        <w:t xml:space="preserve"> Q4000 </w:t>
      </w:r>
      <w:r>
        <w:rPr>
          <w:rFonts w:ascii="Arial" w:cs="Arial" w:eastAsia="Arial" w:hAnsi="Arial"/>
          <w:sz w:val="18"/>
          <w:szCs w:val="18"/>
          <w:color w:val="auto"/>
        </w:rPr>
        <w:t>and in Brazil during the nine-month period ended September 30, 2025.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Revenues decreased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which has been warm-stacked during the nine-month period ended September 30, 2025 as compared to being nearly fully utilized during the nine-month period ended September 30, 2024. Revenues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were lower as the vessel underwent an approximate 33-day docking following a 45-day demobilization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nine-month period ended September 30, 2025 as compared to a 67-day mobilization during the nine-month period ended September 30, 2024. Utilization on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was lower as the vessel underwent an approximate 57-day planned regulatory dry dock during the second quarter 2025. Revenues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were lower due to the vessel recognizing only six days of revenue during the first quarter 2025 following the vessel’s completed mobilization and regulatory docking and commencement of its 400-day contract in Brazil as compared to being fully utilized in Australia during the nine-month period ended September 30, 2024. During the nine-month period ended September 30, 2025,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completed its Nigeria campaign at higher integrated project rates and transited back to the Gulf of America. Revenues in Brazil increased as the </w:t>
      </w:r>
      <w:r>
        <w:rPr>
          <w:rFonts w:ascii="Arial" w:cs="Arial" w:eastAsia="Arial" w:hAnsi="Arial"/>
          <w:sz w:val="18"/>
          <w:szCs w:val="18"/>
          <w:i w:val="1"/>
          <w:iCs w:val="1"/>
          <w:color w:val="auto"/>
        </w:rPr>
        <w:t xml:space="preserve">Siem Helix 1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Siem Helix 2 </w:t>
      </w:r>
      <w:r>
        <w:rPr>
          <w:rFonts w:ascii="Arial" w:cs="Arial" w:eastAsia="Arial" w:hAnsi="Arial"/>
          <w:sz w:val="18"/>
          <w:szCs w:val="18"/>
          <w:color w:val="auto"/>
        </w:rPr>
        <w:t>operated under new contract terms at higher contractual rates during the nine-month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ended September 30, 2025.</w:t>
      </w:r>
    </w:p>
    <w:p>
      <w:pPr>
        <w:spacing w:after="0" w:line="188"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Our Robotics revenues increased by 9% for the nine-month period ended September 30, 2025 as compared to the same period in 2024, primarily reflecting higher chartered vessel rate and increased site clearance and third-party trenching activities, offset in part by a reduction in chartered vessel and ROV utilization. The nine-month period ended September 30, 2025 included 1,317 chartered vessel days (including 75 spot vessel days at full utilization), which included 403 days of site clearance operations using three IROV boulder grabs, as compared to 1,393 chartered vessel days (including 274 spot vessel days at full utilization), which included 260 days of site clearance operations using two IROV boulder grabs, during the nine-month period ended September 30, 2024. The nine-month period ended September 30, 2025 also included 346 days of trenching on third-party vessels as compared to 141 days during the nine-month period ended September 30, 2024. Integrated vessel trenching declined to 502 days during the nine-month period ended September 30, 2025 as compared to 566 days during the nine-month period ended September 30, 2024, and ROV utilization decreased to 59% during the nine-month period ended September 30, 2025 as compared to 70% during the nine-month period ended September 30, 2024.</w:t>
      </w:r>
    </w:p>
    <w:p>
      <w:pPr>
        <w:spacing w:after="0" w:line="186"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Our Shallow Water Abandonment revenues decreased by 5% for the nine-month period ended September 30, 2025 as compared to the same period in 2024 primarily due to lower rates on our vessels and systems and lower overall utilization on our vessels, offset in part by higher utilization on our systems. Overall vessel utilization was 52% during the nine-month period ended September 30, 2025 as compared to 59% during the same period in 2024. Utilization on P&amp;A systems and CT systems increased to 2,065 days, or 29%, during the nine-month period ended September 30, 2025 as compared to 1,865 days, or 26%, during the nine-month period ended September 30, 2024.</w:t>
      </w:r>
    </w:p>
    <w:p>
      <w:pPr>
        <w:spacing w:after="0" w:line="17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Our Production Facilities revenues decreased by 21% for the nine-month period ended September 30, 2025 as compared to the same period in 2024, primarily reflecting lower oil and gas production and prices during the nine-month period ended September 30, 2025. The Thunder Hawk field remained shut in for the entire nine-month period in 2025 whereas the field had seven months of production prior to being shut in during the third quarter 2024. The Droshky wells were shut in for approximately one month in the second quarter 2025 whereas the field had a full nine months of production in 2024.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decreased by $52.2 million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as compared to the same period in 2024, primarily reflecting reduced profitability from our Well Intervention and Robotics business segments, offset in part by increased profitability from our Shallow Water Abandonment and Production Facilities segments.</w:t>
      </w:r>
    </w:p>
    <w:p>
      <w:pPr>
        <w:spacing w:after="0" w:line="174"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 xml:space="preserve">Our Well Intervention segment gross profit decreased by $52.4 million for the nine-month period ended September 30, 2025 as compared to the same period in 2024, primarily reflecting lower overall revenues during the nine-month period ended September 30, 2025 and higher vessel costs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during the third quarter 2025, offset in part by lower vessel costs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due to the vessel being warm-stacked in 2025 and cost deferrals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during its mobilization and regulatory docking in the first quarter 2025.</w:t>
      </w:r>
    </w:p>
    <w:p>
      <w:pPr>
        <w:spacing w:after="0" w:line="17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Robotics gross profit decreased by $5.6 million for the nine-month period ended September 30, 2025 as compared to the same period in 2024, primarily reflecting higher costs and lower margins on certain projects due to the mix of contracting during the nine-month period ended September 30, 2025.</w:t>
      </w:r>
    </w:p>
    <w:p>
      <w:pPr>
        <w:spacing w:after="0" w:line="16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Shallow Water Abandonment gross profit increased by $4.9 million for the nine-month period ended September 30, 2025 as compared to the same period in 2024, primarily reflecting lower costs, offset in part by lower overall revenues during the nine-month period ended September 30, 2025.</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Production Facilities gross profit increased by $0.9 million for the nine-month period ended September 30, 2025 as compared to the same period in 2024 primarily due to the incurrence of well workover costs related to the Thunder Hawk wells during the first quarter 2024.</w:t>
      </w:r>
    </w:p>
    <w:p>
      <w:pPr>
        <w:spacing w:after="0" w:line="169"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$55.6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nine-month period ended September 30, 2025 as compared to $64.1 million for the same period in 2024, primarily reflecting lower employee compensation costs.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$17.2 million for the nine-month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as compared to $17.1 million for the same period in 2024, primarily reflecting lower interest income on</w:t>
      </w:r>
    </w:p>
    <w:p>
      <w:pPr>
        <w:spacing w:after="0"/>
        <w:rPr>
          <w:sz w:val="20"/>
          <w:szCs w:val="20"/>
          <w:color w:val="auto"/>
        </w:rPr>
      </w:pPr>
      <w:r>
        <w:rPr>
          <w:rFonts w:ascii="Arial" w:cs="Arial" w:eastAsia="Arial" w:hAnsi="Arial"/>
          <w:sz w:val="18"/>
          <w:szCs w:val="18"/>
          <w:color w:val="auto"/>
        </w:rPr>
        <w:t>our invested cash (Note 5).</w:t>
      </w:r>
    </w:p>
    <w:p>
      <w:pPr>
        <w:spacing w:after="0" w:line="194"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Losses Related to Convertible Senior Notes. </w:t>
      </w:r>
      <w:r>
        <w:rPr>
          <w:rFonts w:ascii="Arial" w:cs="Arial" w:eastAsia="Arial" w:hAnsi="Arial"/>
          <w:sz w:val="18"/>
          <w:szCs w:val="18"/>
          <w:color w:val="auto"/>
        </w:rPr>
        <w:t>The losses during the nine-month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were associated with the redemption of our 2026 Notes (Note 5).</w:t>
      </w:r>
    </w:p>
    <w:p>
      <w:pPr>
        <w:spacing w:after="0" w:line="154"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$0.9 million for the nine-month period ended September 30,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other expense of $2.6 million for the same period in 2024. Net other expense primarily includes net foreign currency losses related to the British pound on our U.K. subsidiaries’ foreign currency positions.</w:t>
      </w:r>
    </w:p>
    <w:p>
      <w:pPr>
        <w:spacing w:after="0" w:line="16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$13.6 million for the nine-month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as compared to $22.5 million for the same period in 2024. The effective tax rate for the nine-month period ended September 30, 2025 was impacted by certain discrete items and the jurisdictional mix of earnings. The effective rate for the nine-month period ended September 30, 2024 was impacted by the non-deductibility of certain losses associated with the 2026 Notes Redemptions, which was characterized as a discrete event.</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484,120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405,266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Long-term debt (excluding current maturities)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297,828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305,971</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429,835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429,586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Long-term debt in the table above, presented net of unamortized debt discount and debt issuance costs, includes the 2029 Notes and the MARAD Debt, excluding current maturities of $9.6 million at September 30, 2025 and $9.2 million at December 31, 2024. See Note 5 for information relating to our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We define liquidity as cash and cash equivalents plus available capacity under our credit facility, but excluding cash pledged as collateral toward the Amended ABL Facility. Our liquidity at September 30, 2025 included $338.0 million of cash and cash equivalents and $94.3 million of available borrowing capacity under the Amended ABL Facility (Note 5) and excluded $2.5 million of pledged cash. Our liquidity at December 31, 2024 included $368.0 million of cash and cash equivalents and $66.6 million of available borrowing capacity under the Amended ABL Facility and excluded $5.0 million of pledged cash.</w:t>
      </w:r>
    </w:p>
    <w:p>
      <w:pPr>
        <w:spacing w:after="0" w:line="17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except for the issuance of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right="1120" w:firstLine="648"/>
        <w:spacing w:after="0" w:line="271"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3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3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54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3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23,586</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108,051</w:t>
            </w:r>
          </w:p>
        </w:tc>
      </w:tr>
      <w:tr>
        <w:trPr>
          <w:trHeight w:val="203"/>
        </w:trPr>
        <w:tc>
          <w:tcPr>
            <w:tcW w:w="3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3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(10,646)</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(10,317)</w:t>
            </w:r>
          </w:p>
        </w:tc>
      </w:tr>
      <w:tr>
        <w:trPr>
          <w:trHeight w:val="239"/>
        </w:trPr>
        <w:tc>
          <w:tcPr>
            <w:tcW w:w="35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(44,921)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(105,574)</w:t>
            </w:r>
          </w:p>
        </w:tc>
      </w:tr>
      <w:tr>
        <w:trPr>
          <w:trHeight w:val="818"/>
        </w:trPr>
        <w:tc>
          <w:tcPr>
            <w:tcW w:w="3540" w:type="dxa"/>
            <w:vAlign w:val="bottom"/>
          </w:tcPr>
          <w:p>
            <w:pPr>
              <w:spacing w:after="0"/>
              <w:rPr>
                <w:sz w:val="24"/>
                <w:szCs w:val="24"/>
                <w:color w:val="auto"/>
              </w:rPr>
            </w:pPr>
          </w:p>
        </w:tc>
        <w:tc>
          <w:tcPr>
            <w:tcW w:w="3260" w:type="dxa"/>
            <w:vAlign w:val="bottom"/>
          </w:tcPr>
          <w:p>
            <w:pPr>
              <w:jc w:val="right"/>
              <w:ind w:right="165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30"/>
        </w:trPr>
        <w:tc>
          <w:tcPr>
            <w:tcW w:w="3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Cash flows provided by operating activities for the nine-month period ended September 30, 2025 decreased as compared to the same period in 2024 despite the absence of an earnout payment, primarily reflecting lower earnings, higher regulatory recertification costs on our vessels and systems and higher working capital outflows. Our operating cash outflows during the nine-month period ended September 30, 2024 included $58.3 million of the $85.0 million earnout payment on April 3, 2024. Regulatory recertification spending on our vessels and systems was $48.3 million and $29.2 million, respectively, during the comparable year over year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Cash flows used in investing activities for the nine -month period ended September 30, 2025 increased slightly as compared to the same period in 2024. Our investing cash outflows during the nine-month period ended September 30, 2024 were offset in part by cash proceeds from the sale of assets and insurance recoveries.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Net cash outflows from financing activities for the nine-month period ended September 30, 2025 primarily reflect the repurchases of $30.2 million in our common stock under the 2023 Repurchase Program (including $0.2 million of excise tax paid), principal repayment of $9.2 million related to the MARAD Debt and payments in satisfaction of tax obligations upon vesting of share-based awards. Net cash outflows from financing activities for the nine-month period ended September 30, 2024 primarily reflect cash outflows of $60.7 million related to the 2026 Notes, $26.7 million of the $85.0 million earnout payment, the principal repayment of $8.7 million related to the MARAD Debt and $10.2 million in repurchases of our common stock under the 2023 Repurchase Program. These outflows were offset in part by $4.4 million of cash inflows from the proportionate settlement of the 2026 Capped Calls.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following table summarizes (in thousands) the principal amount of our long-term debt and related debt service costs as well as other contractual commitments, which include commitments for property and equipment and operating lease obligations, as of September 30, 2025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September 30,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9,644</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5,001</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102,505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30,402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72,103</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8,014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8,014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791,993</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156,741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635,252</w:t>
            </w: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1,217,157</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204,801</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1,012,356</w:t>
            </w:r>
          </w:p>
        </w:tc>
      </w:tr>
      <w:tr>
        <w:trPr>
          <w:trHeight w:val="20"/>
        </w:trPr>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20" w:hanging="652"/>
        <w:spacing w:after="0" w:line="24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including commitments related to leases executed but not yet commenced. At September 30, 2025, our commitment related to long-term vessel charters that have commenced totaled approximately $719.8 million, of which $363.8 million was related to the non-lease (services) components that are not included in operating lease liabilities in the condensed consolidated balance sheet as of September 30, 2025.</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$80.9 million (undiscounted) for Thunder Hawk Field oil and gas properties and $37.1 million (undiscounted) for Droshky oil and gas properties as of September 30, 2025, none of which is expected to be paid during the next 12 months. We are entitled to receive $30.0 million (undiscounted) from Marathon Oil Corporation as certain decommissioning obligations associated with Droshky oil and gas properties are fulfilled.</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vessels and systems are subject to certain regulatory recertification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spacing w:after="0" w:line="17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come from our ongoing operations and existing cash on hand. Although not currently expected, we also have availability under the Amended ABL Facility and access to capital markets.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2024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54"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nine-month period ended September 30, 2025, we recorded foreign currency translation gains of $63.2 million to accumulated other comprehensive loss. Deferred taxes have not been provided on foreign currency translation adjustments as any outside stock basis differences would be realized in a tax-free manner.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 and nine-month periods ended September 30, 2025, we recorded net foreign currency losses of $1.0 million and $0.9 million, respectively, primarily related to the British pound on our U.K. subsidiaries’ foreign currency positions.</w:t>
      </w:r>
    </w:p>
    <w:p>
      <w:pPr>
        <w:spacing w:after="0" w:line="18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minimize the risk of changes to our cash flow due to changing interest rates,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spacing w:after="0" w:line="17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2024 Form 10-K for a list of factors affecting oil and gas prices.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right="20" w:firstLine="656"/>
        <w:spacing w:after="0"/>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September 30, 2025. Based on this evaluation, our principal executive officer and principal financial officer have concluded that our disclosure controls and procedures were effective as of September 30, 2025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80" w:lineRule="exact"/>
        <w:rPr>
          <w:rFonts w:ascii="Arial" w:cs="Arial" w:eastAsia="Arial" w:hAnsi="Arial"/>
          <w:sz w:val="18"/>
          <w:szCs w:val="18"/>
          <w:color w:val="auto"/>
        </w:rPr>
      </w:pPr>
    </w:p>
    <w:p>
      <w:pPr>
        <w:ind w:right="160" w:firstLine="656"/>
        <w:spacing w:after="0" w:line="253" w:lineRule="auto"/>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three-month period ended September 30, 2025 that have materially affected, or are reasonably likely to materially affect, our internal control over financial reporting.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See Part I, Item 1, Note 13 — Commitments and Contingencies and Other Matters to the Condensed Consolidated Financial Statements,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right="680" w:firstLine="648"/>
        <w:spacing w:after="0" w:line="271" w:lineRule="auto"/>
        <w:rPr>
          <w:sz w:val="20"/>
          <w:szCs w:val="20"/>
          <w:color w:val="auto"/>
        </w:rPr>
      </w:pPr>
      <w:r>
        <w:rPr>
          <w:rFonts w:ascii="Arial" w:cs="Arial" w:eastAsia="Arial" w:hAnsi="Arial"/>
          <w:sz w:val="18"/>
          <w:szCs w:val="18"/>
          <w:color w:val="auto"/>
        </w:rPr>
        <w:t>There have been no material changes during the period ended September 30, 2025 in our “Risk Factors” as discussed in Item 1A of our Annual Report on Form 10-K for the year ended December 31, 2024.</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572"/>
        </w:trPr>
        <w:tc>
          <w:tcPr>
            <w:tcW w:w="6380" w:type="dxa"/>
            <w:vAlign w:val="bottom"/>
            <w:gridSpan w:val="10"/>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9"/>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gridSpan w:val="8"/>
          </w:tcPr>
          <w:p>
            <w:pPr>
              <w:ind w:left="22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3"/>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193"/>
        </w:trPr>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3"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part of publicly</w:t>
            </w:r>
          </w:p>
        </w:tc>
        <w:tc>
          <w:tcPr>
            <w:tcW w:w="200" w:type="dxa"/>
            <w:vAlign w:val="bottom"/>
          </w:tcPr>
          <w:p>
            <w:pPr>
              <w:spacing w:after="0"/>
              <w:rPr>
                <w:sz w:val="16"/>
                <w:szCs w:val="16"/>
                <w:color w:val="auto"/>
              </w:rPr>
            </w:pPr>
          </w:p>
        </w:tc>
        <w:tc>
          <w:tcPr>
            <w:tcW w:w="182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 the</w:t>
            </w:r>
          </w:p>
        </w:tc>
      </w:tr>
      <w:tr>
        <w:trPr>
          <w:trHeight w:val="212"/>
        </w:trPr>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price paid</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8"/>
                <w:szCs w:val="18"/>
                <w:color w:val="auto"/>
              </w:rPr>
            </w:pPr>
          </w:p>
        </w:tc>
        <w:tc>
          <w:tcPr>
            <w:tcW w:w="1820" w:type="dxa"/>
            <w:vAlign w:val="bottom"/>
            <w:gridSpan w:val="2"/>
          </w:tcPr>
          <w:p>
            <w:pPr>
              <w:jc w:val="center"/>
              <w:spacing w:after="0" w:line="212" w:lineRule="exact"/>
              <w:rPr>
                <w:sz w:val="20"/>
                <w:szCs w:val="20"/>
                <w:color w:val="auto"/>
              </w:rPr>
            </w:pPr>
            <w:r>
              <w:rPr>
                <w:rFonts w:ascii="Arial" w:cs="Arial" w:eastAsia="Arial" w:hAnsi="Arial"/>
                <w:sz w:val="17"/>
                <w:szCs w:val="17"/>
                <w:b w:val="1"/>
                <w:bCs w:val="1"/>
                <w:color w:val="auto"/>
              </w:rPr>
              <w:t xml:space="preserve">plans or programs </w:t>
            </w:r>
            <w:r>
              <w:rPr>
                <w:rFonts w:ascii="Arial" w:cs="Arial" w:eastAsia="Arial" w:hAnsi="Arial"/>
                <w:sz w:val="24"/>
                <w:szCs w:val="24"/>
                <w:b w:val="1"/>
                <w:bCs w:val="1"/>
                <w:color w:val="auto"/>
                <w:vertAlign w:val="superscript"/>
              </w:rPr>
              <w:t>(1)</w:t>
            </w:r>
          </w:p>
        </w:tc>
      </w:tr>
      <w:tr>
        <w:trPr>
          <w:trHeight w:val="221"/>
        </w:trPr>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or programs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314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July 1 to July 31, 2025</w:t>
            </w: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2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128,380</w:t>
            </w:r>
          </w:p>
        </w:tc>
      </w:tr>
      <w:tr>
        <w:trPr>
          <w:trHeight w:val="203"/>
        </w:trPr>
        <w:tc>
          <w:tcPr>
            <w:tcW w:w="3140" w:type="dxa"/>
            <w:vAlign w:val="bottom"/>
            <w:gridSpan w:val="3"/>
          </w:tcPr>
          <w:p>
            <w:pPr>
              <w:spacing w:after="0" w:line="202" w:lineRule="exact"/>
              <w:rPr>
                <w:sz w:val="20"/>
                <w:szCs w:val="20"/>
                <w:color w:val="auto"/>
              </w:rPr>
            </w:pPr>
            <w:r>
              <w:rPr>
                <w:rFonts w:ascii="Arial" w:cs="Arial" w:eastAsia="Arial" w:hAnsi="Arial"/>
                <w:sz w:val="18"/>
                <w:szCs w:val="18"/>
                <w:color w:val="auto"/>
              </w:rPr>
              <w:t>August 1 to August 31, 2025</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ind w:left="9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128,380</w:t>
            </w:r>
          </w:p>
        </w:tc>
      </w:tr>
      <w:tr>
        <w:trPr>
          <w:trHeight w:val="203"/>
        </w:trPr>
        <w:tc>
          <w:tcPr>
            <w:tcW w:w="3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September 1 to September 30, 2025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128,380</w:t>
            </w:r>
          </w:p>
        </w:tc>
      </w:tr>
      <w:tr>
        <w:trPr>
          <w:trHeight w:val="196"/>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ind w:left="9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76" w:lineRule="exact"/>
        <w:rPr>
          <w:sz w:val="20"/>
          <w:szCs w:val="20"/>
          <w:color w:val="auto"/>
        </w:rPr>
      </w:pPr>
    </w:p>
    <w:p>
      <w:pPr>
        <w:ind w:left="660" w:right="680" w:hanging="652"/>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Note 7 to this Quarterly Report on Form 10-Q and Note 10 to our 2024 Annual Report on Form 10-K for additional information regarding our share repurchase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right="100" w:firstLine="656"/>
        <w:spacing w:after="0" w:line="253" w:lineRule="auto"/>
        <w:tabs>
          <w:tab w:leader="none" w:pos="9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three-month period ended September 30, 2025, no director or “officer” of Helix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120" w:type="dxa"/>
            <w:vAlign w:val="bottom"/>
            <w:gridSpan w:val="12"/>
          </w:tcPr>
          <w:p>
            <w:pPr>
              <w:ind w:left="3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520" w:type="dxa"/>
            <w:vAlign w:val="bottom"/>
            <w:tcBorders>
              <w:top w:val="single" w:sz="8" w:color="auto"/>
            </w:tcBorders>
            <w:gridSpan w:val="13"/>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2005 Amended and Restated Articles of Incorporation,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as amended, of Helix Energy Solutions Group,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Second  Amended  and  Restated  By-Laws  of</w:t>
              </w:r>
            </w:hyperlink>
          </w:p>
        </w:tc>
        <w:tc>
          <w:tcPr>
            <w:tcW w:w="480" w:type="dxa"/>
            <w:vAlign w:val="bottom"/>
            <w:gridSpan w:val="8"/>
          </w:tcPr>
          <w:p>
            <w:pPr>
              <w:jc w:val="right"/>
              <w:ind w:right="120"/>
              <w:spacing w:after="0" w:line="182" w:lineRule="exact"/>
              <w:rPr>
                <w:rFonts w:ascii="Arial" w:cs="Arial" w:eastAsia="Arial" w:hAnsi="Arial"/>
                <w:sz w:val="18"/>
                <w:szCs w:val="18"/>
                <w:color w:val="0000EE"/>
                <w:w w:val="84"/>
              </w:rPr>
            </w:pPr>
            <w:hyperlink r:id="rId51">
              <w:r>
                <w:rPr>
                  <w:rFonts w:ascii="Arial" w:cs="Arial" w:eastAsia="Arial" w:hAnsi="Arial"/>
                  <w:sz w:val="18"/>
                  <w:szCs w:val="18"/>
                  <w:color w:val="0000EE"/>
                  <w:w w:val="84"/>
                </w:rPr>
                <w:t>Helix</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Energy Solutions Group, Inc., as amended.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Certification Pursuant to Rule 13a-14(a)</w:t>
            </w:r>
          </w:p>
        </w:tc>
        <w:tc>
          <w:tcPr>
            <w:tcW w:w="1080" w:type="dxa"/>
            <w:vAlign w:val="bottom"/>
            <w:gridSpan w:val="9"/>
          </w:tcPr>
          <w:p>
            <w:pPr>
              <w:jc w:val="right"/>
              <w:ind w:right="120"/>
              <w:spacing w:after="0" w:line="182" w:lineRule="exact"/>
              <w:rPr>
                <w:sz w:val="20"/>
                <w:szCs w:val="20"/>
                <w:color w:val="auto"/>
              </w:rPr>
            </w:pPr>
            <w:r>
              <w:rPr>
                <w:rFonts w:ascii="Arial" w:cs="Arial" w:eastAsia="Arial" w:hAnsi="Arial"/>
                <w:sz w:val="18"/>
                <w:szCs w:val="18"/>
                <w:color w:val="0000EE"/>
              </w:rPr>
              <w:t>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00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2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Chief Financial Officer.</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Certification  of  Helix’s</w:t>
            </w:r>
          </w:p>
        </w:tc>
        <w:tc>
          <w:tcPr>
            <w:tcW w:w="2720" w:type="dxa"/>
            <w:vAlign w:val="bottom"/>
            <w:gridSpan w:val="11"/>
          </w:tcPr>
          <w:p>
            <w:pPr>
              <w:jc w:val="right"/>
              <w:ind w:right="120"/>
              <w:spacing w:after="0" w:line="182" w:lineRule="exact"/>
              <w:rPr>
                <w:sz w:val="20"/>
                <w:szCs w:val="20"/>
                <w:color w:val="auto"/>
              </w:rPr>
            </w:pPr>
            <w:r>
              <w:rPr>
                <w:rFonts w:ascii="Arial" w:cs="Arial" w:eastAsia="Arial" w:hAnsi="Arial"/>
                <w:sz w:val="18"/>
                <w:szCs w:val="18"/>
                <w:color w:val="0000EE"/>
              </w:rPr>
              <w:t>Chief  Executive  Officer  and</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44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Sarbanes–Oxley Act of 2002.</w:t>
            </w: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4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18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768"/>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52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480" w:right="40" w:hanging="1423"/>
        <w:spacing w:after="0" w:line="250"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 w:right="20"/>
        <w:spacing w:after="0" w:line="247"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-13970</wp:posOffset>
            </wp:positionV>
            <wp:extent cx="23914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242" w:lineRule="auto"/>
        <w:rPr>
          <w:sz w:val="20"/>
          <w:szCs w:val="20"/>
          <w:color w:val="auto"/>
        </w:rPr>
      </w:pPr>
      <w:r>
        <w:rPr>
          <w:rFonts w:ascii="Arial" w:cs="Arial" w:eastAsia="Arial" w:hAnsi="Arial"/>
          <w:sz w:val="18"/>
          <w:szCs w:val="18"/>
          <w:color w:val="auto"/>
        </w:rPr>
        <w:t>Exhibit 3.1 to the Current Report on Form 8-K filed on September 28, 2006 (001-32936) Filed herewith</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Interactive Data File because its XBRL</w:t>
      </w:r>
    </w:p>
    <w:p>
      <w:pPr>
        <w:spacing w:after="0" w:line="234"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3" w:right="10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23, 2025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23, 2025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23,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23, 2025</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September 30, 2025,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23,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October 23, 2025</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Roman"/>
      <w:start w:val="5"/>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0" Type="http://schemas.openxmlformats.org/officeDocument/2006/relationships/hyperlink" Target="https://www.sec.gov/Archives/edgar/data/0000866829/000095012906002103/h33539exv3w1.htm" TargetMode="External"/><Relationship Id="rId51" Type="http://schemas.openxmlformats.org/officeDocument/2006/relationships/hyperlink" Target="https://www.sec.gov/Archives/edgar/data/866829/000095012906008744/h39963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2025-10-23T15:17:33Z</dcterms:created>
  <dcterms:modified xsi:type="dcterms:W3CDTF">2025-10-23T15:17:33Z</dcterms:modified>
</cp:coreProperties>
</file>