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60"/>
        <w:ind w:left="0" w:right="0" w:hanging="0"/>
        <w:jc w:val="left"/>
        <w:rPr/>
      </w:pPr>
      <w:hyperlink w:anchor="TOC">
        <w:bookmarkStart w:id="0" w:name="hlx-20260331x10q.htm"/>
        <w:bookmarkStart w:id="1" w:name="kshlx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0977f8c4_c714_41ad_8845_c97853f8e9f0"/>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WASHINGTON, D.C. 20549</w:t>
      </w:r>
    </w:p>
    <w:p>
      <w:pPr>
        <w:pStyle w:val="TextBody"/>
        <w:bidi w:val="0"/>
        <w:spacing w:before="0" w:after="0"/>
        <w:ind w:left="0" w:right="0" w:hanging="0"/>
        <w:jc w:val="center"/>
        <w:rPr>
          <w:rFonts w:ascii="Arial;Helvetica;sans-serif" w:hAnsi="Arial;Helvetica;sans-serif"/>
          <w:sz w:val="28"/>
        </w:rPr>
      </w:pPr>
      <w:r>
        <w:rPr>
          <w:rFonts w:ascii="Arial;Helvetica;sans-serif" w:hAnsi="Arial;Helvetica;sans-serif"/>
          <w:b/>
          <w:sz w:val="28"/>
        </w:rPr>
        <w:t>Form 10-Q</w:t>
      </w:r>
      <w:r>
        <w:rPr>
          <w:rFonts w:ascii="Arial;Helvetica;sans-serif" w:hAnsi="Arial;Helvetica;sans-serif"/>
          <w:sz w:val="28"/>
        </w:rPr>
        <w:t xml:space="preserve"> </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Arial;Helvetica;sans-serif" w:hAnsi="Arial;Helvetica;sans-serif"/>
          <w:b/>
          <w:sz w:val="20"/>
        </w:rPr>
      </w:pPr>
      <w:r>
        <w:rPr>
          <w:rFonts w:ascii="Arial;Helvetica;sans-serif" w:hAnsi="Arial;Helvetica;sans-serif"/>
          <w:b/>
          <w:sz w:val="20"/>
        </w:rPr>
        <w:t>For the quarterly period ended March 31, 2026</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For the transition period from__________ to__________</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 File Number: 001-32936</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17716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6675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HELIX ENERGY SOLUTIONS GROUP, INC.</w:t>
      </w:r>
    </w:p>
    <w:p>
      <w:pPr>
        <w:pStyle w:val="TextBody"/>
        <w:bidi w:val="0"/>
        <w:spacing w:before="0" w:after="0"/>
        <w:ind w:left="0" w:right="0" w:hanging="0"/>
        <w:jc w:val="center"/>
        <w:rPr>
          <w:rFonts w:ascii="Arial;Helvetica;sans-serif" w:hAnsi="Arial;Helvetica;sans-serif"/>
          <w:i/>
          <w:sz w:val="18"/>
        </w:rPr>
      </w:pPr>
      <w:r>
        <w:rPr>
          <w:rFonts w:ascii="Arial;Helvetica;sans-serif" w:hAnsi="Arial;Helvetica;sans-serif"/>
          <w:i/>
          <w:sz w:val="18"/>
        </w:rPr>
        <w:t>(Exact 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pLKinAK6EmvMyIF1kFa3Q_6_2"/>
      <w:bookmarkStart w:id="4" w:name="Tc_VmMNw7QsC0ywdGrzKJz6zQ_6_0"/>
      <w:bookmarkStart w:id="5" w:name="Tc_Q82e1bAiCUmawNiwoDPp7g_5_0"/>
      <w:bookmarkStart w:id="6" w:name="Tc_UKjUpSL2_UC438FEwaqrKw_2_2"/>
      <w:bookmarkStart w:id="7" w:name="Tc_mWYsTj2mmkKeaYgYR8lNFA_2_0"/>
      <w:bookmarkStart w:id="8" w:name="_12ffd22c_91e2_47cb_bf82_8d71460e400b"/>
      <w:bookmarkStart w:id="9" w:name="Tc_ApLKinAK6EmvMyIF1kFa3Q_6_2"/>
      <w:bookmarkStart w:id="10" w:name="Tc_VmMNw7QsC0ywdGrzKJz6zQ_6_0"/>
      <w:bookmarkStart w:id="11" w:name="Tc_Q82e1bAiCUmawNiwoDPp7g_5_0"/>
      <w:bookmarkStart w:id="12" w:name="Tc_UKjUpSL2_UC438FEwaqrKw_2_2"/>
      <w:bookmarkStart w:id="13" w:name="Tc_mWYsTj2mmkKeaYgYR8lNFA_2_0"/>
      <w:bookmarkStart w:id="14" w:name="_12ffd22c_91e2_47cb_bf82_8d71460e400b"/>
      <w:bookmarkEnd w:id="9"/>
      <w:bookmarkEnd w:id="10"/>
      <w:bookmarkEnd w:id="11"/>
      <w:bookmarkEnd w:id="12"/>
      <w:bookmarkEnd w:id="13"/>
      <w:bookmarkEnd w:id="14"/>
    </w:p>
    <w:tbl>
      <w:tblPr>
        <w:tblW w:w="8088" w:type="dxa"/>
        <w:jc w:val="left"/>
        <w:tblInd w:w="0" w:type="dxa"/>
        <w:tblLayout w:type="fixed"/>
        <w:tblCellMar>
          <w:top w:w="0" w:type="dxa"/>
          <w:left w:w="0" w:type="dxa"/>
          <w:bottom w:w="0" w:type="dxa"/>
          <w:right w:w="0" w:type="dxa"/>
        </w:tblCellMar>
      </w:tblPr>
      <w:tblGrid>
        <w:gridCol w:w="4861"/>
        <w:gridCol w:w="286"/>
        <w:gridCol w:w="2941"/>
      </w:tblGrid>
      <w:tr>
        <w:trPr/>
        <w:tc>
          <w:tcPr>
            <w:tcW w:w="48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286" w:type="dxa"/>
            <w:tcBorders/>
            <w:vAlign w:val="center"/>
          </w:tcPr>
          <w:p>
            <w:pPr>
              <w:pStyle w:val="TableContents"/>
              <w:bidi w:val="0"/>
              <w:spacing w:before="0" w:after="0"/>
              <w:ind w:left="0" w:right="0" w:hanging="0"/>
              <w:jc w:val="left"/>
              <w:rPr/>
            </w:pPr>
            <w:r>
              <w:rPr/>
              <w:t>  ​ ​</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(State or other jurisdiction of incorporation or organization)</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(I.R.S. Employer Identification No.)</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Suite 400</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b/>
                <w:sz w:val="18"/>
              </w:rPr>
              <w:t>Houston</w:t>
            </w:r>
            <w:r>
              <w:rPr>
                <w:rFonts w:ascii="Arial;Helvetica;sans-serif" w:hAnsi="Arial;Helvetica;sans-serif"/>
                <w:sz w:val="20"/>
              </w:rPr>
              <w:t xml:space="preserve"> </w:t>
            </w:r>
            <w:r>
              <w:rPr>
                <w:rFonts w:ascii="Arial;Helvetica;sans-serif" w:hAnsi="Arial;Helvetica;sans-serif"/>
                <w:b/>
                <w:sz w:val="18"/>
              </w:rPr>
              <w:t>Texas</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(281) 618–0400</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(Registrant’s telephone number, including area code)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 APPLICABLE</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KFCIxcH2Gk6wnu8YH87Veg_1_4"/>
      <w:bookmarkStart w:id="16" w:name="Tc_6WFLQz3v1kOa5zWycl5fuw_1_2"/>
      <w:bookmarkStart w:id="17" w:name="Tc_U6QYA_VEakST4mEydb-lCQ_1_0"/>
      <w:bookmarkStart w:id="18" w:name="_cde0777f_544b_4c57_8873_cfde702ba78a"/>
      <w:bookmarkStart w:id="19" w:name="Tc_KFCIxcH2Gk6wnu8YH87Veg_1_4"/>
      <w:bookmarkStart w:id="20" w:name="Tc_6WFLQz3v1kOa5zWycl5fuw_1_2"/>
      <w:bookmarkStart w:id="21" w:name="Tc_U6QYA_VEakST4mEydb-lCQ_1_0"/>
      <w:bookmarkStart w:id="22" w:name="_cde0777f_544b_4c57_8873_cfde702ba78a"/>
      <w:bookmarkEnd w:id="19"/>
      <w:bookmarkEnd w:id="20"/>
      <w:bookmarkEnd w:id="21"/>
      <w:bookmarkEnd w:id="22"/>
    </w:p>
    <w:tbl>
      <w:tblPr>
        <w:tblW w:w="5471" w:type="dxa"/>
        <w:jc w:val="left"/>
        <w:tblInd w:w="0" w:type="dxa"/>
        <w:tblLayout w:type="fixed"/>
        <w:tblCellMar>
          <w:top w:w="0" w:type="dxa"/>
          <w:left w:w="0" w:type="dxa"/>
          <w:bottom w:w="0" w:type="dxa"/>
          <w:right w:w="0" w:type="dxa"/>
        </w:tblCellMar>
      </w:tblPr>
      <w:tblGrid>
        <w:gridCol w:w="2476"/>
        <w:gridCol w:w="109"/>
        <w:gridCol w:w="466"/>
        <w:gridCol w:w="109"/>
        <w:gridCol w:w="2311"/>
      </w:tblGrid>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247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72260" cy="131445"/>
                      <wp:effectExtent l="0" t="0" r="0" b="0"/>
                      <wp:wrapNone/>
                      <wp:docPr id="2" name="Frame1"/>
                      <a:graphic xmlns:a="http://schemas.openxmlformats.org/drawingml/2006/main">
                        <a:graphicData uri="http://schemas.microsoft.com/office/word/2010/wordprocessingShape">
                          <wps:wsp>
                            <wps:cNvSpPr txBox="1"/>
                            <wps:spPr>
                              <a:xfrm>
                                <a:off x="0" y="0"/>
                                <a:ext cx="1572260" cy="13144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350520"/>
                      <wp:effectExtent l="0" t="0" r="0" b="0"/>
                      <wp:wrapNone/>
                      <wp:docPr id="3" name="Frame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46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95910" cy="366395"/>
                      <wp:effectExtent l="0" t="0" r="0" b="0"/>
                      <wp:wrapNone/>
                      <wp:docPr id="4" name="Frame3"/>
                      <a:graphic xmlns:a="http://schemas.openxmlformats.org/drawingml/2006/main">
                        <a:graphicData uri="http://schemas.microsoft.com/office/word/2010/wordprocessingShape">
                          <wps:wsp>
                            <wps:cNvSpPr txBox="1"/>
                            <wps:spPr>
                              <a:xfrm>
                                <a:off x="0" y="0"/>
                                <a:ext cx="295910" cy="36639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8.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231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7485" cy="262890"/>
                      <wp:effectExtent l="0" t="0" r="0" b="0"/>
                      <wp:wrapNone/>
                      <wp:docPr id="6" name="Frame5"/>
                      <a:graphic xmlns:a="http://schemas.openxmlformats.org/drawingml/2006/main">
                        <a:graphicData uri="http://schemas.microsoft.com/office/word/2010/wordprocessingShape">
                          <wps:wsp>
                            <wps:cNvSpPr txBox="1"/>
                            <wps:spPr>
                              <a:xfrm>
                                <a:off x="0" y="0"/>
                                <a:ext cx="1467485" cy="262890"/>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v:textbox>
                      <w10:wrap type="none"/>
                    </v:rect>
                  </w:pict>
                </mc:Fallback>
              </mc:AlternateContent>
            </w:r>
          </w:p>
        </w:tc>
      </w:tr>
      <w:tr>
        <w:trPr/>
        <w:tc>
          <w:tcPr>
            <w:tcW w:w="247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Common Stock, no par value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46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HLX</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311"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28"/>
        <w:gridCol w:w="1554"/>
        <w:gridCol w:w="1944"/>
        <w:gridCol w:w="2322"/>
        <w:gridCol w:w="2357"/>
      </w:tblGrid>
      <w:tr>
        <w:trPr/>
        <w:tc>
          <w:tcPr>
            <w:tcW w:w="2028"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194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c>
          <w:tcPr>
            <w:tcW w:w="2357" w:type="dxa"/>
            <w:tcBorders/>
            <w:vAlign w:val="center"/>
          </w:tcPr>
          <w:p>
            <w:pPr>
              <w:pStyle w:val="TableContents"/>
              <w:bidi w:val="0"/>
              <w:spacing w:before="0" w:after="0"/>
              <w:ind w:left="0" w:right="0" w:hanging="0"/>
              <w:jc w:val="left"/>
              <w:rPr/>
            </w:pPr>
            <w:r>
              <w:rPr/>
              <w:t>​</w:t>
            </w:r>
          </w:p>
        </w:tc>
      </w:tr>
      <w:tr>
        <w:trPr/>
        <w:tc>
          <w:tcPr>
            <w:tcW w:w="2028"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Large accelerated filer</w:t>
            </w:r>
            <w:r>
              <w:rPr>
                <w:rFonts w:ascii="Arial;Helvetica;sans-serif" w:hAnsi="Arial;Helvetica;sans-serif"/>
                <w:sz w:val="20"/>
              </w:rPr>
              <w:t> ☑</w:t>
            </w:r>
          </w:p>
        </w:tc>
        <w:tc>
          <w:tcPr>
            <w:tcW w:w="155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Accelerated filer ☐</w:t>
            </w:r>
          </w:p>
        </w:tc>
        <w:tc>
          <w:tcPr>
            <w:tcW w:w="194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32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w:t>
            </w:r>
          </w:p>
        </w:tc>
        <w:tc>
          <w:tcPr>
            <w:tcW w:w="235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w:t>
      </w:r>
      <w:r>
        <w:rPr>
          <w:rFonts w:ascii="Arial;Helvetica;sans-serif" w:hAnsi="Arial;Helvetica;sans-serif"/>
          <w:sz w:val="20"/>
        </w:rPr>
        <w:t>☐ </w:t>
      </w:r>
      <w:r>
        <w:rPr>
          <w:rFonts w:ascii="Arial;Helvetica;sans-serif" w:hAnsi="Arial;Helvetica;sans-serif"/>
          <w:sz w:val="18"/>
        </w:rPr>
        <w:t xml:space="preserve">Yes </w:t>
      </w:r>
      <w:r>
        <w:rPr>
          <w:rFonts w:ascii="Arial;Helvetica;sans-serif" w:hAnsi="Arial;Helvetica;sans-serif"/>
          <w:sz w:val="20"/>
        </w:rPr>
        <w:t>☑ </w:t>
      </w:r>
      <w:r>
        <w:rPr>
          <w:rFonts w:ascii="Arial;Helvetica;sans-serif" w:hAnsi="Arial;Helvetica;sans-serif"/>
          <w:sz w:val="18"/>
        </w:rPr>
        <w:t>No</w:t>
      </w:r>
    </w:p>
    <w:p>
      <w:pPr>
        <w:pStyle w:val="TextBody"/>
        <w:bidi w:val="0"/>
        <w:spacing w:before="0" w:after="0"/>
        <w:ind w:left="0" w:right="0" w:firstLine="720"/>
        <w:jc w:val="center"/>
        <w:rPr>
          <w:rFonts w:ascii="Arial;Helvetica;sans-serif" w:hAnsi="Arial;Helvetica;sans-serif"/>
          <w:sz w:val="18"/>
        </w:rPr>
      </w:pPr>
      <w:r>
        <w:rPr>
          <w:rFonts w:ascii="Arial;Helvetica;sans-serif" w:hAnsi="Arial;Helvetica;sans-serif"/>
          <w:sz w:val="18"/>
        </w:rPr>
        <w:t>As of April 20, 2026, 147,296,092 shares of common stock were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caps/>
        </w:rPr>
      </w:pPr>
      <w:r>
        <w:rPr>
          <w:caps/>
        </w:rPr>
        <w:t>​</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3" w:name="_c8d52850_e86d_499f_9fd9_7fbd03bc0776"/>
      <w:bookmarkStart w:id="24" w:name="TOC"/>
      <w:bookmarkEnd w:id="23"/>
      <w:bookmarkEnd w:id="24"/>
      <w:r>
        <w:rPr>
          <w:rFonts w:ascii="Arial;Helvetica;sans-serif" w:hAnsi="Arial;Helvetica;sans-serif"/>
          <w:b/>
          <w:sz w:val="20"/>
        </w:rPr>
        <w:t>TABLE OF CONTENTS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823"/>
        <w:gridCol w:w="109"/>
        <w:gridCol w:w="8566"/>
        <w:gridCol w:w="707"/>
      </w:tblGrid>
      <w:tr>
        <w:trPr/>
        <w:tc>
          <w:tcPr>
            <w:tcW w:w="8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r>
      <w:tr>
        <w:trPr/>
        <w:tc>
          <w:tcPr>
            <w:tcW w:w="823"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PART I.</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FINANCIAL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PAGE</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left"/>
              <w:rPr/>
            </w:pPr>
            <w:r>
              <w:rPr/>
              <w:t>​</w:t>
            </w:r>
          </w:p>
        </w:tc>
      </w:tr>
      <w:tr>
        <w:trPr/>
        <w:tc>
          <w:tcPr>
            <w:tcW w:w="823"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Financial Statements: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BALANCESHEETS_97543">
              <w:r>
                <w:rPr>
                  <w:rStyle w:val="InternetLink"/>
                  <w:rFonts w:ascii="Arial;Helvetica;sans-serif" w:hAnsi="Arial;Helvetica;sans-serif"/>
                  <w:b w:val="false"/>
                  <w:i w:val="false"/>
                  <w:caps w:val="false"/>
                  <w:smallCaps w:val="false"/>
                  <w:sz w:val="20"/>
                </w:rPr>
                <w:t>Condensed Consolidated Balance Sheets – March 31, 2026 (Unaudited) and December 31,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(Unaudited) – Three months ended March 31,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COMPREH">
              <w:r>
                <w:rPr>
                  <w:rStyle w:val="InternetLink"/>
                  <w:rFonts w:ascii="Arial;Helvetica;sans-serif" w:hAnsi="Arial;Helvetica;sans-serif"/>
                  <w:b w:val="false"/>
                  <w:i w:val="false"/>
                  <w:caps w:val="false"/>
                  <w:smallCaps w:val="false"/>
                  <w:sz w:val="20"/>
                </w:rPr>
                <w:t>Condensed Consolidated Statements of Comprehensive Income (Loss) (Unaudited) – Three months ended March 31,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SEQTD">
              <w:r>
                <w:rPr>
                  <w:rStyle w:val="InternetLink"/>
                  <w:rFonts w:ascii="Arial;Helvetica;sans-serif" w:hAnsi="Arial;Helvetica;sans-serif"/>
                  <w:b w:val="false"/>
                  <w:i w:val="false"/>
                  <w:caps w:val="false"/>
                  <w:smallCaps w:val="false"/>
                  <w:sz w:val="20"/>
                </w:rPr>
                <w:t>Condensed Consolidated Statements of Shareholders’ Equity (Unaudited) – Three months ended March 31,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(Unaudited) – Three months ended March 31, 2026 and 2025</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Controls and Procedures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PART II.</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Legal Proceedings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Item 1A.</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Risk Factors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Defaults Upon Senior Securities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Mine Safety Disclosures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Item 5.</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Item 6.</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Exhibits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SIGNATURES_810600">
              <w:r>
                <w:rPr>
                  <w:rStyle w:val="InternetLink"/>
                  <w:rFonts w:ascii="Arial;Helvetica;sans-serif" w:hAnsi="Arial;Helvetica;sans-serif"/>
                  <w:b w:val="false"/>
                  <w:i w:val="false"/>
                  <w:caps w:val="false"/>
                  <w:smallCaps w:val="false"/>
                  <w:sz w:val="20"/>
                </w:rPr>
                <w:t>Signatures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5" w:name="PARTIFINANCIALINFORMATION_665355"/>
      <w:bookmarkStart w:id="26" w:name="_d4ea2fdf_ab1f_49dd_a638_ac49e2e6d6bc"/>
      <w:bookmarkEnd w:id="25"/>
      <w:bookmarkEnd w:id="26"/>
      <w:r>
        <w:rPr>
          <w:rFonts w:ascii="Arial;Helvetica;sans-serif" w:hAnsi="Arial;Helvetica;sans-serif"/>
          <w:b/>
          <w:sz w:val="20"/>
        </w:rPr>
        <w:t>PART I. FINANCIAL INFORMATION</w:t>
      </w:r>
    </w:p>
    <w:p>
      <w:pPr>
        <w:pStyle w:val="TextBody"/>
        <w:bidi w:val="0"/>
        <w:spacing w:before="0" w:after="240"/>
        <w:ind w:left="0" w:right="0" w:hanging="0"/>
        <w:jc w:val="left"/>
        <w:rPr>
          <w:rFonts w:ascii="Arial;Helvetica;sans-serif" w:hAnsi="Arial;Helvetica;sans-serif"/>
          <w:b/>
          <w:sz w:val="20"/>
        </w:rPr>
      </w:pPr>
      <w:bookmarkStart w:id="27" w:name="Item1FinancialStatements_284324"/>
      <w:bookmarkEnd w:id="27"/>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8" w:name="CONDENSEDCONSOLIDATEDBALANCESHEETS_97543"/>
      <w:bookmarkEnd w:id="28"/>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 w:name="Tc_0Iz7c_EckUu0HSUJ47M59Q_36_5"/>
      <w:bookmarkStart w:id="30" w:name="Tc_gcfu4igQxEei7ubpWpdz5A_36_2"/>
      <w:bookmarkStart w:id="31" w:name="Tc_kM8bYWFGAUmrnVrEttTmYQ_36_0"/>
      <w:bookmarkStart w:id="32" w:name="Tc_3At5WTPUXEW3Dn4fm1xV8A_35_0"/>
      <w:bookmarkStart w:id="33" w:name="Tc_YSFu_l6vXEeNtj6NyIBDyw_34_0"/>
      <w:bookmarkStart w:id="34" w:name="Tc_5YamnHiX6U-E3I1nTO7yAA_33_0"/>
      <w:bookmarkStart w:id="35" w:name="Tc_rdJv4PlRzkKL63D00V4CQw_32_0"/>
      <w:bookmarkStart w:id="36" w:name="Tc_ASBGtqaXTUCWV49MwSyppw_31_0"/>
      <w:bookmarkStart w:id="37" w:name="Tc_byPPxOzt_Eag57A7inbfiw_30_0"/>
      <w:bookmarkStart w:id="38" w:name="Tc_XjGGlz3wMU2CeaBfZfk3IA_29_0"/>
      <w:bookmarkStart w:id="39" w:name="Tc_MHS2FCPj1EKGK0a-sXEkOg_28_0"/>
      <w:bookmarkStart w:id="40" w:name="Tc_LLLLY5dWEkKsZNSi455JGQ_27_0"/>
      <w:bookmarkStart w:id="41" w:name="Tc_mKmMY92bdku5ROiiypxqMw_26_0"/>
      <w:bookmarkStart w:id="42" w:name="Tc_qh56oDQy80mow8QYEEXIXw_25_0"/>
      <w:bookmarkStart w:id="43" w:name="Tc_odmy5KSEY0Gc8NYYEnB0jQ_24_0"/>
      <w:bookmarkStart w:id="44" w:name="Tc_k2VYVrXVx0ueJpquxC6Z2Q_23_0"/>
      <w:bookmarkStart w:id="45" w:name="Tc_gm32gX7TokaujWYs8ggR7Q_22_0"/>
      <w:bookmarkStart w:id="46" w:name="Tc_KODBBVSpfkW6nrpeIWrm0g_21_0"/>
      <w:bookmarkStart w:id="47" w:name="Tc_aZjbNemMl0KWQk1oizdWzw_20_5"/>
      <w:bookmarkStart w:id="48" w:name="Tc_CVl8eo0s6kuBYpHNh5jN3w_20_2"/>
      <w:bookmarkStart w:id="49" w:name="Tc_iBYUoRToR0KTpQx4J4gOlA_20_0"/>
      <w:bookmarkStart w:id="50" w:name="Tc_4BBQRBzYg0qhhRKUlT8A8g_19_0"/>
      <w:bookmarkStart w:id="51" w:name="Tc_bA-0r2JJNEWr_DzeklHZQg_18_0"/>
      <w:bookmarkStart w:id="52" w:name="Tc_Af-DTKJ3kkyr46LukkRr-A_16_5"/>
      <w:bookmarkStart w:id="53" w:name="Tc__Fs-k1t8dECl0uz7dMROvA_16_2"/>
      <w:bookmarkStart w:id="54" w:name="Tc_M5jTo3_vh0SAf8vDjsBZjw_16_0"/>
      <w:bookmarkStart w:id="55" w:name="Tc_Q38tQ2eiFkSIbisb_V3t-g_15_0"/>
      <w:bookmarkStart w:id="56" w:name="Tc_rH6Ufbs4akOjmvoiQzVXFw_14_0"/>
      <w:bookmarkStart w:id="57" w:name="Tc_GlzIgqbnWE-QFQBk9G014w_13_0"/>
      <w:bookmarkStart w:id="58" w:name="Tc_YkJxn083Yk--5wrHEATVTQ_12_0"/>
      <w:bookmarkStart w:id="59" w:name="Tc_1Ah4nEaIHkieWBRJB7wOZw_11_0"/>
      <w:bookmarkStart w:id="60" w:name="Tc_fwytQWxhSUqUK2MuYeeOLA_10_0"/>
      <w:bookmarkStart w:id="61" w:name="Tc_ckUTA7Pua0yLhG9diz9--g_9_0"/>
      <w:bookmarkStart w:id="62" w:name="Tc_hMljNoB_EEG1L03FiMvM0w_8_0"/>
      <w:bookmarkStart w:id="63" w:name="Tc_3m9Cx9ixMUq8tvf_IgGyMw_7_0"/>
      <w:bookmarkStart w:id="64" w:name="Tc_FWYdxq-8NUOIi-Mq-YM8Jg_6_5"/>
      <w:bookmarkStart w:id="65" w:name="Tc_657ve4wy90S7-wYjbDdj-A_6_2"/>
      <w:bookmarkStart w:id="66" w:name="Tc_3ZY314Tgdkic7_nQrXOxBw_6_0"/>
      <w:bookmarkStart w:id="67" w:name="Tc_lLWfEzeiEkWKLgrlzOTajQ_5_0"/>
      <w:bookmarkStart w:id="68" w:name="Tc_CuMxL9XD5kC1rJC4Spublg_4_0"/>
      <w:bookmarkStart w:id="69" w:name="Tc_CFP6cq1OIU-OH58k7gA8fA_3_2"/>
      <w:bookmarkStart w:id="70" w:name="Tc_0OvpZlRWTk2uaW3z0daonQ_2_5"/>
      <w:bookmarkStart w:id="71" w:name="Tc_fmbCw6Vg5Uegd63CjcwKaQ_2_2"/>
      <w:bookmarkStart w:id="72" w:name="Tc_bJc9nnnIf06ip5uRTdTdeQ_1_5"/>
      <w:bookmarkStart w:id="73" w:name="Tc_hmaBfI3BvUKOGOW5Hcj5-Q_1_2"/>
      <w:bookmarkStart w:id="74" w:name="_1139da40_b06a_4abb_9cd0_3ed0317a70c5"/>
      <w:bookmarkStart w:id="75" w:name="Tc_0Iz7c_EckUu0HSUJ47M59Q_36_5"/>
      <w:bookmarkStart w:id="76" w:name="Tc_gcfu4igQxEei7ubpWpdz5A_36_2"/>
      <w:bookmarkStart w:id="77" w:name="Tc_kM8bYWFGAUmrnVrEttTmYQ_36_0"/>
      <w:bookmarkStart w:id="78" w:name="Tc_3At5WTPUXEW3Dn4fm1xV8A_35_0"/>
      <w:bookmarkStart w:id="79" w:name="Tc_YSFu_l6vXEeNtj6NyIBDyw_34_0"/>
      <w:bookmarkStart w:id="80" w:name="Tc_5YamnHiX6U-E3I1nTO7yAA_33_0"/>
      <w:bookmarkStart w:id="81" w:name="Tc_rdJv4PlRzkKL63D00V4CQw_32_0"/>
      <w:bookmarkStart w:id="82" w:name="Tc_ASBGtqaXTUCWV49MwSyppw_31_0"/>
      <w:bookmarkStart w:id="83" w:name="Tc_byPPxOzt_Eag57A7inbfiw_30_0"/>
      <w:bookmarkStart w:id="84" w:name="Tc_XjGGlz3wMU2CeaBfZfk3IA_29_0"/>
      <w:bookmarkStart w:id="85" w:name="Tc_MHS2FCPj1EKGK0a-sXEkOg_28_0"/>
      <w:bookmarkStart w:id="86" w:name="Tc_LLLLY5dWEkKsZNSi455JGQ_27_0"/>
      <w:bookmarkStart w:id="87" w:name="Tc_mKmMY92bdku5ROiiypxqMw_26_0"/>
      <w:bookmarkStart w:id="88" w:name="Tc_qh56oDQy80mow8QYEEXIXw_25_0"/>
      <w:bookmarkStart w:id="89" w:name="Tc_odmy5KSEY0Gc8NYYEnB0jQ_24_0"/>
      <w:bookmarkStart w:id="90" w:name="Tc_k2VYVrXVx0ueJpquxC6Z2Q_23_0"/>
      <w:bookmarkStart w:id="91" w:name="Tc_gm32gX7TokaujWYs8ggR7Q_22_0"/>
      <w:bookmarkStart w:id="92" w:name="Tc_KODBBVSpfkW6nrpeIWrm0g_21_0"/>
      <w:bookmarkStart w:id="93" w:name="Tc_aZjbNemMl0KWQk1oizdWzw_20_5"/>
      <w:bookmarkStart w:id="94" w:name="Tc_CVl8eo0s6kuBYpHNh5jN3w_20_2"/>
      <w:bookmarkStart w:id="95" w:name="Tc_iBYUoRToR0KTpQx4J4gOlA_20_0"/>
      <w:bookmarkStart w:id="96" w:name="Tc_4BBQRBzYg0qhhRKUlT8A8g_19_0"/>
      <w:bookmarkStart w:id="97" w:name="Tc_bA-0r2JJNEWr_DzeklHZQg_18_0"/>
      <w:bookmarkStart w:id="98" w:name="Tc_Af-DTKJ3kkyr46LukkRr-A_16_5"/>
      <w:bookmarkStart w:id="99" w:name="Tc__Fs-k1t8dECl0uz7dMROvA_16_2"/>
      <w:bookmarkStart w:id="100" w:name="Tc_M5jTo3_vh0SAf8vDjsBZjw_16_0"/>
      <w:bookmarkStart w:id="101" w:name="Tc_Q38tQ2eiFkSIbisb_V3t-g_15_0"/>
      <w:bookmarkStart w:id="102" w:name="Tc_rH6Ufbs4akOjmvoiQzVXFw_14_0"/>
      <w:bookmarkStart w:id="103" w:name="Tc_GlzIgqbnWE-QFQBk9G014w_13_0"/>
      <w:bookmarkStart w:id="104" w:name="Tc_YkJxn083Yk--5wrHEATVTQ_12_0"/>
      <w:bookmarkStart w:id="105" w:name="Tc_1Ah4nEaIHkieWBRJB7wOZw_11_0"/>
      <w:bookmarkStart w:id="106" w:name="Tc_fwytQWxhSUqUK2MuYeeOLA_10_0"/>
      <w:bookmarkStart w:id="107" w:name="Tc_ckUTA7Pua0yLhG9diz9--g_9_0"/>
      <w:bookmarkStart w:id="108" w:name="Tc_hMljNoB_EEG1L03FiMvM0w_8_0"/>
      <w:bookmarkStart w:id="109" w:name="Tc_3m9Cx9ixMUq8tvf_IgGyMw_7_0"/>
      <w:bookmarkStart w:id="110" w:name="Tc_FWYdxq-8NUOIi-Mq-YM8Jg_6_5"/>
      <w:bookmarkStart w:id="111" w:name="Tc_657ve4wy90S7-wYjbDdj-A_6_2"/>
      <w:bookmarkStart w:id="112" w:name="Tc_3ZY314Tgdkic7_nQrXOxBw_6_0"/>
      <w:bookmarkStart w:id="113" w:name="Tc_lLWfEzeiEkWKLgrlzOTajQ_5_0"/>
      <w:bookmarkStart w:id="114" w:name="Tc_CuMxL9XD5kC1rJC4Spublg_4_0"/>
      <w:bookmarkStart w:id="115" w:name="Tc_CFP6cq1OIU-OH58k7gA8fA_3_2"/>
      <w:bookmarkStart w:id="116" w:name="Tc_0OvpZlRWTk2uaW3z0daonQ_2_5"/>
      <w:bookmarkStart w:id="117" w:name="Tc_fmbCw6Vg5Uegd63CjcwKaQ_2_2"/>
      <w:bookmarkStart w:id="118" w:name="Tc_bJc9nnnIf06ip5uRTdTdeQ_1_5"/>
      <w:bookmarkStart w:id="119" w:name="Tc_hmaBfI3BvUKOGOW5Hcj5-Q_1_2"/>
      <w:bookmarkStart w:id="120" w:name="_1139da40_b06a_4abb_9cd0_3ed0317a70c5"/>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10205" w:type="dxa"/>
        <w:jc w:val="left"/>
        <w:tblInd w:w="0" w:type="dxa"/>
        <w:tblLayout w:type="fixed"/>
        <w:tblCellMar>
          <w:top w:w="0" w:type="dxa"/>
          <w:left w:w="0" w:type="dxa"/>
          <w:bottom w:w="0" w:type="dxa"/>
          <w:right w:w="0" w:type="dxa"/>
        </w:tblCellMar>
      </w:tblPr>
      <w:tblGrid>
        <w:gridCol w:w="6803"/>
        <w:gridCol w:w="346"/>
        <w:gridCol w:w="211"/>
        <w:gridCol w:w="1063"/>
        <w:gridCol w:w="346"/>
        <w:gridCol w:w="234"/>
        <w:gridCol w:w="1202"/>
      </w:tblGrid>
      <w:tr>
        <w:trPr/>
        <w:tc>
          <w:tcPr>
            <w:tcW w:w="6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19905" cy="175260"/>
                      <wp:effectExtent l="0" t="0" r="0" b="0"/>
                      <wp:wrapNone/>
                      <wp:docPr id="9" name="Frame8"/>
                      <a:graphic xmlns:a="http://schemas.openxmlformats.org/drawingml/2006/main">
                        <a:graphicData uri="http://schemas.microsoft.com/office/word/2010/wordprocessingShape">
                          <wps:wsp>
                            <wps:cNvSpPr txBox="1"/>
                            <wps:spPr>
                              <a:xfrm>
                                <a:off x="0" y="0"/>
                                <a:ext cx="431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75005" cy="175260"/>
                      <wp:effectExtent l="0" t="0" r="0" b="0"/>
                      <wp:wrapNone/>
                      <wp:docPr id="12" name="Frame11"/>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8590" cy="175260"/>
                      <wp:effectExtent l="0" t="0" r="0" b="0"/>
                      <wp:wrapNone/>
                      <wp:docPr id="14" name="Frame1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63270" cy="175260"/>
                      <wp:effectExtent l="0" t="0" r="0" b="0"/>
                      <wp:wrapNone/>
                      <wp:docPr id="15" name="Frame14"/>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1"/>
              <w:ind w:left="0" w:right="0" w:hanging="0"/>
              <w:jc w:val="center"/>
              <w:rPr/>
            </w:pPr>
            <w:r>
              <w:rPr/>
              <w:t>​</w:t>
            </w:r>
          </w:p>
        </w:tc>
        <w:tc>
          <w:tcPr>
            <w:tcW w:w="143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(Unaudited)</w:t>
            </w:r>
          </w:p>
        </w:tc>
        <w:tc>
          <w:tcPr>
            <w:tcW w:w="346"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1202" w:type="dxa"/>
            <w:tcBorders/>
            <w:vAlign w:val="center"/>
          </w:tcPr>
          <w:p>
            <w:pPr>
              <w:pStyle w:val="TableContents"/>
              <w:bidi w:val="0"/>
              <w:spacing w:before="0" w:after="1"/>
              <w:ind w:left="0" w:right="0" w:hanging="0"/>
              <w:jc w:val="center"/>
              <w:rPr/>
            </w:pPr>
            <w:r>
              <w:rPr/>
              <w:t>​</w:t>
            </w:r>
          </w:p>
        </w:tc>
      </w:tr>
      <w:tr>
        <w:trPr/>
        <w:tc>
          <w:tcPr>
            <w:tcW w:w="6803"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  ​</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pPr>
            <w:r>
              <w:rPr/>
              <w:t>  ​</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501,272</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445,196</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 of allowance for credit losses of $3,554 and $3,529,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230,112</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303,939</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87,907</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75,857</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819,291</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824,992</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3,137,031</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3,156,606</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(1,816,953)</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(1,794,112)</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1,320,078</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1,362,494</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302,926</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302,649</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certification and dry dock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73,493</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74,351</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52,301</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51,418</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2,568,089</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2,615,904</w:t>
            </w:r>
          </w:p>
        </w:tc>
      </w:tr>
      <w:tr>
        <w:trPr/>
        <w:tc>
          <w:tcPr>
            <w:tcW w:w="68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left"/>
              <w:rPr/>
            </w:pPr>
            <w:r>
              <w:rPr/>
              <w:t>​</w:t>
            </w:r>
          </w:p>
        </w:tc>
      </w:tr>
      <w:tr>
        <w:trPr/>
        <w:tc>
          <w:tcPr>
            <w:tcW w:w="6803"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pPr>
            <w:r>
              <w:rPr/>
              <w:t>  ​</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pPr>
            <w:r>
              <w:rPr/>
              <w:t>  ​</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138,412</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134,287</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69,137</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94,951</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9,394</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9,644</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64,112</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60,796</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281,055</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299,678</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294,367</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298,351</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257,889</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260,959</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104,972</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105,571</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72,950</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71,433</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1,011,233</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1,035,992</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pPr>
            <w:r>
              <w:rPr/>
              <w:t>​</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pPr>
            <w:r>
              <w:rPr/>
              <w:t>  ​</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no par, 240,000 shares authorized, 147,296 and 147,186 shares issued,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1,220,461</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1,218,494</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Retained earnings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385,508</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398,914</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(49,113)</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(37,496)</w:t>
            </w:r>
          </w:p>
        </w:tc>
      </w:tr>
      <w:tr>
        <w:trPr/>
        <w:tc>
          <w:tcPr>
            <w:tcW w:w="68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1,556,856</w:t>
            </w:r>
          </w:p>
        </w:tc>
        <w:tc>
          <w:tcPr>
            <w:tcW w:w="34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1,579,912</w:t>
            </w:r>
          </w:p>
        </w:tc>
      </w:tr>
      <w:tr>
        <w:trPr/>
        <w:tc>
          <w:tcPr>
            <w:tcW w:w="68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2,568,089</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2,615,904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1" w:name="_e3aa02b8_73f7_44ab_acd4_d36d5ee4d058"/>
      <w:bookmarkEnd w:id="121"/>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22" w:name="CONDENSEDCONSOLIDATEDSTATEMENTSOFOPERATI"/>
      <w:bookmarkEnd w:id="122"/>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3" w:name="Tc__E72JVmdSk2dIeWJotfggA_22_0"/>
      <w:bookmarkStart w:id="124" w:name="Tc_Vbbhlif1NkKuAPHjJKRnfA_21_0"/>
      <w:bookmarkStart w:id="125" w:name="Tc_UUOWvHJJzECIc6Nxld15LQ_20_0"/>
      <w:bookmarkStart w:id="126" w:name="Tc_4NUUFsVWn0WuB3vUWUcn4g_18_5"/>
      <w:bookmarkStart w:id="127" w:name="Tc_tVUCKTnfm0afKDqA4cnkCA_18_2"/>
      <w:bookmarkStart w:id="128" w:name="Tc__olHNcaluEWAIu6xwvbkWQ_18_0"/>
      <w:bookmarkStart w:id="129" w:name="Tc_hACyZBo8hE-VvEo9l-bL-Q_17_5"/>
      <w:bookmarkStart w:id="130" w:name="Tc_e91Vnq_mTEeI7qMpJWLzMw_17_2"/>
      <w:bookmarkStart w:id="131" w:name="Tc_dDcyvdnNG0-3JkoJHsvBLA_17_0"/>
      <w:bookmarkStart w:id="132" w:name="Tc_n3Q6zBmipUOtMJ452Y3bow_16_0"/>
      <w:bookmarkStart w:id="133" w:name="Tc_QWb83ZdLpkeST9u4f6fScw_14_5"/>
      <w:bookmarkStart w:id="134" w:name="Tc_146zbnHXj02jzeUn61lAlg_14_2"/>
      <w:bookmarkStart w:id="135" w:name="Tc_XoDX3ZOy3kubLBMVCACohQ_14_0"/>
      <w:bookmarkStart w:id="136" w:name="Tc_7BzpbVGQvUuQlqocmH1_Lw_13_0"/>
      <w:bookmarkStart w:id="137" w:name="Tc_6tgf78dgNUu7IPaB-6glSg_12_0"/>
      <w:bookmarkStart w:id="138" w:name="Tc_H2_yialMUESB2vFsMxu5XQ_11_0"/>
      <w:bookmarkStart w:id="139" w:name="Tc_SrFDIV3XA0a_3x4NuNidTw_10_0"/>
      <w:bookmarkStart w:id="140" w:name="Tc_QX3dIjFLNUKd9XfLAsiXxQ_9_0"/>
      <w:bookmarkStart w:id="141" w:name="Tc_uRhkyyVJc0W9N-U1oiPQmg_8_0"/>
      <w:bookmarkStart w:id="142" w:name="Tc_3s8XnDUEg0i5IXcH4VtMlA_7_0"/>
      <w:bookmarkStart w:id="143" w:name="Tc_bNjJLB_eqkepvWxoxm7Q-w_6_0"/>
      <w:bookmarkStart w:id="144" w:name="Tc_ExonBkDC_UaN-7eE2rvWxQ_5_0"/>
      <w:bookmarkStart w:id="145" w:name="Tc_gZpACKbMm0iEPmkjuCY9Qw_4_5"/>
      <w:bookmarkStart w:id="146" w:name="Tc_FpehQ2JCGU-cU42ftFrnLw_4_2"/>
      <w:bookmarkStart w:id="147" w:name="Tc_MdVKTLPWiEObAjbw7QOQOQ_4_0"/>
      <w:bookmarkStart w:id="148" w:name="Tc_68ffhoP7PkeezYhLRdxvKw_3_5"/>
      <w:bookmarkStart w:id="149" w:name="Tc_VXdUwlOX-E6LdJ-IPNqL7Q_3_2"/>
      <w:bookmarkStart w:id="150" w:name="Tc_9Y7aPpj8OUawBhAbkwmR7w_2_2"/>
      <w:bookmarkStart w:id="151" w:name="Tc_8AHSfRW6EkGxxAVoW9kTdw_1_2"/>
      <w:bookmarkStart w:id="152" w:name="_4ce44221_c13a_4a90_bb1b_77a934542557"/>
      <w:bookmarkStart w:id="153" w:name="Tc__E72JVmdSk2dIeWJotfggA_22_0"/>
      <w:bookmarkStart w:id="154" w:name="Tc_Vbbhlif1NkKuAPHjJKRnfA_21_0"/>
      <w:bookmarkStart w:id="155" w:name="Tc_UUOWvHJJzECIc6Nxld15LQ_20_0"/>
      <w:bookmarkStart w:id="156" w:name="Tc_4NUUFsVWn0WuB3vUWUcn4g_18_5"/>
      <w:bookmarkStart w:id="157" w:name="Tc_tVUCKTnfm0afKDqA4cnkCA_18_2"/>
      <w:bookmarkStart w:id="158" w:name="Tc__olHNcaluEWAIu6xwvbkWQ_18_0"/>
      <w:bookmarkStart w:id="159" w:name="Tc_hACyZBo8hE-VvEo9l-bL-Q_17_5"/>
      <w:bookmarkStart w:id="160" w:name="Tc_e91Vnq_mTEeI7qMpJWLzMw_17_2"/>
      <w:bookmarkStart w:id="161" w:name="Tc_dDcyvdnNG0-3JkoJHsvBLA_17_0"/>
      <w:bookmarkStart w:id="162" w:name="Tc_n3Q6zBmipUOtMJ452Y3bow_16_0"/>
      <w:bookmarkStart w:id="163" w:name="Tc_QWb83ZdLpkeST9u4f6fScw_14_5"/>
      <w:bookmarkStart w:id="164" w:name="Tc_146zbnHXj02jzeUn61lAlg_14_2"/>
      <w:bookmarkStart w:id="165" w:name="Tc_XoDX3ZOy3kubLBMVCACohQ_14_0"/>
      <w:bookmarkStart w:id="166" w:name="Tc_7BzpbVGQvUuQlqocmH1_Lw_13_0"/>
      <w:bookmarkStart w:id="167" w:name="Tc_6tgf78dgNUu7IPaB-6glSg_12_0"/>
      <w:bookmarkStart w:id="168" w:name="Tc_H2_yialMUESB2vFsMxu5XQ_11_0"/>
      <w:bookmarkStart w:id="169" w:name="Tc_SrFDIV3XA0a_3x4NuNidTw_10_0"/>
      <w:bookmarkStart w:id="170" w:name="Tc_QX3dIjFLNUKd9XfLAsiXxQ_9_0"/>
      <w:bookmarkStart w:id="171" w:name="Tc_uRhkyyVJc0W9N-U1oiPQmg_8_0"/>
      <w:bookmarkStart w:id="172" w:name="Tc_3s8XnDUEg0i5IXcH4VtMlA_7_0"/>
      <w:bookmarkStart w:id="173" w:name="Tc_bNjJLB_eqkepvWxoxm7Q-w_6_0"/>
      <w:bookmarkStart w:id="174" w:name="Tc_ExonBkDC_UaN-7eE2rvWxQ_5_0"/>
      <w:bookmarkStart w:id="175" w:name="Tc_gZpACKbMm0iEPmkjuCY9Qw_4_5"/>
      <w:bookmarkStart w:id="176" w:name="Tc_FpehQ2JCGU-cU42ftFrnLw_4_2"/>
      <w:bookmarkStart w:id="177" w:name="Tc_MdVKTLPWiEObAjbw7QOQOQ_4_0"/>
      <w:bookmarkStart w:id="178" w:name="Tc_68ffhoP7PkeezYhLRdxvKw_3_5"/>
      <w:bookmarkStart w:id="179" w:name="Tc_VXdUwlOX-E6LdJ-IPNqL7Q_3_2"/>
      <w:bookmarkStart w:id="180" w:name="Tc_9Y7aPpj8OUawBhAbkwmR7w_2_2"/>
      <w:bookmarkStart w:id="181" w:name="Tc_8AHSfRW6EkGxxAVoW9kTdw_1_2"/>
      <w:bookmarkStart w:id="182" w:name="_4ce44221_c13a_4a90_bb1b_77a934542557"/>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7151" w:type="dxa"/>
        <w:jc w:val="left"/>
        <w:tblInd w:w="0" w:type="dxa"/>
        <w:tblLayout w:type="fixed"/>
        <w:tblCellMar>
          <w:top w:w="0" w:type="dxa"/>
          <w:left w:w="0" w:type="dxa"/>
          <w:bottom w:w="0" w:type="dxa"/>
          <w:right w:w="0" w:type="dxa"/>
        </w:tblCellMar>
      </w:tblPr>
      <w:tblGrid>
        <w:gridCol w:w="4261"/>
        <w:gridCol w:w="346"/>
        <w:gridCol w:w="211"/>
        <w:gridCol w:w="811"/>
        <w:gridCol w:w="346"/>
        <w:gridCol w:w="211"/>
        <w:gridCol w:w="811"/>
        <w:gridCol w:w="154"/>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705735" cy="175260"/>
                      <wp:effectExtent l="0" t="0" r="0" b="0"/>
                      <wp:wrapNone/>
                      <wp:docPr id="16" name="Frame1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14985" cy="175260"/>
                      <wp:effectExtent l="0" t="0" r="0" b="0"/>
                      <wp:wrapNone/>
                      <wp:docPr id="19" name="Frame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14985" cy="175260"/>
                      <wp:effectExtent l="0" t="0" r="0" b="0"/>
                      <wp:wrapNone/>
                      <wp:docPr id="22" name="Frame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175260"/>
                      <wp:effectExtent l="0" t="0" r="0" b="0"/>
                      <wp:wrapNone/>
                      <wp:docPr id="23" name="Frame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287,946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278,064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279,118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250,526</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27,538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(19,366)</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1,416</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453</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151,039</w:t>
            </w:r>
          </w:p>
        </w:tc>
        <w:tc>
          <w:tcPr>
            <w:tcW w:w="154"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152,174</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183" w:name="_12e83bdc_df5d_4bb0_aaad_57a580145d57"/>
      <w:bookmarkEnd w:id="183"/>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84" w:name="CONDENSEDCONSOLIDATEDSTATEMENTSOFCOMPREH"/>
      <w:bookmarkEnd w:id="184"/>
      <w:r>
        <w:rPr>
          <w:rFonts w:ascii="Arial;Helvetica;sans-serif" w:hAnsi="Arial;Helvetica;sans-serif"/>
          <w:b/>
          <w:sz w:val="20"/>
        </w:rPr>
        <w:t>CONDENSED CONSOLIDATED STATEMENTS OF COMPREHENSIVE INCOME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5" w:name="Tc_oO42eXiJoke5O7WCDzcRug_6_5"/>
      <w:bookmarkStart w:id="186" w:name="Tc_JnpOg8Oc90qZ7n9dtsR7zA_6_2"/>
      <w:bookmarkStart w:id="187" w:name="Tc_brY6ebzYpkmC-MiU6jjFrw_6_0"/>
      <w:bookmarkStart w:id="188" w:name="Tc_ajUwxN8tKEydSRLOdECqCQ_5_0"/>
      <w:bookmarkStart w:id="189" w:name="Tc_hhnvPGjRyk6GQFz1vO8org_4_5"/>
      <w:bookmarkStart w:id="190" w:name="Tc_FXPgyZXedkuSanAJEwxKfw_4_2"/>
      <w:bookmarkStart w:id="191" w:name="Tc_KuRsLDzY-kOOLnsXJhKX_Q_4_0"/>
      <w:bookmarkStart w:id="192" w:name="Tc_pA55aH5RFEOMTHOk7PIYgw_3_5"/>
      <w:bookmarkStart w:id="193" w:name="Tc_v0Rfte7kNEu6sIMG7v9qFg_3_2"/>
      <w:bookmarkStart w:id="194" w:name="Tc_4CrTseTxnEqpXb_ZXbGcCA_2_2"/>
      <w:bookmarkStart w:id="195" w:name="Tc_GBjkjxaBv0yFr4m0gCD6yA_1_2"/>
      <w:bookmarkStart w:id="196" w:name="_07b7a4fb_949a_435a_b975_527a98038a6a"/>
      <w:bookmarkStart w:id="197" w:name="Tc_oO42eXiJoke5O7WCDzcRug_6_5"/>
      <w:bookmarkStart w:id="198" w:name="Tc_JnpOg8Oc90qZ7n9dtsR7zA_6_2"/>
      <w:bookmarkStart w:id="199" w:name="Tc_brY6ebzYpkmC-MiU6jjFrw_6_0"/>
      <w:bookmarkStart w:id="200" w:name="Tc_ajUwxN8tKEydSRLOdECqCQ_5_0"/>
      <w:bookmarkStart w:id="201" w:name="Tc_hhnvPGjRyk6GQFz1vO8org_4_5"/>
      <w:bookmarkStart w:id="202" w:name="Tc_FXPgyZXedkuSanAJEwxKfw_4_2"/>
      <w:bookmarkStart w:id="203" w:name="Tc_KuRsLDzY-kOOLnsXJhKX_Q_4_0"/>
      <w:bookmarkStart w:id="204" w:name="Tc_pA55aH5RFEOMTHOk7PIYgw_3_5"/>
      <w:bookmarkStart w:id="205" w:name="Tc_v0Rfte7kNEu6sIMG7v9qFg_3_2"/>
      <w:bookmarkStart w:id="206" w:name="Tc_4CrTseTxnEqpXb_ZXbGcCA_2_2"/>
      <w:bookmarkStart w:id="207" w:name="Tc_GBjkjxaBv0yFr4m0gCD6yA_1_2"/>
      <w:bookmarkStart w:id="208" w:name="_07b7a4fb_949a_435a_b975_527a98038a6a"/>
      <w:bookmarkEnd w:id="197"/>
      <w:bookmarkEnd w:id="198"/>
      <w:bookmarkEnd w:id="199"/>
      <w:bookmarkEnd w:id="200"/>
      <w:bookmarkEnd w:id="201"/>
      <w:bookmarkEnd w:id="202"/>
      <w:bookmarkEnd w:id="203"/>
      <w:bookmarkEnd w:id="204"/>
      <w:bookmarkEnd w:id="205"/>
      <w:bookmarkEnd w:id="206"/>
      <w:bookmarkEnd w:id="207"/>
      <w:bookmarkEnd w:id="208"/>
    </w:p>
    <w:tbl>
      <w:tblPr>
        <w:tblW w:w="10184" w:type="dxa"/>
        <w:jc w:val="left"/>
        <w:tblInd w:w="0" w:type="dxa"/>
        <w:tblLayout w:type="fixed"/>
        <w:tblCellMar>
          <w:top w:w="0" w:type="dxa"/>
          <w:left w:w="0" w:type="dxa"/>
          <w:bottom w:w="0" w:type="dxa"/>
          <w:right w:w="0" w:type="dxa"/>
        </w:tblCellMar>
      </w:tblPr>
      <w:tblGrid>
        <w:gridCol w:w="7651"/>
        <w:gridCol w:w="109"/>
        <w:gridCol w:w="211"/>
        <w:gridCol w:w="811"/>
        <w:gridCol w:w="346"/>
        <w:gridCol w:w="211"/>
        <w:gridCol w:w="691"/>
        <w:gridCol w:w="154"/>
      </w:tblGrid>
      <w:tr>
        <w:trPr/>
        <w:tc>
          <w:tcPr>
            <w:tcW w:w="76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14985" cy="175260"/>
                      <wp:effectExtent l="0" t="0" r="0" b="0"/>
                      <wp:wrapNone/>
                      <wp:docPr id="26" name="Frame2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29"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7790" cy="175260"/>
                      <wp:effectExtent l="0" t="0" r="0" b="0"/>
                      <wp:wrapNone/>
                      <wp:docPr id="30" name="Frame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7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76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76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76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3,072</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76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 - foreign currency translation gain (loss), net of tax</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(11,617)</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27,185</w:t>
            </w:r>
          </w:p>
        </w:tc>
        <w:tc>
          <w:tcPr>
            <w:tcW w:w="154" w:type="dxa"/>
            <w:tcBorders/>
            <w:vAlign w:val="center"/>
          </w:tcPr>
          <w:p>
            <w:pPr>
              <w:pStyle w:val="TableContents"/>
              <w:bidi w:val="0"/>
              <w:spacing w:before="0" w:after="1"/>
              <w:ind w:left="0" w:right="0" w:hanging="0"/>
              <w:jc w:val="right"/>
              <w:rPr/>
            </w:pPr>
            <w:r>
              <w:rPr/>
              <w:t>​</w:t>
            </w:r>
          </w:p>
        </w:tc>
      </w:tr>
      <w:tr>
        <w:trPr/>
        <w:tc>
          <w:tcPr>
            <w:tcW w:w="76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Comprehensive income (loss)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(25,023)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30,257</w:t>
            </w:r>
          </w:p>
        </w:tc>
        <w:tc>
          <w:tcPr>
            <w:tcW w:w="154"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09" w:name="_98a210a1_6efc_47e1_82a4_54c70a18a97c"/>
      <w:bookmarkEnd w:id="209"/>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10" w:name="CONDENSEDCONSOLIDATEDSTATEMENTSOFSEQTD"/>
      <w:bookmarkEnd w:id="210"/>
      <w:r>
        <w:rPr>
          <w:rFonts w:ascii="Arial;Helvetica;sans-serif" w:hAnsi="Arial;Helvetica;sans-serif"/>
          <w:b/>
          <w:sz w:val="20"/>
        </w:rPr>
        <w:t>CONDENSED CONSOLIDATED STATEMENTS OF SHAREHOLDERS’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1" w:name="Tc_-cuY0mbjHEikuLQQ4PdqXQ_17_13"/>
      <w:bookmarkStart w:id="212" w:name="Tc_xtz7hVOBy0ClOucfgYDOhQ_17_10"/>
      <w:bookmarkStart w:id="213" w:name="Tc_PY1B_bidA0ic8DN0eqhB-A_17_7"/>
      <w:bookmarkStart w:id="214" w:name="Tc_yruBvOhj706aZ0naiQ67Ug_17_4"/>
      <w:bookmarkStart w:id="215" w:name="Tc_SAVexaRDT0i4TUEN_c3vCw_17_0"/>
      <w:bookmarkStart w:id="216" w:name="Tc_XmxaK29yjEWEYaShRyirxg_16_11"/>
      <w:bookmarkStart w:id="217" w:name="Tc_jWgx-x2u-0ic5TyAPnHBCg_16_8"/>
      <w:bookmarkStart w:id="218" w:name="Tc_9x-FGp0NZkaP739HaqdbSA_16_2"/>
      <w:bookmarkStart w:id="219" w:name="Tc_KNYU-jgxUEKkR3ozyKQn_Q_16_0"/>
      <w:bookmarkStart w:id="220" w:name="Tc_Vs0vJ8ThhEGj90WSp1BuEw_15_11"/>
      <w:bookmarkStart w:id="221" w:name="Tc_GiBHChqmrEehDSurS29n4w_15_8"/>
      <w:bookmarkStart w:id="222" w:name="Tc_TUvirA3JD0abKBmGr283qg_15_0"/>
      <w:bookmarkStart w:id="223" w:name="Tc_4vgnaNDOdUmsRxbu70yK_A_14_8"/>
      <w:bookmarkStart w:id="224" w:name="Tc_gVHXBpbCAEO6zVR9lO1nsQ_14_5"/>
      <w:bookmarkStart w:id="225" w:name="Tc_c6WDcbVSWk6C0tJzwhTQcQ_14_2"/>
      <w:bookmarkStart w:id="226" w:name="Tc_nnYVASYIFkOOCbzNblJKgg_14_0"/>
      <w:bookmarkStart w:id="227" w:name="Tc_8Jw2lN09rUyFOVquktAYfQ_13_11"/>
      <w:bookmarkStart w:id="228" w:name="Tc_uGnCXHk23E2L9OBbS2TPgg_13_5"/>
      <w:bookmarkStart w:id="229" w:name="Tc_4H1fN-4kbkeeoYHczpb2ag_13_2"/>
      <w:bookmarkStart w:id="230" w:name="Tc_aIGiXpDEJUKLNnJFZ9z_4A_13_0"/>
      <w:bookmarkStart w:id="231" w:name="Tc_Bb5k4Em9Zk29UAXO5yJxVA_12_13"/>
      <w:bookmarkStart w:id="232" w:name="Tc_h5XZFQvpQ0-XjdcqGMNrmg_12_10"/>
      <w:bookmarkStart w:id="233" w:name="Tc_kKiH_Li-p0yVT8I8v1AlNg_12_7"/>
      <w:bookmarkStart w:id="234" w:name="Tc_f55_J0XT-EGYdQ4eBe4RNQ_12_4"/>
      <w:bookmarkStart w:id="235" w:name="Tc_oLCoq9twjkulx-NGE0EunQ_12_0"/>
      <w:bookmarkStart w:id="236" w:name="Tc_wewNcYIPj0OFagrzE8usuw_10_13"/>
      <w:bookmarkStart w:id="237" w:name="Tc_93em32-StkeeQtOhY8LqkQ_10_10"/>
      <w:bookmarkStart w:id="238" w:name="Tc_a_y79cpI1kGVe7bHWV_oZw_10_7"/>
      <w:bookmarkStart w:id="239" w:name="Tc_cRl9D2Ok70aDMgOf6q-MAQ_10_4"/>
      <w:bookmarkStart w:id="240" w:name="Tc_iYe-4fNdzUSYg7qveFQBqw_10_0"/>
      <w:bookmarkStart w:id="241" w:name="Tc_7q0Y43pwFkmC1jQxquOf_w_9_11"/>
      <w:bookmarkStart w:id="242" w:name="Tc_5WTBeaAiJkagApvvsTuSFA_9_8"/>
      <w:bookmarkStart w:id="243" w:name="Tc_jYMA85BWwEqnRlzgT9AQ6w_9_2"/>
      <w:bookmarkStart w:id="244" w:name="Tc_MZ-EAcB0iku4H4kaZLrlHA_9_0"/>
      <w:bookmarkStart w:id="245" w:name="Tc_z9z9uEdz2EGlChZR26V2Lg_8_11"/>
      <w:bookmarkStart w:id="246" w:name="Tc_ag2U3W7fJ0eqLq9J5BeBTw_8_8"/>
      <w:bookmarkStart w:id="247" w:name="Tc_1jljQNsyYUyHjLdZSTF9AQ_8_0"/>
      <w:bookmarkStart w:id="248" w:name="Tc_lqHGUNVzS0CLCgOztzb0lg_7_8"/>
      <w:bookmarkStart w:id="249" w:name="Tc_Vf-lDPSF70aAkM8cuBsRGQ_7_5"/>
      <w:bookmarkStart w:id="250" w:name="Tc_ZfQLy5QlREKbc_6W5qHjEQ_7_2"/>
      <w:bookmarkStart w:id="251" w:name="Tc_JTdolDQINkWw115Gq3oNuQ_7_0"/>
      <w:bookmarkStart w:id="252" w:name="Tc_5iO1n9OSHkKpKPq38QjBLA_6_11"/>
      <w:bookmarkStart w:id="253" w:name="Tc_N61lRKMp0UG0YJ4n-fztaw_6_5"/>
      <w:bookmarkStart w:id="254" w:name="Tc_Dmhs_IsclUq3knIC4Rj3Zw_6_2"/>
      <w:bookmarkStart w:id="255" w:name="Tc_NOPzuQzeH0iMQNKsmqjySg_6_0"/>
      <w:bookmarkStart w:id="256" w:name="Tc_d3kQDEKMdUSowXipKhNmiw_5_13"/>
      <w:bookmarkStart w:id="257" w:name="Tc_YV4yENCuIUKAsZIkLf9u0g_5_10"/>
      <w:bookmarkStart w:id="258" w:name="Tc_cjbThwYkfEqH7PBxLjQk-A_5_7"/>
      <w:bookmarkStart w:id="259" w:name="Tc_scdm3euMoUaalX-fdJ8Oeg_5_4"/>
      <w:bookmarkStart w:id="260" w:name="Tc_f9Ue5rV-D0SCsDTdb4SxHA_5_0"/>
      <w:bookmarkStart w:id="261" w:name="Tc_ZKRrSqso_0CWQI-tVjwndw_4_13"/>
      <w:bookmarkStart w:id="262" w:name="Tc_26K4ikme2kyUPoXjg-QLbA_4_10"/>
      <w:bookmarkStart w:id="263" w:name="Tc_l10qw1dUTkaU3p1X3FZgUA_4_7"/>
      <w:bookmarkStart w:id="264" w:name="Tc_h3SLiiUwPk6YGIAlanqzWQ_4_4"/>
      <w:bookmarkStart w:id="265" w:name="Tc_SIKA4cXujEqZJVMEJXLgVQ_4_2"/>
      <w:bookmarkStart w:id="266" w:name="Tc_W52-AttHCE2y0GT7Zik3Bg_3_13"/>
      <w:bookmarkStart w:id="267" w:name="Tc_pYBE6jVLPE-z8u0-xH_Kow_3_10"/>
      <w:bookmarkStart w:id="268" w:name="Tc_h90Kg5a0-Earp-J-aHN2hQ_3_7"/>
      <w:bookmarkStart w:id="269" w:name="Tc_Vfpy_hU-PUqx4U36buqlMw_3_2"/>
      <w:bookmarkStart w:id="270" w:name="Tc_DtxQAZB4S0KeRdoR5phyzA_2_13"/>
      <w:bookmarkStart w:id="271" w:name="Tc_cA_ID5NV0UOGJwBC24c78Q_2_10"/>
      <w:bookmarkStart w:id="272" w:name="Tc_cCSKhg3sP0mGrK2c7AKVqQ_1_10"/>
      <w:bookmarkStart w:id="273" w:name="_3eab777f_da29_4e15_9d61_25b7ae7f3dd3"/>
      <w:bookmarkStart w:id="274" w:name="Tc_-cuY0mbjHEikuLQQ4PdqXQ_17_13"/>
      <w:bookmarkStart w:id="275" w:name="Tc_xtz7hVOBy0ClOucfgYDOhQ_17_10"/>
      <w:bookmarkStart w:id="276" w:name="Tc_PY1B_bidA0ic8DN0eqhB-A_17_7"/>
      <w:bookmarkStart w:id="277" w:name="Tc_yruBvOhj706aZ0naiQ67Ug_17_4"/>
      <w:bookmarkStart w:id="278" w:name="Tc_SAVexaRDT0i4TUEN_c3vCw_17_0"/>
      <w:bookmarkStart w:id="279" w:name="Tc_XmxaK29yjEWEYaShRyirxg_16_11"/>
      <w:bookmarkStart w:id="280" w:name="Tc_jWgx-x2u-0ic5TyAPnHBCg_16_8"/>
      <w:bookmarkStart w:id="281" w:name="Tc_9x-FGp0NZkaP739HaqdbSA_16_2"/>
      <w:bookmarkStart w:id="282" w:name="Tc_KNYU-jgxUEKkR3ozyKQn_Q_16_0"/>
      <w:bookmarkStart w:id="283" w:name="Tc_Vs0vJ8ThhEGj90WSp1BuEw_15_11"/>
      <w:bookmarkStart w:id="284" w:name="Tc_GiBHChqmrEehDSurS29n4w_15_8"/>
      <w:bookmarkStart w:id="285" w:name="Tc_TUvirA3JD0abKBmGr283qg_15_0"/>
      <w:bookmarkStart w:id="286" w:name="Tc_4vgnaNDOdUmsRxbu70yK_A_14_8"/>
      <w:bookmarkStart w:id="287" w:name="Tc_gVHXBpbCAEO6zVR9lO1nsQ_14_5"/>
      <w:bookmarkStart w:id="288" w:name="Tc_c6WDcbVSWk6C0tJzwhTQcQ_14_2"/>
      <w:bookmarkStart w:id="289" w:name="Tc_nnYVASYIFkOOCbzNblJKgg_14_0"/>
      <w:bookmarkStart w:id="290" w:name="Tc_8Jw2lN09rUyFOVquktAYfQ_13_11"/>
      <w:bookmarkStart w:id="291" w:name="Tc_uGnCXHk23E2L9OBbS2TPgg_13_5"/>
      <w:bookmarkStart w:id="292" w:name="Tc_4H1fN-4kbkeeoYHczpb2ag_13_2"/>
      <w:bookmarkStart w:id="293" w:name="Tc_aIGiXpDEJUKLNnJFZ9z_4A_13_0"/>
      <w:bookmarkStart w:id="294" w:name="Tc_Bb5k4Em9Zk29UAXO5yJxVA_12_13"/>
      <w:bookmarkStart w:id="295" w:name="Tc_h5XZFQvpQ0-XjdcqGMNrmg_12_10"/>
      <w:bookmarkStart w:id="296" w:name="Tc_kKiH_Li-p0yVT8I8v1AlNg_12_7"/>
      <w:bookmarkStart w:id="297" w:name="Tc_f55_J0XT-EGYdQ4eBe4RNQ_12_4"/>
      <w:bookmarkStart w:id="298" w:name="Tc_oLCoq9twjkulx-NGE0EunQ_12_0"/>
      <w:bookmarkStart w:id="299" w:name="Tc_wewNcYIPj0OFagrzE8usuw_10_13"/>
      <w:bookmarkStart w:id="300" w:name="Tc_93em32-StkeeQtOhY8LqkQ_10_10"/>
      <w:bookmarkStart w:id="301" w:name="Tc_a_y79cpI1kGVe7bHWV_oZw_10_7"/>
      <w:bookmarkStart w:id="302" w:name="Tc_cRl9D2Ok70aDMgOf6q-MAQ_10_4"/>
      <w:bookmarkStart w:id="303" w:name="Tc_iYe-4fNdzUSYg7qveFQBqw_10_0"/>
      <w:bookmarkStart w:id="304" w:name="Tc_7q0Y43pwFkmC1jQxquOf_w_9_11"/>
      <w:bookmarkStart w:id="305" w:name="Tc_5WTBeaAiJkagApvvsTuSFA_9_8"/>
      <w:bookmarkStart w:id="306" w:name="Tc_jYMA85BWwEqnRlzgT9AQ6w_9_2"/>
      <w:bookmarkStart w:id="307" w:name="Tc_MZ-EAcB0iku4H4kaZLrlHA_9_0"/>
      <w:bookmarkStart w:id="308" w:name="Tc_z9z9uEdz2EGlChZR26V2Lg_8_11"/>
      <w:bookmarkStart w:id="309" w:name="Tc_ag2U3W7fJ0eqLq9J5BeBTw_8_8"/>
      <w:bookmarkStart w:id="310" w:name="Tc_1jljQNsyYUyHjLdZSTF9AQ_8_0"/>
      <w:bookmarkStart w:id="311" w:name="Tc_lqHGUNVzS0CLCgOztzb0lg_7_8"/>
      <w:bookmarkStart w:id="312" w:name="Tc_Vf-lDPSF70aAkM8cuBsRGQ_7_5"/>
      <w:bookmarkStart w:id="313" w:name="Tc_ZfQLy5QlREKbc_6W5qHjEQ_7_2"/>
      <w:bookmarkStart w:id="314" w:name="Tc_JTdolDQINkWw115Gq3oNuQ_7_0"/>
      <w:bookmarkStart w:id="315" w:name="Tc_5iO1n9OSHkKpKPq38QjBLA_6_11"/>
      <w:bookmarkStart w:id="316" w:name="Tc_N61lRKMp0UG0YJ4n-fztaw_6_5"/>
      <w:bookmarkStart w:id="317" w:name="Tc_Dmhs_IsclUq3knIC4Rj3Zw_6_2"/>
      <w:bookmarkStart w:id="318" w:name="Tc_NOPzuQzeH0iMQNKsmqjySg_6_0"/>
      <w:bookmarkStart w:id="319" w:name="Tc_d3kQDEKMdUSowXipKhNmiw_5_13"/>
      <w:bookmarkStart w:id="320" w:name="Tc_YV4yENCuIUKAsZIkLf9u0g_5_10"/>
      <w:bookmarkStart w:id="321" w:name="Tc_cjbThwYkfEqH7PBxLjQk-A_5_7"/>
      <w:bookmarkStart w:id="322" w:name="Tc_scdm3euMoUaalX-fdJ8Oeg_5_4"/>
      <w:bookmarkStart w:id="323" w:name="Tc_f9Ue5rV-D0SCsDTdb4SxHA_5_0"/>
      <w:bookmarkStart w:id="324" w:name="Tc_ZKRrSqso_0CWQI-tVjwndw_4_13"/>
      <w:bookmarkStart w:id="325" w:name="Tc_26K4ikme2kyUPoXjg-QLbA_4_10"/>
      <w:bookmarkStart w:id="326" w:name="Tc_l10qw1dUTkaU3p1X3FZgUA_4_7"/>
      <w:bookmarkStart w:id="327" w:name="Tc_h3SLiiUwPk6YGIAlanqzWQ_4_4"/>
      <w:bookmarkStart w:id="328" w:name="Tc_SIKA4cXujEqZJVMEJXLgVQ_4_2"/>
      <w:bookmarkStart w:id="329" w:name="Tc_W52-AttHCE2y0GT7Zik3Bg_3_13"/>
      <w:bookmarkStart w:id="330" w:name="Tc_pYBE6jVLPE-z8u0-xH_Kow_3_10"/>
      <w:bookmarkStart w:id="331" w:name="Tc_h90Kg5a0-Earp-J-aHN2hQ_3_7"/>
      <w:bookmarkStart w:id="332" w:name="Tc_Vfpy_hU-PUqx4U36buqlMw_3_2"/>
      <w:bookmarkStart w:id="333" w:name="Tc_DtxQAZB4S0KeRdoR5phyzA_2_13"/>
      <w:bookmarkStart w:id="334" w:name="Tc_cA_ID5NV0UOGJwBC24c78Q_2_10"/>
      <w:bookmarkStart w:id="335" w:name="Tc_cCSKhg3sP0mGrK2c7AKVqQ_1_10"/>
      <w:bookmarkStart w:id="336" w:name="_3eab777f_da29_4e15_9d61_25b7ae7f3dd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10205" w:type="dxa"/>
        <w:jc w:val="left"/>
        <w:tblInd w:w="0" w:type="dxa"/>
        <w:tblLayout w:type="fixed"/>
        <w:tblCellMar>
          <w:top w:w="0" w:type="dxa"/>
          <w:left w:w="0" w:type="dxa"/>
          <w:bottom w:w="0" w:type="dxa"/>
          <w:right w:w="0" w:type="dxa"/>
        </w:tblCellMar>
      </w:tblPr>
      <w:tblGrid>
        <w:gridCol w:w="2512"/>
        <w:gridCol w:w="346"/>
        <w:gridCol w:w="796"/>
        <w:gridCol w:w="346"/>
        <w:gridCol w:w="211"/>
        <w:gridCol w:w="961"/>
        <w:gridCol w:w="346"/>
        <w:gridCol w:w="211"/>
        <w:gridCol w:w="802"/>
        <w:gridCol w:w="346"/>
        <w:gridCol w:w="308"/>
        <w:gridCol w:w="1253"/>
        <w:gridCol w:w="346"/>
        <w:gridCol w:w="231"/>
        <w:gridCol w:w="1190"/>
      </w:tblGrid>
      <w:tr>
        <w:trPr/>
        <w:tc>
          <w:tcPr>
            <w:tcW w:w="2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5460" cy="175260"/>
                      <wp:effectExtent l="0" t="0" r="0" b="0"/>
                      <wp:wrapNone/>
                      <wp:docPr id="32" name="Frame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0235" cy="175260"/>
                      <wp:effectExtent l="0" t="0" r="0" b="0"/>
                      <wp:wrapNone/>
                      <wp:docPr id="35" name="Frame3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9270" cy="175260"/>
                      <wp:effectExtent l="0" t="0" r="0" b="0"/>
                      <wp:wrapNone/>
                      <wp:docPr id="38" name="Frame37"/>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95580" cy="175260"/>
                      <wp:effectExtent l="0" t="0" r="0" b="0"/>
                      <wp:wrapNone/>
                      <wp:docPr id="40" name="Frame39"/>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95655" cy="175260"/>
                      <wp:effectExtent l="0" t="0" r="0" b="0"/>
                      <wp:wrapNone/>
                      <wp:docPr id="41" name="Frame40"/>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685" cy="175260"/>
                      <wp:effectExtent l="0" t="0" r="0" b="0"/>
                      <wp:wrapNone/>
                      <wp:docPr id="43" name="Frame4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55650" cy="175260"/>
                      <wp:effectExtent l="0" t="0" r="0" b="0"/>
                      <wp:wrapNone/>
                      <wp:docPr id="44" name="Frame43"/>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b/>
                <w:sz w:val="20"/>
              </w:rPr>
              <w:t>Accumulated</w:t>
            </w:r>
            <w:r>
              <w:rPr>
                <w:rFonts w:ascii="Arial;Helvetica;sans-serif" w:hAnsi="Arial;Helvetica;sans-serif"/>
                <w:sz w:val="20"/>
              </w:rPr>
              <w:t xml:space="preserve"> </w:t>
            </w:r>
          </w:p>
        </w:tc>
        <w:tc>
          <w:tcPr>
            <w:tcW w:w="34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center"/>
              <w:rPr/>
            </w:pPr>
            <w:r>
              <w:rPr/>
              <w:t>​</w:t>
            </w:r>
          </w:p>
        </w:tc>
      </w:tr>
      <w:tr>
        <w:trPr/>
        <w:tc>
          <w:tcPr>
            <w:tcW w:w="2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Other</w:t>
            </w:r>
          </w:p>
        </w:tc>
        <w:tc>
          <w:tcPr>
            <w:tcW w:w="346" w:type="dxa"/>
            <w:tcBorders/>
            <w:vAlign w:val="center"/>
          </w:tcPr>
          <w:p>
            <w:pPr>
              <w:pStyle w:val="TableContents"/>
              <w:bidi w:val="0"/>
              <w:spacing w:before="0" w:after="1"/>
              <w:ind w:left="0" w:right="0" w:hanging="0"/>
              <w:jc w:val="center"/>
              <w:rPr/>
            </w:pPr>
            <w:r>
              <w:rPr/>
              <w:t>​</w:t>
            </w:r>
          </w:p>
        </w:tc>
        <w:tc>
          <w:tcPr>
            <w:tcW w:w="142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Common Stock</w:t>
            </w:r>
          </w:p>
        </w:tc>
        <w:tc>
          <w:tcPr>
            <w:tcW w:w="34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Retained</w:t>
            </w:r>
          </w:p>
        </w:tc>
        <w:tc>
          <w:tcPr>
            <w:tcW w:w="34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Comprehensive</w:t>
            </w:r>
          </w:p>
        </w:tc>
        <w:tc>
          <w:tcPr>
            <w:tcW w:w="346" w:type="dxa"/>
            <w:tcBorders/>
            <w:vAlign w:val="center"/>
          </w:tcPr>
          <w:p>
            <w:pPr>
              <w:pStyle w:val="TableContents"/>
              <w:bidi w:val="0"/>
              <w:spacing w:before="0" w:after="1"/>
              <w:ind w:left="0" w:right="0" w:hanging="0"/>
              <w:jc w:val="center"/>
              <w:rPr/>
            </w:pPr>
            <w:r>
              <w:rPr/>
              <w:t>​</w:t>
            </w:r>
          </w:p>
        </w:tc>
        <w:tc>
          <w:tcPr>
            <w:tcW w:w="142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Shareholders’</w:t>
            </w:r>
          </w:p>
        </w:tc>
      </w:tr>
      <w:tr>
        <w:trPr/>
        <w:tc>
          <w:tcPr>
            <w:tcW w:w="25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1"/>
              <w:ind w:left="0" w:right="0" w:hanging="0"/>
              <w:jc w:val="center"/>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Earnings</w:t>
            </w:r>
          </w:p>
        </w:tc>
        <w:tc>
          <w:tcPr>
            <w:tcW w:w="346" w:type="dxa"/>
            <w:tcBorders/>
            <w:vAlign w:val="center"/>
          </w:tcPr>
          <w:p>
            <w:pPr>
              <w:pStyle w:val="TableContents"/>
              <w:bidi w:val="0"/>
              <w:spacing w:before="0" w:after="1"/>
              <w:ind w:left="0" w:right="0" w:hanging="0"/>
              <w:jc w:val="center"/>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Loss</w:t>
            </w:r>
          </w:p>
        </w:tc>
        <w:tc>
          <w:tcPr>
            <w:tcW w:w="346" w:type="dxa"/>
            <w:tcBorders/>
            <w:vAlign w:val="center"/>
          </w:tcPr>
          <w:p>
            <w:pPr>
              <w:pStyle w:val="TableContents"/>
              <w:bidi w:val="0"/>
              <w:spacing w:before="0" w:after="1"/>
              <w:ind w:left="0" w:right="0" w:hanging="0"/>
              <w:jc w:val="center"/>
              <w:rPr/>
            </w:pPr>
            <w:r>
              <w:rPr/>
              <w:t>  ​ ​ ​</w:t>
            </w:r>
          </w:p>
        </w:tc>
        <w:tc>
          <w:tcPr>
            <w:tcW w:w="14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25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398,914</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(37,496)</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1,579,912</w:t>
            </w:r>
          </w:p>
        </w:tc>
      </w:tr>
      <w:tr>
        <w:trPr/>
        <w:tc>
          <w:tcPr>
            <w:tcW w:w="251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r>
      <w:tr>
        <w:trPr/>
        <w:tc>
          <w:tcPr>
            <w:tcW w:w="25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(11,617)</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(11,617)</w:t>
            </w:r>
          </w:p>
        </w:tc>
      </w:tr>
      <w:tr>
        <w:trPr/>
        <w:tc>
          <w:tcPr>
            <w:tcW w:w="251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w:t>
            </w:r>
          </w:p>
        </w:tc>
      </w:tr>
      <w:tr>
        <w:trPr/>
        <w:tc>
          <w:tcPr>
            <w:tcW w:w="25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1,268</w:t>
            </w:r>
          </w:p>
        </w:tc>
      </w:tr>
      <w:tr>
        <w:trPr/>
        <w:tc>
          <w:tcPr>
            <w:tcW w:w="251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2026</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1,220,461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385,508</w:t>
            </w:r>
          </w:p>
        </w:tc>
        <w:tc>
          <w:tcPr>
            <w:tcW w:w="346" w:type="dxa"/>
            <w:tcBorders/>
            <w:vAlign w:val="center"/>
          </w:tcPr>
          <w:p>
            <w:pPr>
              <w:pStyle w:val="TableContents"/>
              <w:bidi w:val="0"/>
              <w:spacing w:before="0" w:after="1"/>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(49,113)</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1,556,856</w:t>
            </w:r>
          </w:p>
        </w:tc>
      </w:tr>
      <w:tr>
        <w:trPr/>
        <w:tc>
          <w:tcPr>
            <w:tcW w:w="25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left"/>
              <w:rPr/>
            </w:pPr>
            <w:r>
              <w:rPr/>
              <w:t>​</w:t>
            </w:r>
          </w:p>
        </w:tc>
      </w:tr>
      <w:tr>
        <w:trPr/>
        <w:tc>
          <w:tcPr>
            <w:tcW w:w="251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2024</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150,243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1,252,253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368,087</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(100,575)</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1,519,765</w:t>
            </w:r>
          </w:p>
        </w:tc>
      </w:tr>
      <w:tr>
        <w:trPr/>
        <w:tc>
          <w:tcPr>
            <w:tcW w:w="25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3,072</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3,072</w:t>
            </w:r>
          </w:p>
        </w:tc>
      </w:tr>
      <w:tr>
        <w:trPr/>
        <w:tc>
          <w:tcPr>
            <w:tcW w:w="251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27,185</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1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27,185</w:t>
            </w:r>
          </w:p>
        </w:tc>
      </w:tr>
      <w:tr>
        <w:trPr/>
        <w:tc>
          <w:tcPr>
            <w:tcW w:w="25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1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(6,279)</w:t>
            </w:r>
          </w:p>
        </w:tc>
      </w:tr>
      <w:tr>
        <w:trPr/>
        <w:tc>
          <w:tcPr>
            <w:tcW w:w="251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w:t>
            </w:r>
          </w:p>
        </w:tc>
      </w:tr>
      <w:tr>
        <w:trPr/>
        <w:tc>
          <w:tcPr>
            <w:tcW w:w="25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151,530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1,247,496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371,159</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(73,390)</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1,545,265</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37" w:name="_5ac29f59_1e5b_482e_a577_baeb0dbbe3cb"/>
      <w:bookmarkEnd w:id="337"/>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338" w:name="CONDENSEDCONSOLIDATEDSTATEMENTSOFCASHFLO"/>
      <w:bookmarkEnd w:id="338"/>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9" w:name="Tc_jLGcs6xQU0WwvF2nv3_hSQ_37_5"/>
      <w:bookmarkStart w:id="340" w:name="Tc_YNkNB6NFkUKTBRHGs3t0Kg_37_2"/>
      <w:bookmarkStart w:id="341" w:name="Tc_iREDNBkCh0aglXIX5QgGVA_37_0"/>
      <w:bookmarkStart w:id="342" w:name="Tc_usNbMQGcyke0pgL_4g9Irw_36_0"/>
      <w:bookmarkStart w:id="343" w:name="Tc_VtLXGz8ZJUuw_AFU4PcNOg_35_0"/>
      <w:bookmarkStart w:id="344" w:name="Tc_pMJSJGEmaU-Tx2ZjmBGT4g_34_0"/>
      <w:bookmarkStart w:id="345" w:name="Tc_i-1NhJ8VfkO2rIvu9B2pUw_33_0"/>
      <w:bookmarkStart w:id="346" w:name="Tc_btJEnF97REmd5T4UGHFwpA_31_0"/>
      <w:bookmarkStart w:id="347" w:name="Tc_DWetbS8AyUioHmxhHExK5w_30_0"/>
      <w:bookmarkStart w:id="348" w:name="Tc_d_ai291vtEOy6S2ud26fUQ_29_0"/>
      <w:bookmarkStart w:id="349" w:name="Tc_vjh2XMl8QkCY7IYFw7lQ8w_28_0"/>
      <w:bookmarkStart w:id="350" w:name="Tc_dWEW0rrfm0meW0zNeY7i-A_27_0"/>
      <w:bookmarkStart w:id="351" w:name="Tc_Gj6c0z0oeEmdvoT6lW6hDw_25_0"/>
      <w:bookmarkStart w:id="352" w:name="Tc_bLjYycG4w0SmVSZU1DsFhA_24_0"/>
      <w:bookmarkStart w:id="353" w:name="Tc_LBV2x6nCpEi0unFRm3wigQ_23_0"/>
      <w:bookmarkStart w:id="354" w:name="Tc_cx3pEuyUL0KLyOK7DEmG3Q_21_0"/>
      <w:bookmarkStart w:id="355" w:name="Tc_7ThnKQaYuEikJnksFOMCqw_20_0"/>
      <w:bookmarkStart w:id="356" w:name="Tc_qpyapgBRekWpSVSezH4zqw_19_0"/>
      <w:bookmarkStart w:id="357" w:name="Tc_v4X3nsd7dkur4j_S0vksdQ_18_0"/>
      <w:bookmarkStart w:id="358" w:name="Tc_UVz1rJWtXEuN-2mbgO17DQ_17_0"/>
      <w:bookmarkStart w:id="359" w:name="Tc_-iT9-L2tcUGEFhB7oWZFCg_16_0"/>
      <w:bookmarkStart w:id="360" w:name="Tc_0qjesRNbGE-fy7fZiS6ong_15_0"/>
      <w:bookmarkStart w:id="361" w:name="Tc_Ua3VuThR4EGWOhfzfbcfog_14_0"/>
      <w:bookmarkStart w:id="362" w:name="Tc_FaxMGgadBE6pkSIGAxaCCQ_13_0"/>
      <w:bookmarkStart w:id="363" w:name="Tc_VTpKO9RC3ke5rcR4ry41aQ_12_0"/>
      <w:bookmarkStart w:id="364" w:name="Tc_lFGM2fI6mUOrg_ZwKPiE1A_11_0"/>
      <w:bookmarkStart w:id="365" w:name="Tc_q8hp9E7EYUu8uoZN11eC3Q_10_0"/>
      <w:bookmarkStart w:id="366" w:name="Tc_1FhvYJlIxkeatrmwfnqoLw_9_0"/>
      <w:bookmarkStart w:id="367" w:name="Tc_k8aVj3uRgkSNwZBuwpy2iQ_8_0"/>
      <w:bookmarkStart w:id="368" w:name="Tc_IBLQzJRt2Eq5kzlSgHrVYg_7_0"/>
      <w:bookmarkStart w:id="369" w:name="Tc_PdkQBLtnlEmWS3sX3syMug_6_0"/>
      <w:bookmarkStart w:id="370" w:name="Tc_dlmdY4Ql0kCAS8IPYA_GhA_5_5"/>
      <w:bookmarkStart w:id="371" w:name="Tc_RZkMBzWFokKNcOoXgmQmpw_5_2"/>
      <w:bookmarkStart w:id="372" w:name="Tc_gbiUXi2-nkWx36CrV-InJA_5_0"/>
      <w:bookmarkStart w:id="373" w:name="Tc_CcvfDfGiB0Kr40c_pjurKQ_4_0"/>
      <w:bookmarkStart w:id="374" w:name="Tc_6l8cExzOK0uJOlH6SJ2Hzw_3_5"/>
      <w:bookmarkStart w:id="375" w:name="Tc_sR3gs5lZ1E-DD1-CW08XFw_3_2"/>
      <w:bookmarkStart w:id="376" w:name="Tc_f3o_TAlNkUmfD3Fk5yMEBA_2_2"/>
      <w:bookmarkStart w:id="377" w:name="Tc__Pdg5GJCDUOOVexNhXaesg_1_2"/>
      <w:bookmarkStart w:id="378" w:name="_3998c0c7_db44_429e_9867_29ed561ad449"/>
      <w:bookmarkStart w:id="379" w:name="Tc_jLGcs6xQU0WwvF2nv3_hSQ_37_5"/>
      <w:bookmarkStart w:id="380" w:name="Tc_YNkNB6NFkUKTBRHGs3t0Kg_37_2"/>
      <w:bookmarkStart w:id="381" w:name="Tc_iREDNBkCh0aglXIX5QgGVA_37_0"/>
      <w:bookmarkStart w:id="382" w:name="Tc_usNbMQGcyke0pgL_4g9Irw_36_0"/>
      <w:bookmarkStart w:id="383" w:name="Tc_VtLXGz8ZJUuw_AFU4PcNOg_35_0"/>
      <w:bookmarkStart w:id="384" w:name="Tc_pMJSJGEmaU-Tx2ZjmBGT4g_34_0"/>
      <w:bookmarkStart w:id="385" w:name="Tc_i-1NhJ8VfkO2rIvu9B2pUw_33_0"/>
      <w:bookmarkStart w:id="386" w:name="Tc_btJEnF97REmd5T4UGHFwpA_31_0"/>
      <w:bookmarkStart w:id="387" w:name="Tc_DWetbS8AyUioHmxhHExK5w_30_0"/>
      <w:bookmarkStart w:id="388" w:name="Tc_d_ai291vtEOy6S2ud26fUQ_29_0"/>
      <w:bookmarkStart w:id="389" w:name="Tc_vjh2XMl8QkCY7IYFw7lQ8w_28_0"/>
      <w:bookmarkStart w:id="390" w:name="Tc_dWEW0rrfm0meW0zNeY7i-A_27_0"/>
      <w:bookmarkStart w:id="391" w:name="Tc_Gj6c0z0oeEmdvoT6lW6hDw_25_0"/>
      <w:bookmarkStart w:id="392" w:name="Tc_bLjYycG4w0SmVSZU1DsFhA_24_0"/>
      <w:bookmarkStart w:id="393" w:name="Tc_LBV2x6nCpEi0unFRm3wigQ_23_0"/>
      <w:bookmarkStart w:id="394" w:name="Tc_cx3pEuyUL0KLyOK7DEmG3Q_21_0"/>
      <w:bookmarkStart w:id="395" w:name="Tc_7ThnKQaYuEikJnksFOMCqw_20_0"/>
      <w:bookmarkStart w:id="396" w:name="Tc_qpyapgBRekWpSVSezH4zqw_19_0"/>
      <w:bookmarkStart w:id="397" w:name="Tc_v4X3nsd7dkur4j_S0vksdQ_18_0"/>
      <w:bookmarkStart w:id="398" w:name="Tc_UVz1rJWtXEuN-2mbgO17DQ_17_0"/>
      <w:bookmarkStart w:id="399" w:name="Tc_-iT9-L2tcUGEFhB7oWZFCg_16_0"/>
      <w:bookmarkStart w:id="400" w:name="Tc_0qjesRNbGE-fy7fZiS6ong_15_0"/>
      <w:bookmarkStart w:id="401" w:name="Tc_Ua3VuThR4EGWOhfzfbcfog_14_0"/>
      <w:bookmarkStart w:id="402" w:name="Tc_FaxMGgadBE6pkSIGAxaCCQ_13_0"/>
      <w:bookmarkStart w:id="403" w:name="Tc_VTpKO9RC3ke5rcR4ry41aQ_12_0"/>
      <w:bookmarkStart w:id="404" w:name="Tc_lFGM2fI6mUOrg_ZwKPiE1A_11_0"/>
      <w:bookmarkStart w:id="405" w:name="Tc_q8hp9E7EYUu8uoZN11eC3Q_10_0"/>
      <w:bookmarkStart w:id="406" w:name="Tc_1FhvYJlIxkeatrmwfnqoLw_9_0"/>
      <w:bookmarkStart w:id="407" w:name="Tc_k8aVj3uRgkSNwZBuwpy2iQ_8_0"/>
      <w:bookmarkStart w:id="408" w:name="Tc_IBLQzJRt2Eq5kzlSgHrVYg_7_0"/>
      <w:bookmarkStart w:id="409" w:name="Tc_PdkQBLtnlEmWS3sX3syMug_6_0"/>
      <w:bookmarkStart w:id="410" w:name="Tc_dlmdY4Ql0kCAS8IPYA_GhA_5_5"/>
      <w:bookmarkStart w:id="411" w:name="Tc_RZkMBzWFokKNcOoXgmQmpw_5_2"/>
      <w:bookmarkStart w:id="412" w:name="Tc_gbiUXi2-nkWx36CrV-InJA_5_0"/>
      <w:bookmarkStart w:id="413" w:name="Tc_CcvfDfGiB0Kr40c_pjurKQ_4_0"/>
      <w:bookmarkStart w:id="414" w:name="Tc_6l8cExzOK0uJOlH6SJ2Hzw_3_5"/>
      <w:bookmarkStart w:id="415" w:name="Tc_sR3gs5lZ1E-DD1-CW08XFw_3_2"/>
      <w:bookmarkStart w:id="416" w:name="Tc_f3o_TAlNkUmfD3Fk5yMEBA_2_2"/>
      <w:bookmarkStart w:id="417" w:name="Tc__Pdg5GJCDUOOVexNhXaesg_1_2"/>
      <w:bookmarkStart w:id="418" w:name="_3998c0c7_db44_429e_9867_29ed561ad449"/>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tbl>
      <w:tblPr>
        <w:tblW w:w="10205" w:type="dxa"/>
        <w:jc w:val="left"/>
        <w:tblInd w:w="0" w:type="dxa"/>
        <w:tblLayout w:type="fixed"/>
        <w:tblCellMar>
          <w:top w:w="0" w:type="dxa"/>
          <w:left w:w="0" w:type="dxa"/>
          <w:bottom w:w="0" w:type="dxa"/>
          <w:right w:w="0" w:type="dxa"/>
        </w:tblCellMar>
      </w:tblPr>
      <w:tblGrid>
        <w:gridCol w:w="7084"/>
        <w:gridCol w:w="346"/>
        <w:gridCol w:w="211"/>
        <w:gridCol w:w="807"/>
        <w:gridCol w:w="346"/>
        <w:gridCol w:w="211"/>
        <w:gridCol w:w="807"/>
        <w:gridCol w:w="393"/>
      </w:tblGrid>
      <w:tr>
        <w:trPr/>
        <w:tc>
          <w:tcPr>
            <w:tcW w:w="7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12445" cy="175260"/>
                      <wp:effectExtent l="0" t="0" r="0" b="0"/>
                      <wp:wrapNone/>
                      <wp:docPr id="47" name="Frame46"/>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12445" cy="175260"/>
                      <wp:effectExtent l="0" t="0" r="0" b="0"/>
                      <wp:wrapNone/>
                      <wp:docPr id="50" name="Frame49"/>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49555" cy="175260"/>
                      <wp:effectExtent l="0" t="0" r="0" b="0"/>
                      <wp:wrapNone/>
                      <wp:docPr id="51" name="Frame5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2" w:type="dxa"/>
            <w:gridSpan w:val="5"/>
            <w:tcBorders/>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 xml:space="preserve">Three Months Ended </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March 31, </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2026</w:t>
            </w:r>
          </w:p>
        </w:tc>
        <w:tc>
          <w:tcPr>
            <w:tcW w:w="346" w:type="dxa"/>
            <w:tcBorders/>
            <w:vAlign w:val="center"/>
          </w:tcPr>
          <w:p>
            <w:pPr>
              <w:pStyle w:val="TableContents"/>
              <w:bidi w:val="0"/>
              <w:spacing w:before="0" w:after="1"/>
              <w:ind w:left="0" w:right="0" w:hanging="0"/>
              <w:jc w:val="center"/>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2025</w:t>
            </w:r>
          </w:p>
        </w:tc>
        <w:tc>
          <w:tcPr>
            <w:tcW w:w="393" w:type="dxa"/>
            <w:tcBorders/>
            <w:vAlign w:val="center"/>
          </w:tcPr>
          <w:p>
            <w:pPr>
              <w:pStyle w:val="TableContents"/>
              <w:bidi w:val="0"/>
              <w:spacing w:before="0" w:after="1"/>
              <w:ind w:left="0" w:right="0" w:hanging="0"/>
              <w:jc w:val="center"/>
              <w:rPr/>
            </w:pPr>
            <w:r>
              <w:rPr/>
              <w:t>  ​ ​ ​</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(13,406)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3,072</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Adjustments to reconcile net income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Depreciation and amortization, excluding amortization of deferred certification and dry dock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33,622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33,248</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deferred certification and dry dock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10,242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9,234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certification and dry dock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(8,870)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(17,855)</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535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502</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1,363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1,651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(400)</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Unrealized foreign currency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75,849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(1,116)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(1,038)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(16,835)</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tax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(11,071)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(2,702)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payable and 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(23,835)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4,518</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(531)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3,640</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61,786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16,442</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(2,811)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(4,488)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(2,811)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(4,488)</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Repayment of MARAD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(4,763)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(4,537)</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Payments related to tax withholding for share-based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(7,266)</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issuance of ESPP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491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728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(4,343)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(11,075)</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Effect of exchange rate changes on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1,444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1,078</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56,076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1,957</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708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445,196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368,030</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8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501,272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369,987</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419" w:name="_8aa9ac93_ceed_4e92_94e6_7ed4f3521042"/>
      <w:bookmarkEnd w:id="419"/>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420" w:name="NOTESTOCONDENSEDCONSOLIDATEDFINANCIALSTA"/>
      <w:bookmarkEnd w:id="420"/>
      <w:r>
        <w:rPr>
          <w:rFonts w:ascii="Arial;Helvetica;sans-serif" w:hAnsi="Arial;Helvetica;sans-serif"/>
          <w:b/>
          <w:sz w:val="20"/>
        </w:rPr>
        <w:t>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 — Basis of Presentation and 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accounting principles generally accepted in the U.S.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income (loss), statements of shareholders’ equity and statements of cash flows, as applicable. The operating results for the three-month period ended March 31, 2026 are not necessarily indicative of the results that may be expected for the year ending December 31, 2026. Our balance sheet as of December 31, 2025 included herein has been derived from the audited balance sheet as of December 31, 2025 included in our 2025 Annual Report on Form 10-K (our “2025 Form 10-K”). These unaudited condensed consolidated financial statements should be read in conjunction with the audited annual consolidated financial statements and notes thereto included in our 2025 Form 10-K.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Certain reclassifications were made to previously reported amounts in the consolidated financial statements and notes thereto to make them consistent with the current presentation format.</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November 2024, the Financial Accounting Standards Board (the “FASB”) issued Accounting Standards Update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 (v) 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do not expect other recently issued accounting standards to have a material impact on our financial position, results of operations or cash flows when they become effective.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2 — Company 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an international offshore energy services company that provides specialty services to the offshore energy industry, with a focus on well intervention, robotics and decommissioning operations. Our services are key in supporting a global energy transition: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Production maximization</w:t>
            </w:r>
            <w:r>
              <w:rPr>
                <w:caps w:val="false"/>
                <w:smallCaps w:val="false"/>
              </w:rPr>
              <w:t xml:space="preserve"> — </w:t>
            </w:r>
            <w:r>
              <w:rPr>
                <w:rFonts w:ascii="Arial;Helvetica;sans-serif" w:hAnsi="Arial;Helvetica;sans-serif"/>
                <w:b w:val="false"/>
                <w:i w:val="false"/>
                <w:caps w:val="false"/>
                <w:smallCaps w:val="false"/>
                <w:sz w:val="20"/>
              </w:rPr>
              <w:t>our assets and methodologies are specifically designed to safely and efficiently enhance and extend the lives of existing oil and gas reserves;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Decommissioning</w:t>
            </w:r>
            <w:r>
              <w:rPr>
                <w:caps w:val="false"/>
                <w:smallCaps w:val="false"/>
              </w:rPr>
              <w:t xml:space="preserve"> — </w:t>
            </w:r>
            <w:r>
              <w:rPr>
                <w:rFonts w:ascii="Arial;Helvetica;sans-serif" w:hAnsi="Arial;Helvetica;sans-serif"/>
                <w:b w:val="false"/>
                <w:i w:val="false"/>
                <w:caps w:val="false"/>
                <w:smallCaps w:val="false"/>
                <w:sz w:val="20"/>
              </w:rPr>
              <w:t>we are a full-field abandonment contractor with vessels and systems to safely and efficiently decommission offshore wells and infrastructure in both deepwater and the Gulf of America shelf;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Renewables</w:t>
            </w:r>
            <w:r>
              <w:rPr>
                <w:caps w:val="false"/>
                <w:smallCaps w:val="false"/>
              </w:rPr>
              <w:t xml:space="preserve"> — </w:t>
            </w:r>
            <w:r>
              <w:rPr>
                <w:rFonts w:ascii="Arial;Helvetica;sans-serif" w:hAnsi="Arial;Helvetica;sans-serif"/>
                <w:b w:val="false"/>
                <w:i w:val="false"/>
                <w:caps w:val="false"/>
                <w:smallCaps w:val="false"/>
                <w:sz w:val="20"/>
              </w:rPr>
              <w:t>we are an established global leader in jet trenching and provide specialty support services to renewable energy developments (primarily offshore wind farms), including boulder removal and unexploded ordnance clearance.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a range of services to the oil and gas and renewable energy markets primarily in the Gulf of America (deepwater and shelf), Brazil, North Sea, West Africa and Asia Pacific regions. Our North Sea operations and our Gulf of America shelf operations are usually subject to seasonal changes in activity levels, which generally peak in the summer months and decline in the winter months. Our services are segregated into four reportable business segments: Well Intervention, Robotics, Shallow Water Abandonment and Production Facilities.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two chartered vessels, the </w:t>
      </w:r>
      <w:r>
        <w:rPr>
          <w:rFonts w:ascii="Arial;Helvetica;sans-serif" w:hAnsi="Arial;Helvetica;sans-serif"/>
          <w:i/>
          <w:sz w:val="20"/>
        </w:rPr>
        <w:t>Sea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(formerly </w:t>
      </w:r>
      <w:r>
        <w:rPr>
          <w:rFonts w:ascii="Arial;Helvetica;sans-serif" w:hAnsi="Arial;Helvetica;sans-serif"/>
          <w:i/>
          <w:sz w:val="20"/>
        </w:rPr>
        <w:t>Siem Helix 1</w:t>
      </w:r>
      <w:r>
        <w:rPr>
          <w:rFonts w:ascii="Arial;Helvetica;sans-serif" w:hAnsi="Arial;Helvetica;sans-serif"/>
          <w:sz w:val="20"/>
        </w:rPr>
        <w:t xml:space="preserve">) and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some of which we provide on a stand-alone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to additional energy sources.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segment provides services in support of the upstream and midstream ‎industries predominantly in the Gulf of America shelf, including offshore oilfield decommissioning and ‎reclamation, well intervention, IRM, heavy lift and commercial diving services. Our Shallow Water Abandonment segment includes Helix Alliance that was acquired in July 2022, a vertically integrated company that offers a diversified fleet of marine assets including liftboats, offshore supply vessels (“OSVs”), dive support vessels (“DSVs”), a heavy lift derrick barge, a crew boat, plug and abandonment (“P&amp;A”) systems and coiled tubing (“CT”) systems.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421" w:name="Tc_pk_HNEubS02NJTQhWhm-2g_8_5"/>
      <w:bookmarkStart w:id="422" w:name="Tc_qhql6ntgok-vyJPaSiN1YA_8_2"/>
      <w:bookmarkStart w:id="423" w:name="Tc_rG2kUnnHdk2vLusVDtqIDw_8_0"/>
      <w:bookmarkStart w:id="424" w:name="Tc_HMzIgiK4eU2Ug4G2HxV-_g_7_0"/>
      <w:bookmarkStart w:id="425" w:name="Tc_O85-7MKtqkKH2Vklei7XuQ_6_0"/>
      <w:bookmarkStart w:id="426" w:name="Tc_H61mIC_K5kunUi5L9GRHBg_5_0"/>
      <w:bookmarkStart w:id="427" w:name="Tc_bE577-fIXEujkn7EOh6Wzw_4_0"/>
      <w:bookmarkStart w:id="428" w:name="Tc_s86wxtkhSESvJj0N3dGlIg_3_5"/>
      <w:bookmarkStart w:id="429" w:name="Tc_jwOtohn9mUqAjty5wGEOjg_3_2"/>
      <w:bookmarkStart w:id="430" w:name="Tc_38Z6eUNZhUGLp005AKeAVA_3_0"/>
      <w:bookmarkStart w:id="431" w:name="Tc_uXGQGPaZEECV6pvC-3_MxA_2_5"/>
      <w:bookmarkStart w:id="432" w:name="Tc_aOa4pqA8oEuNCIrJSV61tA_2_2"/>
      <w:bookmarkStart w:id="433" w:name="Tc_D7QXtDKJYUyD0K8aRb9z8w_1_5"/>
      <w:bookmarkStart w:id="434" w:name="Tc_EJiG7z5ejk-OjvbfBozKag_1_2"/>
      <w:bookmarkStart w:id="435" w:name="_6de66bd6_b159_4d26_a2e4_6df2c78160a4"/>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Fonts w:ascii="Arial;Helvetica;sans-serif" w:hAnsi="Arial;Helvetica;sans-serif"/>
          <w:b/>
          <w:sz w:val="20"/>
        </w:rPr>
        <w:t>Note 3 — Details of Certain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current assets consist of the following (in thousands):</w:t>
      </w:r>
    </w:p>
    <w:p>
      <w:pPr>
        <w:pStyle w:val="TextBody"/>
        <w:bidi w:val="0"/>
        <w:spacing w:before="0" w:after="240"/>
        <w:ind w:left="0" w:right="0" w:firstLine="720"/>
        <w:jc w:val="left"/>
        <w:rPr/>
      </w:pPr>
      <w:r>
        <w:rPr/>
        <w:t>​</w:t>
      </w:r>
    </w:p>
    <w:tbl>
      <w:tblPr>
        <w:tblW w:w="5583" w:type="dxa"/>
        <w:jc w:val="left"/>
        <w:tblInd w:w="0" w:type="dxa"/>
        <w:tblLayout w:type="fixed"/>
        <w:tblCellMar>
          <w:top w:w="0" w:type="dxa"/>
          <w:left w:w="0" w:type="dxa"/>
          <w:bottom w:w="0" w:type="dxa"/>
          <w:right w:w="0" w:type="dxa"/>
        </w:tblCellMar>
      </w:tblPr>
      <w:tblGrid>
        <w:gridCol w:w="2356"/>
        <w:gridCol w:w="346"/>
        <w:gridCol w:w="249"/>
        <w:gridCol w:w="816"/>
        <w:gridCol w:w="346"/>
        <w:gridCol w:w="303"/>
        <w:gridCol w:w="1167"/>
      </w:tblGrid>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8115" cy="175260"/>
                      <wp:effectExtent l="0" t="0" r="0" b="0"/>
                      <wp:wrapNone/>
                      <wp:docPr id="53" name="Frame5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18160" cy="175260"/>
                      <wp:effectExtent l="0" t="0" r="0" b="0"/>
                      <wp:wrapNone/>
                      <wp:docPr id="54" name="Frame53"/>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2405" cy="175260"/>
                      <wp:effectExtent l="0" t="0" r="0" b="0"/>
                      <wp:wrapNone/>
                      <wp:docPr id="56" name="Frame5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41045" cy="175260"/>
                      <wp:effectExtent l="0" t="0" r="0" b="0"/>
                      <wp:wrapNone/>
                      <wp:docPr id="57" name="Frame56"/>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33,116</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29,345</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receivable</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18,302</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7,383</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Contract assets (Note 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9,696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10,871</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13,420</w:t>
            </w:r>
          </w:p>
        </w:tc>
        <w:tc>
          <w:tcPr>
            <w:tcW w:w="3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18,678</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13,373</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9,580</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current assets</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87,907</w:t>
            </w:r>
          </w:p>
        </w:tc>
        <w:tc>
          <w:tcPr>
            <w:tcW w:w="3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75,857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436" w:name="Tc_FLWc14jUlkmkhpqr3m246A_5_5"/>
      <w:bookmarkStart w:id="437" w:name="Tc_UetQDGmzsEO7D56wUo1wng_5_2"/>
      <w:bookmarkStart w:id="438" w:name="Tc_NwpmkCQoqky9kBq62zZkwA_5_0"/>
      <w:bookmarkStart w:id="439" w:name="Tc_VgCeqy0EN02iyLcyZoRiUA_4_0"/>
      <w:bookmarkStart w:id="440" w:name="Tc_bJ4kCN8OZkCIXc6Yo9gfMQ_3_5"/>
      <w:bookmarkStart w:id="441" w:name="Tc_j6M2KAjAh0a2aD8GWzhm_A_3_2"/>
      <w:bookmarkStart w:id="442" w:name="Tc_vv7YloOUbUStIZpsqNfq_g_3_0"/>
      <w:bookmarkStart w:id="443" w:name="Tc__reVacWdkEKkyZMN1Rs6-g_2_5"/>
      <w:bookmarkStart w:id="444" w:name="Tc_l6BuV9Wt1Emd3nbEUuhl8w_2_2"/>
      <w:bookmarkStart w:id="445" w:name="Tc_tn5g-1O_JE6p48Z9GsD8KQ_1_5"/>
      <w:bookmarkStart w:id="446" w:name="Tc_EdVstIC8j0ibI67FQB6vkg_1_2"/>
      <w:bookmarkStart w:id="447" w:name="_c0e38dfd_e717_445a_8858_70836d22dc2b"/>
      <w:bookmarkStart w:id="448" w:name="Tc_wY-4YQknTkifyYhJob49mQ_7_5"/>
      <w:bookmarkStart w:id="449" w:name="Tc_iRte9ie7PkaO5fQEQpnt8A_7_2"/>
      <w:bookmarkStart w:id="450" w:name="Tc_5NecSRYCLkW_AdnPK07_2g_7_0"/>
      <w:bookmarkStart w:id="451" w:name="Tc_DuL4Sjsk5E-txcbrXXKBrg_6_0"/>
      <w:bookmarkStart w:id="452" w:name="Tc_DPWMXkaWQ0uZ3bW4_CIW-w_5_0"/>
      <w:bookmarkStart w:id="453" w:name="Tc_SQhuFqTe6UGXtDNG1fpaTA_4_0"/>
      <w:bookmarkStart w:id="454" w:name="Tc_AeWLOdxxoECWfjtiKeF41Q_3_5"/>
      <w:bookmarkStart w:id="455" w:name="Tc_KhPcta2jFkqDlRdzAwNIjw_3_2"/>
      <w:bookmarkStart w:id="456" w:name="Tc_OXwBw1RXtkCOWSkKEbGcWA_3_0"/>
      <w:bookmarkStart w:id="457" w:name="Tc_4jQ_gBolHEey-wy_ukxUaA_2_5"/>
      <w:bookmarkStart w:id="458" w:name="Tc_Q9HB0yKofUeDsiurjN4bXA_2_2"/>
      <w:bookmarkStart w:id="459" w:name="Tc_j00rlgvK5k2-ZpiPjcMn8Q_1_5"/>
      <w:bookmarkStart w:id="460" w:name="Tc_tiMeFp-I2k-sufy6rFbYxQ_1_2"/>
      <w:bookmarkStart w:id="461" w:name="_a3ff5a9d_4c0e_4126_ad9b_ddbef402b6a0"/>
      <w:bookmarkStart w:id="462" w:name="Tc_8XE8U40P3U250wYTuY1DXA_8_5"/>
      <w:bookmarkStart w:id="463" w:name="Tc_pbCmOyBkgUuPcapab5PYuA_8_2"/>
      <w:bookmarkStart w:id="464" w:name="Tc_T1ol3r-TXUGKgrFQ1JGqtg_8_0"/>
      <w:bookmarkStart w:id="465" w:name="Tc_EMXgKWGGiEe9P6AorRSeYg_7_0"/>
      <w:bookmarkStart w:id="466" w:name="Tc_tCSv5n11Eki79S9LjEG-FA_6_0"/>
      <w:bookmarkStart w:id="467" w:name="Tc_H0ehiS5hN0eqOB1jOXBSFQ_5_0"/>
      <w:bookmarkStart w:id="468" w:name="Tc_8f84FF5rnku339TbY8ywow_4_0"/>
      <w:bookmarkStart w:id="469" w:name="Tc_bS_aN7ur40ioLqc9FXTjEA_3_5"/>
      <w:bookmarkStart w:id="470" w:name="Tc_7tAr28XmsEWxuWMpFMQLow_3_2"/>
      <w:bookmarkStart w:id="471" w:name="Tc_zDx0TCQ6U0esH1pd8R-ymQ_3_0"/>
      <w:bookmarkStart w:id="472" w:name="Tc_tV8B1cum0kW8U9DoqRsRyg_2_5"/>
      <w:bookmarkStart w:id="473" w:name="Tc_khB2cjRsWUO27CYuA88FoA_2_2"/>
      <w:bookmarkStart w:id="474" w:name="Tc_LXGMMnZV9UaKuixOouAUsQ_1_5"/>
      <w:bookmarkStart w:id="475" w:name="Tc_S0reXIKzmUy_bKsCwPgJfg_1_2"/>
      <w:bookmarkStart w:id="476" w:name="_0abacb42_57b8_447d_8868_c58cbeccf6a6"/>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Arial;Helvetica;sans-serif" w:hAnsi="Arial;Helvetica;sans-serif"/>
          <w:sz w:val="20"/>
        </w:rPr>
        <w:t>Other assets, net consist of the following (in thousands):</w:t>
      </w:r>
    </w:p>
    <w:p>
      <w:pPr>
        <w:pStyle w:val="TextBody"/>
        <w:bidi w:val="0"/>
        <w:spacing w:before="0" w:after="0"/>
        <w:ind w:left="0" w:right="0" w:firstLine="720"/>
        <w:jc w:val="left"/>
        <w:rPr/>
      </w:pPr>
      <w:r>
        <w:rPr/>
        <w:t>​</w:t>
      </w:r>
    </w:p>
    <w:tbl>
      <w:tblPr>
        <w:tblW w:w="6573" w:type="dxa"/>
        <w:jc w:val="left"/>
        <w:tblInd w:w="0" w:type="dxa"/>
        <w:tblLayout w:type="fixed"/>
        <w:tblCellMar>
          <w:top w:w="0" w:type="dxa"/>
          <w:left w:w="0" w:type="dxa"/>
          <w:bottom w:w="0" w:type="dxa"/>
          <w:right w:w="0" w:type="dxa"/>
        </w:tblCellMar>
      </w:tblPr>
      <w:tblGrid>
        <w:gridCol w:w="3346"/>
        <w:gridCol w:w="346"/>
        <w:gridCol w:w="249"/>
        <w:gridCol w:w="816"/>
        <w:gridCol w:w="346"/>
        <w:gridCol w:w="303"/>
        <w:gridCol w:w="1167"/>
      </w:tblGrid>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115" cy="175260"/>
                      <wp:effectExtent l="0" t="0" r="0" b="0"/>
                      <wp:wrapNone/>
                      <wp:docPr id="59" name="Frame5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18160" cy="175260"/>
                      <wp:effectExtent l="0" t="0" r="0" b="0"/>
                      <wp:wrapNone/>
                      <wp:docPr id="60" name="Frame59"/>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2405" cy="175260"/>
                      <wp:effectExtent l="0" t="0" r="0" b="0"/>
                      <wp:wrapNone/>
                      <wp:docPr id="62" name="Frame6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41045" cy="175260"/>
                      <wp:effectExtent l="0" t="0" r="0" b="0"/>
                      <wp:wrapNone/>
                      <wp:docPr id="63" name="Frame62"/>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Prepaid charter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c>
          <w:tcPr>
            <w:tcW w:w="34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costs (Note 8)</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7,380</w:t>
            </w:r>
          </w:p>
        </w:tc>
        <w:tc>
          <w:tcPr>
            <w:tcW w:w="34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6,910</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receivable </w:t>
            </w:r>
            <w:r>
              <w:rPr>
                <w:rFonts w:ascii="Arial;Helvetica;sans-serif" w:hAnsi="Arial;Helvetica;san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27,945</w:t>
            </w:r>
          </w:p>
        </w:tc>
        <w:tc>
          <w:tcPr>
            <w:tcW w:w="34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27,291</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Intangible assets with finite lives, net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3,131</w:t>
            </w:r>
          </w:p>
        </w:tc>
        <w:tc>
          <w:tcPr>
            <w:tcW w:w="34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3,262</w:t>
            </w:r>
          </w:p>
        </w:tc>
      </w:tr>
      <w:tr>
        <w:trPr/>
        <w:tc>
          <w:tcPr>
            <w:tcW w:w="33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1,301</w:t>
            </w:r>
          </w:p>
        </w:tc>
        <w:tc>
          <w:tcPr>
            <w:tcW w:w="346" w:type="dxa"/>
            <w:tcBorders/>
            <w:shd w:fill="CCEEFF" w:val="clear"/>
            <w:vAlign w:val="center"/>
          </w:tcPr>
          <w:p>
            <w:pPr>
              <w:pStyle w:val="TableContents"/>
              <w:bidi w:val="0"/>
              <w:spacing w:before="0" w:after="1"/>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1,411</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assets, net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52,301</w:t>
            </w:r>
          </w:p>
        </w:tc>
        <w:tc>
          <w:tcPr>
            <w:tcW w:w="346" w:type="dxa"/>
            <w:tcBorders/>
            <w:vAlign w:val="center"/>
          </w:tcPr>
          <w:p>
            <w:pPr>
              <w:pStyle w:val="TableContents"/>
              <w:bidi w:val="0"/>
              <w:spacing w:before="0" w:after="1"/>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51,418</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Represents prepayments to the owner of the </w:t>
            </w:r>
            <w:r>
              <w:rPr>
                <w:rFonts w:ascii="Arial;Helvetica;sans-serif" w:hAnsi="Arial;Helvetica;sans-serif"/>
                <w:b w:val="false"/>
                <w:i/>
                <w:sz w:val="20"/>
              </w:rPr>
              <w:t>Sea Helix</w:t>
            </w:r>
            <w:r>
              <w:rPr>
                <w:caps w:val="false"/>
                <w:smallCaps w:val="false"/>
              </w:rPr>
              <w:t> </w:t>
            </w:r>
            <w:r>
              <w:rPr>
                <w:rFonts w:ascii="Arial;Helvetica;sans-serif" w:hAnsi="Arial;Helvetica;sans-serif"/>
                <w:b w:val="false"/>
                <w:i/>
                <w:sz w:val="20"/>
              </w:rPr>
              <w:t>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2</w:t>
            </w:r>
            <w:r>
              <w:rPr>
                <w:rFonts w:ascii="Arial;Helvetica;sans-serif" w:hAnsi="Arial;Helvetica;sans-serif"/>
                <w:b w:val="false"/>
                <w:i w:val="false"/>
                <w:caps w:val="false"/>
                <w:smallCaps w:val="false"/>
                <w:sz w:val="20"/>
              </w:rPr>
              <w:t>, which may be used to offset certain payment obligations associated with the vessels at the end of their respective charter term.</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present value of receivables for P&amp;A work to be performed by us on Droshky field oil and gas properties we acquired from Marathon Oil Corporation in 2019.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liabilities consist of the following (in thousands):</w:t>
      </w:r>
    </w:p>
    <w:p>
      <w:pPr>
        <w:pStyle w:val="TextBody"/>
        <w:bidi w:val="0"/>
        <w:spacing w:before="0" w:after="240"/>
        <w:ind w:left="0" w:right="0" w:firstLine="720"/>
        <w:jc w:val="left"/>
        <w:rPr/>
      </w:pPr>
      <w:r>
        <w:rPr/>
        <w:t>​</w:t>
      </w:r>
    </w:p>
    <w:tbl>
      <w:tblPr>
        <w:tblW w:w="6468" w:type="dxa"/>
        <w:jc w:val="left"/>
        <w:tblInd w:w="0" w:type="dxa"/>
        <w:tblLayout w:type="fixed"/>
        <w:tblCellMar>
          <w:top w:w="0" w:type="dxa"/>
          <w:left w:w="0" w:type="dxa"/>
          <w:bottom w:w="0" w:type="dxa"/>
          <w:right w:w="0" w:type="dxa"/>
        </w:tblCellMar>
      </w:tblPr>
      <w:tblGrid>
        <w:gridCol w:w="3241"/>
        <w:gridCol w:w="346"/>
        <w:gridCol w:w="249"/>
        <w:gridCol w:w="816"/>
        <w:gridCol w:w="346"/>
        <w:gridCol w:w="303"/>
        <w:gridCol w:w="1167"/>
      </w:tblGrid>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8115" cy="175260"/>
                      <wp:effectExtent l="0" t="0" r="0" b="0"/>
                      <wp:wrapNone/>
                      <wp:docPr id="65" name="Frame6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18160" cy="175260"/>
                      <wp:effectExtent l="0" t="0" r="0" b="0"/>
                      <wp:wrapNone/>
                      <wp:docPr id="66" name="Frame65"/>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92405" cy="175260"/>
                      <wp:effectExtent l="0" t="0" r="0" b="0"/>
                      <wp:wrapNone/>
                      <wp:docPr id="68" name="Frame6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41045" cy="175260"/>
                      <wp:effectExtent l="0" t="0" r="0" b="0"/>
                      <wp:wrapNone/>
                      <wp:docPr id="69" name="Frame68"/>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payroll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34,700</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45,463</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2,570</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10,102</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revenue (Note 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13,793</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17,115</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18,074</w:t>
            </w:r>
          </w:p>
        </w:tc>
        <w:tc>
          <w:tcPr>
            <w:tcW w:w="346" w:type="dxa"/>
            <w:tcBorders/>
            <w:vAlign w:val="center"/>
          </w:tcPr>
          <w:p>
            <w:pPr>
              <w:pStyle w:val="TableContents"/>
              <w:bidi w:val="0"/>
              <w:spacing w:before="0" w:after="0"/>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22,271</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69,137</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94,951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non-current liabilities consist of the following (in thousands):</w:t>
      </w:r>
    </w:p>
    <w:p>
      <w:pPr>
        <w:pStyle w:val="TextBody"/>
        <w:bidi w:val="0"/>
        <w:spacing w:before="0" w:after="240"/>
        <w:ind w:left="0" w:right="0" w:firstLine="720"/>
        <w:jc w:val="left"/>
        <w:rPr/>
      </w:pPr>
      <w:r>
        <w:rPr/>
        <w:t>​</w:t>
      </w:r>
    </w:p>
    <w:tbl>
      <w:tblPr>
        <w:tblW w:w="6633" w:type="dxa"/>
        <w:jc w:val="left"/>
        <w:tblInd w:w="0" w:type="dxa"/>
        <w:tblLayout w:type="fixed"/>
        <w:tblCellMar>
          <w:top w:w="0" w:type="dxa"/>
          <w:left w:w="0" w:type="dxa"/>
          <w:bottom w:w="0" w:type="dxa"/>
          <w:right w:w="0" w:type="dxa"/>
        </w:tblCellMar>
      </w:tblPr>
      <w:tblGrid>
        <w:gridCol w:w="3406"/>
        <w:gridCol w:w="346"/>
        <w:gridCol w:w="249"/>
        <w:gridCol w:w="816"/>
        <w:gridCol w:w="346"/>
        <w:gridCol w:w="303"/>
        <w:gridCol w:w="1167"/>
      </w:tblGrid>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58115" cy="175260"/>
                      <wp:effectExtent l="0" t="0" r="0" b="0"/>
                      <wp:wrapNone/>
                      <wp:docPr id="71" name="Frame7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18160" cy="175260"/>
                      <wp:effectExtent l="0" t="0" r="0" b="0"/>
                      <wp:wrapNone/>
                      <wp:docPr id="72" name="Frame7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2405" cy="175260"/>
                      <wp:effectExtent l="0" t="0" r="0" b="0"/>
                      <wp:wrapNone/>
                      <wp:docPr id="74" name="Frame7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41045" cy="175260"/>
                      <wp:effectExtent l="0" t="0" r="0" b="0"/>
                      <wp:wrapNone/>
                      <wp:docPr id="75" name="Frame74"/>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 retirement obligations (Note 12)</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70,309</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68,770</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2,641</w:t>
            </w:r>
          </w:p>
        </w:tc>
        <w:tc>
          <w:tcPr>
            <w:tcW w:w="346" w:type="dxa"/>
            <w:tcBorders/>
            <w:vAlign w:val="center"/>
          </w:tcPr>
          <w:p>
            <w:pPr>
              <w:pStyle w:val="TableContents"/>
              <w:bidi w:val="0"/>
              <w:spacing w:before="0" w:after="0"/>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2,663</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72,950</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71,433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477" w:name="Tc_C4yJrDZbR0qAOnVwyiV6Iw_8_5"/>
      <w:bookmarkStart w:id="478" w:name="Tc_l_V83J2go02q-HVetSFBqA_8_2"/>
      <w:bookmarkStart w:id="479" w:name="Tc_-zh81zWLJU2fCkkCjQiuTg_8_0"/>
      <w:bookmarkStart w:id="480" w:name="Tc_q2aRfmbsPE6QnrH8sdztJA_7_0"/>
      <w:bookmarkStart w:id="481" w:name="Tc_RVYbOwmod0SMvJVHTsCexg_6_0"/>
      <w:bookmarkStart w:id="482" w:name="Tc_izOOZ2kFwUeH1Su6AOsCQA_5_0"/>
      <w:bookmarkStart w:id="483" w:name="Tc_8FDAXR_DI0u-raqoK6im9A_4_5"/>
      <w:bookmarkStart w:id="484" w:name="Tc_H5lYp5HfjkCSWJlcLh_kYw_4_2"/>
      <w:bookmarkStart w:id="485" w:name="Tc_gssdfOqaH0-AAZ-N7sXIBA_4_0"/>
      <w:bookmarkStart w:id="486" w:name="Tc_3i4kcu3Wr0iBrs0xj9JQOw_3_5"/>
      <w:bookmarkStart w:id="487" w:name="Tc_U1vJHxg-yEiY09HIhzyPHw_3_2"/>
      <w:bookmarkStart w:id="488" w:name="Tc_f61rXM-pdUON76SpAAqJ6w_2_2"/>
      <w:bookmarkStart w:id="489" w:name="Tc_9ggC_RNWeUO1g6asI6GWQA_1_2"/>
      <w:bookmarkStart w:id="490" w:name="_5815b568_cda6_4a89_b819_fb63f2c0c290"/>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Arial;Helvetica;sans-serif" w:hAnsi="Arial;Helvetica;sans-serif"/>
          <w:b/>
          <w:sz w:val="20"/>
        </w:rPr>
        <w:t>Note 4 — 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charter vessels and lease facilities and equipment under non-cancelable contracts that expire on various dates through 2034.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lease cost (in thousands):</w:t>
      </w:r>
    </w:p>
    <w:p>
      <w:pPr>
        <w:pStyle w:val="TextBody"/>
        <w:bidi w:val="0"/>
        <w:spacing w:before="0" w:after="240"/>
        <w:ind w:left="0" w:right="0" w:firstLine="720"/>
        <w:jc w:val="left"/>
        <w:rPr/>
      </w:pPr>
      <w:r>
        <w:rPr/>
        <w:t>​</w:t>
      </w:r>
    </w:p>
    <w:tbl>
      <w:tblPr>
        <w:tblW w:w="4609" w:type="dxa"/>
        <w:jc w:val="left"/>
        <w:tblInd w:w="0" w:type="dxa"/>
        <w:tblLayout w:type="fixed"/>
        <w:tblCellMar>
          <w:top w:w="0" w:type="dxa"/>
          <w:left w:w="0" w:type="dxa"/>
          <w:bottom w:w="0" w:type="dxa"/>
          <w:right w:w="0" w:type="dxa"/>
        </w:tblCellMar>
      </w:tblPr>
      <w:tblGrid>
        <w:gridCol w:w="1996"/>
        <w:gridCol w:w="346"/>
        <w:gridCol w:w="211"/>
        <w:gridCol w:w="691"/>
        <w:gridCol w:w="346"/>
        <w:gridCol w:w="211"/>
        <w:gridCol w:w="808"/>
      </w:tblGrid>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8785" cy="175260"/>
                      <wp:effectExtent l="0" t="0" r="0" b="0"/>
                      <wp:wrapNone/>
                      <wp:docPr id="78" name="Frame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13080" cy="175260"/>
                      <wp:effectExtent l="0" t="0" r="0" b="0"/>
                      <wp:wrapNone/>
                      <wp:docPr id="81" name="Frame8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22,781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21,230</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2,346</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8,862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8,943</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Sublease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32,089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32,490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491" w:name="Tc_fzxrS38J_Uanw60FIBO7Iw_5_0"/>
      <w:bookmarkStart w:id="492" w:name="Tc_0cqSlkbeWEOzpLSeBsgOSw_4_5"/>
      <w:bookmarkStart w:id="493" w:name="Tc_t01JrEqnFkmwNQkt-Lu_ZQ_4_2"/>
      <w:bookmarkStart w:id="494" w:name="Tc_kkgW1MB1cEeaY-zNO2CaXg_4_0"/>
      <w:bookmarkStart w:id="495" w:name="Tc_a4ShOr88w0WzQpyCc_6KtQ_3_5"/>
      <w:bookmarkStart w:id="496" w:name="Tc_PketePTB5EqUSsoXq8cyHg_3_2"/>
      <w:bookmarkStart w:id="497" w:name="Tc_VJMDwB2mR0CvNlguRFmXjg_2_2"/>
      <w:bookmarkStart w:id="498" w:name="Tc_tnSDGLSNV0eUOGZ84VSsFA_1_2"/>
      <w:bookmarkStart w:id="499" w:name="_bdc31c5c_b885_4a6a_8f96_8e56da4fc7da"/>
      <w:bookmarkStart w:id="500" w:name="Tc_R1k_H58y-UWjePd-_EiMhw_4_6"/>
      <w:bookmarkStart w:id="501" w:name="Tc_EJ8t3YzElkmGSzGjebP1oA_4_3"/>
      <w:bookmarkStart w:id="502" w:name="Tc_FJfLRk7yt0K4JdsEyMH47g_4_0"/>
      <w:bookmarkStart w:id="503" w:name="Tc_RSKLWZLUwEidLxVWshyRNw_3_6"/>
      <w:bookmarkStart w:id="504" w:name="Tc_WJH0OrcI6kqEr6TBOi9TiQ_3_3"/>
      <w:bookmarkStart w:id="505" w:name="Tc_jC-lD1mMk0O0tLJ_9n6RoQ_3_0"/>
      <w:bookmarkStart w:id="506" w:name="Tc_Ja9YSDcePEKQp3DZh6iXuw_2_5"/>
      <w:bookmarkStart w:id="507" w:name="Tc_LV6cgeOg7keslMVS4RyCPA_2_2"/>
      <w:bookmarkStart w:id="508" w:name="Tc_NK2JHxSvx0WwYqbElGI7dg_1_5"/>
      <w:bookmarkStart w:id="509" w:name="Tc_23c-9-0OJU-I7vUC8RRx4Q_1_2"/>
      <w:bookmarkStart w:id="510" w:name="Tc_YEBH2pB-MEWm62Ut9rARQw_15_8"/>
      <w:bookmarkStart w:id="511" w:name="Tc_wzgvIVFD702eihM6zku08Q_15_5"/>
      <w:bookmarkStart w:id="512" w:name="Tc_Y9yo_xrzzUusf-4_LhQD-Q_15_2"/>
      <w:bookmarkStart w:id="513" w:name="Tc_iFrEYzPdr0eZV-rKTc8_Uw_15_0"/>
      <w:bookmarkStart w:id="514" w:name="Tc_BdKh8pSI9kemPiXBzHWbDw_14_0"/>
      <w:bookmarkStart w:id="515" w:name="Tc_9pVK5lx7LEiTo5r46lbN2A_13_8"/>
      <w:bookmarkStart w:id="516" w:name="Tc_6pdsCgFzmke-7_K5i_dALA_13_5"/>
      <w:bookmarkStart w:id="517" w:name="Tc_y1qlJRmlKE22DDcMlbNqpg_13_2"/>
      <w:bookmarkStart w:id="518" w:name="Tc_-7sZKp2f8EWeFrxgbnf1Aw_13_0"/>
      <w:bookmarkStart w:id="519" w:name="Tc_WUBEHSDpVUatDQOEoiJeXw_11_8"/>
      <w:bookmarkStart w:id="520" w:name="Tc_AX65lzWHS0KF5rvZvttjuA_11_5"/>
      <w:bookmarkStart w:id="521" w:name="Tc_cnH-_ADmGk6LX-QCG8P0cg_11_2"/>
      <w:bookmarkStart w:id="522" w:name="Tc_sNyrb4cTE0en5ZNB9xGtpA_11_0"/>
      <w:bookmarkStart w:id="523" w:name="Tc_ueZ57m30Ek2VHKUkXTtwAw_10_0"/>
      <w:bookmarkStart w:id="524" w:name="Tc_pcUt2tuHuUy0pfZV1DThuQ_9_8"/>
      <w:bookmarkStart w:id="525" w:name="Tc_V23kl1oTrUuZnsZEoMs68g_9_5"/>
      <w:bookmarkStart w:id="526" w:name="Tc_wV2C6d0LaUe0HzGcjXqo-Q_9_2"/>
      <w:bookmarkStart w:id="527" w:name="Tc_hvUxHG9j_0-46xJEDiZNSg_9_0"/>
      <w:bookmarkStart w:id="528" w:name="Tc_3kKJ8iMfukGTgT1Z7a4EhA_8_0"/>
      <w:bookmarkStart w:id="529" w:name="Tc_sfuwudVH2keKoATlNDTiHQ_7_0"/>
      <w:bookmarkStart w:id="530" w:name="Tc_u0APvy3wL0WjhHif26svKQ_6_0"/>
      <w:bookmarkStart w:id="531" w:name="Tc_2cKaOKOinUyysE5iBmd5Cw_5_0"/>
      <w:bookmarkStart w:id="532" w:name="Tc_dax1vo86IkaAFxcAweyQMg_4_0"/>
      <w:bookmarkStart w:id="533" w:name="Tc_9O6pHgLVOEKY-yaQmzmoZA_3_8"/>
      <w:bookmarkStart w:id="534" w:name="Tc_Qb5DyJEeYU2usYRJL_-1aQ_3_5"/>
      <w:bookmarkStart w:id="535" w:name="Tc_DWnOoRGPtkmFIgRKClS1Zg_3_2"/>
      <w:bookmarkStart w:id="536" w:name="Tc_ZUT_ubw9LEqkiP95i96GoA_3_0"/>
      <w:bookmarkStart w:id="537" w:name="Tc_wCNt9UzobUqnQfWOs_f0Kg_2_8"/>
      <w:bookmarkStart w:id="538" w:name="Tc_YZUp-Pa8XEuhclAYg3Q-Wg_2_5"/>
      <w:bookmarkStart w:id="539" w:name="Tc_zT9lGVVPq0KYXBbKPmsymw_2_2"/>
      <w:bookmarkStart w:id="540" w:name="Tc_GoxQUDA8r06okAJYzfmj9w_1_5"/>
      <w:bookmarkStart w:id="541" w:name="_2fc97759_1d90_49a8_8242_fb3ef4c48b40"/>
      <w:bookmarkStart w:id="542" w:name="Tc_e5nOc_BPeEagYdxTR2Gs8w_15_8"/>
      <w:bookmarkStart w:id="543" w:name="Tc_skkcclAwNkGM68NSxnVD5g_15_5"/>
      <w:bookmarkStart w:id="544" w:name="Tc_AAO05OtOJkOkFv371aM42A_15_2"/>
      <w:bookmarkStart w:id="545" w:name="Tc_oL1wQNP7HE6s6MNr-MPo6Q_15_0"/>
      <w:bookmarkStart w:id="546" w:name="Tc_OoXgDWvzl0CdK6u7qvMgEg_14_0"/>
      <w:bookmarkStart w:id="547" w:name="Tc_k9tbDGx1Vk6j2J68bwHmMA_13_8"/>
      <w:bookmarkStart w:id="548" w:name="Tc_c_lDGahDCkC26hw5vhWhMg_13_5"/>
      <w:bookmarkStart w:id="549" w:name="Tc_l3Fn30GVk0Kuytg7D9s5lA_13_2"/>
      <w:bookmarkStart w:id="550" w:name="Tc_jjcVWR_dJkK54buxdvYG2w_13_0"/>
      <w:bookmarkStart w:id="551" w:name="Tc_8a1Ir9Tz3UOFKwUkQT7GTw_11_8"/>
      <w:bookmarkStart w:id="552" w:name="Tc_xewwasKhW0axDZ911e5lPA_11_5"/>
      <w:bookmarkStart w:id="553" w:name="Tc_39FGwaq710eZPvnxRRGWmQ_11_2"/>
      <w:bookmarkStart w:id="554" w:name="Tc_wZso_jraokSJW2eteeDQcg_11_0"/>
      <w:bookmarkStart w:id="555" w:name="Tc_gwQFAZo-JUOHvrQ9Q27oKw_10_0"/>
      <w:bookmarkStart w:id="556" w:name="Tc_J9AElJBP-E2_dUkDbXAPYw_9_8"/>
      <w:bookmarkStart w:id="557" w:name="Tc_qN_w50N7C02aiEbB80MM3w_9_5"/>
      <w:bookmarkStart w:id="558" w:name="Tc_BBaFZTex-EW0fFbWdxfvXg_9_2"/>
      <w:bookmarkStart w:id="559" w:name="Tc_H4CqascAZEK2LMO0KQFMaQ_9_0"/>
      <w:bookmarkStart w:id="560" w:name="Tc_jQArFBfOMkStuyUjeTCKLA_8_0"/>
      <w:bookmarkStart w:id="561" w:name="Tc_3Cp7RmEll0yiy_p5t6bNWA_7_0"/>
      <w:bookmarkStart w:id="562" w:name="Tc_9tDDu56UKkigHsiJQOx5Ng_6_0"/>
      <w:bookmarkStart w:id="563" w:name="Tc_AXIK9Mz7sku3Ttna8M25Tw_5_0"/>
      <w:bookmarkStart w:id="564" w:name="Tc_4Dd24AU17kuwTRFBoK0ZNw_4_0"/>
      <w:bookmarkStart w:id="565" w:name="Tc_iAe2voHM0ECeoaMXFVI3lw_3_8"/>
      <w:bookmarkStart w:id="566" w:name="Tc_BYt6mFJCOUGuL2SZzyaGjQ_3_5"/>
      <w:bookmarkStart w:id="567" w:name="Tc_CCjK1Nhv-Eic8e7QzsEjCw_3_2"/>
      <w:bookmarkStart w:id="568" w:name="Tc_1qPB-5Nec0GH-NylonzCMg_3_0"/>
      <w:bookmarkStart w:id="569" w:name="Tc_17D7Hn4vUke1ciaNVzPqyw_2_8"/>
      <w:bookmarkStart w:id="570" w:name="Tc_elnymVQ8YEqXTD79ZqQvCw_2_5"/>
      <w:bookmarkStart w:id="571" w:name="Tc_gt27qgaIpU6ofXIBqTx5pg_2_2"/>
      <w:bookmarkStart w:id="572" w:name="Tc_0SFO_9J4Z0iLc5F4CK-I8g_1_5"/>
      <w:bookmarkStart w:id="573" w:name="_894f9919_3306_4bf2_be97_13f1dfc8727d"/>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rPr>
          <w:rFonts w:ascii="Arial;Helvetica;sans-serif" w:hAnsi="Arial;Helvetica;sans-serif"/>
          <w:sz w:val="20"/>
        </w:rPr>
        <w:t>Maturities of our operating lease liabilities as of March 31, 2026 are as follows (in thousands):</w:t>
      </w:r>
    </w:p>
    <w:p>
      <w:pPr>
        <w:pStyle w:val="TextBody"/>
        <w:bidi w:val="0"/>
        <w:spacing w:before="0" w:after="240"/>
        <w:ind w:left="0" w:right="0" w:firstLine="720"/>
        <w:jc w:val="left"/>
        <w:rPr/>
      </w:pPr>
      <w:r>
        <w:rPr/>
        <w:t>​</w:t>
      </w:r>
    </w:p>
    <w:tbl>
      <w:tblPr>
        <w:tblW w:w="7850" w:type="dxa"/>
        <w:jc w:val="left"/>
        <w:tblInd w:w="0" w:type="dxa"/>
        <w:tblLayout w:type="fixed"/>
        <w:tblCellMar>
          <w:top w:w="0" w:type="dxa"/>
          <w:left w:w="0" w:type="dxa"/>
          <w:bottom w:w="0" w:type="dxa"/>
          <w:right w:w="0" w:type="dxa"/>
        </w:tblCellMar>
      </w:tblPr>
      <w:tblGrid>
        <w:gridCol w:w="3316"/>
        <w:gridCol w:w="346"/>
        <w:gridCol w:w="211"/>
        <w:gridCol w:w="811"/>
        <w:gridCol w:w="346"/>
        <w:gridCol w:w="315"/>
        <w:gridCol w:w="1035"/>
        <w:gridCol w:w="346"/>
        <w:gridCol w:w="211"/>
        <w:gridCol w:w="913"/>
      </w:tblGrid>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14985" cy="175260"/>
                      <wp:effectExtent l="0" t="0" r="0" b="0"/>
                      <wp:wrapNone/>
                      <wp:docPr id="84" name="Frame8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0025" cy="175260"/>
                      <wp:effectExtent l="0" t="0" r="0" b="0"/>
                      <wp:wrapNone/>
                      <wp:docPr id="86" name="Frame8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57225" cy="175260"/>
                      <wp:effectExtent l="0" t="0" r="0" b="0"/>
                      <wp:wrapNone/>
                      <wp:docPr id="87" name="Frame86"/>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9755" cy="175260"/>
                      <wp:effectExtent l="0" t="0" r="0" b="0"/>
                      <wp:wrapNone/>
                      <wp:docPr id="90" name="Frame8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Vessels</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80,588</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4,032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84,620</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81,049</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4,793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85,842</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64,259</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67,869</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56,205</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4,303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60,508</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51,183</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55,418</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22,067</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11,092</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33,159</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355,351</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32,065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387,416</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(57,281)</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(8,134)</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(65,415)</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298,070</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23,931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322,001</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60,759</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64,112</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237,311</w:t>
            </w:r>
          </w:p>
        </w:tc>
        <w:tc>
          <w:tcPr>
            <w:tcW w:w="34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20,578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257,889</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298,070</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23,931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322,001</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December 31, 2025 are as follows (in thousands):</w:t>
      </w:r>
    </w:p>
    <w:p>
      <w:pPr>
        <w:pStyle w:val="TextBody"/>
        <w:bidi w:val="0"/>
        <w:spacing w:before="0" w:after="240"/>
        <w:ind w:left="0" w:right="0" w:firstLine="720"/>
        <w:jc w:val="left"/>
        <w:rPr/>
      </w:pPr>
      <w:r>
        <w:rPr/>
        <w:t>​</w:t>
      </w:r>
    </w:p>
    <w:tbl>
      <w:tblPr>
        <w:tblW w:w="7850" w:type="dxa"/>
        <w:jc w:val="left"/>
        <w:tblInd w:w="0" w:type="dxa"/>
        <w:tblLayout w:type="fixed"/>
        <w:tblCellMar>
          <w:top w:w="0" w:type="dxa"/>
          <w:left w:w="0" w:type="dxa"/>
          <w:bottom w:w="0" w:type="dxa"/>
          <w:right w:w="0" w:type="dxa"/>
        </w:tblCellMar>
      </w:tblPr>
      <w:tblGrid>
        <w:gridCol w:w="3316"/>
        <w:gridCol w:w="346"/>
        <w:gridCol w:w="211"/>
        <w:gridCol w:w="811"/>
        <w:gridCol w:w="346"/>
        <w:gridCol w:w="315"/>
        <w:gridCol w:w="1035"/>
        <w:gridCol w:w="346"/>
        <w:gridCol w:w="211"/>
        <w:gridCol w:w="913"/>
      </w:tblGrid>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14985" cy="175260"/>
                      <wp:effectExtent l="0" t="0" r="0" b="0"/>
                      <wp:wrapNone/>
                      <wp:docPr id="93" name="Frame9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0025" cy="175260"/>
                      <wp:effectExtent l="0" t="0" r="0" b="0"/>
                      <wp:wrapNone/>
                      <wp:docPr id="95" name="Frame9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57225" cy="175260"/>
                      <wp:effectExtent l="0" t="0" r="0" b="0"/>
                      <wp:wrapNone/>
                      <wp:docPr id="96" name="Frame95"/>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79755" cy="175260"/>
                      <wp:effectExtent l="0" t="0" r="0" b="0"/>
                      <wp:wrapNone/>
                      <wp:docPr id="99" name="Frame9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46" w:type="dxa"/>
            <w:tcBorders/>
            <w:vAlign w:val="center"/>
          </w:tcPr>
          <w:p>
            <w:pPr>
              <w:pStyle w:val="TableContents"/>
              <w:bidi w:val="0"/>
              <w:spacing w:before="0" w:after="0"/>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77,129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4,267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81,396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76,334</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80,662</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65,278</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4,088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69,366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53,006</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56,875</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59,020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63,656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27,237</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39,187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358,004</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391,142</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(60,774)</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(8,613)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(69,387)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297,230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321,755</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57,240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60,796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239,990</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20,969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260,959</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297,230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321,755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weighted average remaining lease term and discount rate:</w:t>
      </w:r>
    </w:p>
    <w:p>
      <w:pPr>
        <w:pStyle w:val="TextBody"/>
        <w:bidi w:val="0"/>
        <w:spacing w:before="0" w:after="240"/>
        <w:ind w:left="0" w:right="0" w:firstLine="720"/>
        <w:jc w:val="left"/>
        <w:rPr/>
      </w:pPr>
      <w:r>
        <w:rPr/>
        <w:t>​</w:t>
      </w:r>
    </w:p>
    <w:tbl>
      <w:tblPr>
        <w:tblW w:w="6548" w:type="dxa"/>
        <w:jc w:val="left"/>
        <w:tblInd w:w="0" w:type="dxa"/>
        <w:tblLayout w:type="fixed"/>
        <w:tblCellMar>
          <w:top w:w="0" w:type="dxa"/>
          <w:left w:w="0" w:type="dxa"/>
          <w:bottom w:w="0" w:type="dxa"/>
          <w:right w:w="0" w:type="dxa"/>
        </w:tblCellMar>
      </w:tblPr>
      <w:tblGrid>
        <w:gridCol w:w="3556"/>
        <w:gridCol w:w="346"/>
        <w:gridCol w:w="481"/>
        <w:gridCol w:w="586"/>
        <w:gridCol w:w="109"/>
        <w:gridCol w:w="635"/>
        <w:gridCol w:w="835"/>
      </w:tblGrid>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05435" cy="175260"/>
                      <wp:effectExtent l="0" t="0" r="0" b="0"/>
                      <wp:wrapNone/>
                      <wp:docPr id="101" name="Frame10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72110" cy="175260"/>
                      <wp:effectExtent l="0" t="0" r="0" b="0"/>
                      <wp:wrapNone/>
                      <wp:docPr id="102" name="Frame10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03225" cy="175260"/>
                      <wp:effectExtent l="0" t="0" r="0" b="0"/>
                      <wp:wrapNone/>
                      <wp:docPr id="104" name="Frame103"/>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30225" cy="175260"/>
                      <wp:effectExtent l="0" t="0" r="0" b="0"/>
                      <wp:wrapNone/>
                      <wp:docPr id="105" name="Frame104"/>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w:t>
            </w:r>
          </w:p>
        </w:tc>
        <w:tc>
          <w:tcPr>
            <w:tcW w:w="8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4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w:t>
            </w:r>
          </w:p>
        </w:tc>
        <w:tc>
          <w:tcPr>
            <w:tcW w:w="5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09"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7.68</w:t>
            </w:r>
          </w:p>
        </w:tc>
        <w:tc>
          <w:tcPr>
            <w:tcW w:w="8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other information related to our operating leases (in thousands):</w:t>
      </w:r>
    </w:p>
    <w:p>
      <w:pPr>
        <w:pStyle w:val="TextBody"/>
        <w:bidi w:val="0"/>
        <w:spacing w:before="0" w:after="240"/>
        <w:ind w:left="0" w:right="0" w:firstLine="720"/>
        <w:jc w:val="left"/>
        <w:rPr/>
      </w:pPr>
      <w:r>
        <w:rPr/>
        <w:t>​</w:t>
      </w:r>
    </w:p>
    <w:tbl>
      <w:tblPr>
        <w:tblW w:w="8134" w:type="dxa"/>
        <w:jc w:val="left"/>
        <w:tblInd w:w="0" w:type="dxa"/>
        <w:tblLayout w:type="fixed"/>
        <w:tblCellMar>
          <w:top w:w="0" w:type="dxa"/>
          <w:left w:w="0" w:type="dxa"/>
          <w:bottom w:w="0" w:type="dxa"/>
          <w:right w:w="0" w:type="dxa"/>
        </w:tblCellMar>
      </w:tblPr>
      <w:tblGrid>
        <w:gridCol w:w="5521"/>
        <w:gridCol w:w="346"/>
        <w:gridCol w:w="211"/>
        <w:gridCol w:w="691"/>
        <w:gridCol w:w="346"/>
        <w:gridCol w:w="211"/>
        <w:gridCol w:w="808"/>
      </w:tblGrid>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13080" cy="175260"/>
                      <wp:effectExtent l="0" t="0" r="0" b="0"/>
                      <wp:wrapNone/>
                      <wp:docPr id="111" name="Frame11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5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22,648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20,428</w:t>
            </w:r>
          </w:p>
        </w:tc>
      </w:tr>
      <w:tr>
        <w:trPr/>
        <w:tc>
          <w:tcPr>
            <w:tcW w:w="552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Right-of-use assets related to new operating lease liabilities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16,932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12,073</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Our operating lease additions are primarily related to the charter for the </w:t>
            </w:r>
            <w:r>
              <w:rPr>
                <w:rFonts w:ascii="Arial;Helvetica;sans-serif" w:hAnsi="Arial;Helvetica;sans-serif"/>
                <w:b w:val="false"/>
                <w:i/>
                <w:sz w:val="20"/>
              </w:rPr>
              <w:t>Patriot</w:t>
            </w:r>
            <w:r>
              <w:rPr>
                <w:caps w:val="false"/>
                <w:smallCaps w:val="false"/>
              </w:rPr>
              <w:t xml:space="preserve"> </w:t>
            </w:r>
            <w:r>
              <w:rPr>
                <w:rFonts w:ascii="Arial;Helvetica;sans-serif" w:hAnsi="Arial;Helvetica;sans-serif"/>
                <w:b w:val="false"/>
                <w:i w:val="false"/>
                <w:caps w:val="false"/>
                <w:smallCaps w:val="false"/>
                <w:sz w:val="20"/>
              </w:rPr>
              <w:t>during the three-month period ended March 31, 2026, and the charter for</w:t>
            </w:r>
            <w:r>
              <w:rPr>
                <w:caps w:val="false"/>
                <w:smallCaps w:val="false"/>
              </w:rPr>
              <w:t xml:space="preserve"> </w:t>
            </w:r>
            <w:r>
              <w:rPr>
                <w:rFonts w:ascii="Arial;Helvetica;sans-serif" w:hAnsi="Arial;Helvetica;sans-serif"/>
                <w:b w:val="false"/>
                <w:i w:val="false"/>
                <w:caps w:val="false"/>
                <w:smallCaps w:val="false"/>
                <w:sz w:val="20"/>
              </w:rPr>
              <w:t xml:space="preserve">the </w:t>
            </w:r>
            <w:r>
              <w:rPr>
                <w:rFonts w:ascii="Arial;Helvetica;sans-serif" w:hAnsi="Arial;Helvetica;sans-serif"/>
                <w:b w:val="false"/>
                <w:i/>
                <w:sz w:val="20"/>
              </w:rPr>
              <w:t>Trym</w:t>
            </w:r>
            <w:r>
              <w:rPr>
                <w:caps w:val="false"/>
                <w:smallCaps w:val="false"/>
              </w:rPr>
              <w:t xml:space="preserve"> </w:t>
            </w:r>
            <w:r>
              <w:rPr>
                <w:rFonts w:ascii="Arial;Helvetica;sans-serif" w:hAnsi="Arial;Helvetica;sans-serif"/>
                <w:b w:val="false"/>
                <w:i w:val="false"/>
                <w:caps w:val="false"/>
                <w:smallCaps w:val="false"/>
                <w:sz w:val="20"/>
              </w:rPr>
              <w:t>during the three-month period ended March 31, 2025.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Note 13 for additional information on our significant leases.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574" w:name="Tc_h3cmxmDtiEONjOX9hZpBiw_11_8"/>
      <w:bookmarkStart w:id="575" w:name="Tc_KXwJo06U3ECmk07VoMDKgw_11_5"/>
      <w:bookmarkStart w:id="576" w:name="Tc_u9V42J7AY0Csz4CIAdfDPQ_11_3"/>
      <w:bookmarkStart w:id="577" w:name="Tc_R_SLOJ-I606tVDRIKeKMPA_11_2"/>
      <w:bookmarkStart w:id="578" w:name="Tc_3VTwfm4Y_06e_ubY0huO2A_11_0"/>
      <w:bookmarkStart w:id="579" w:name="Tc_p3ZMOX6yHkqnI5W1NUnErw_10_6"/>
      <w:bookmarkStart w:id="580" w:name="Tc_AHIGRB9DU0GxSDXLUiqcfg_10_0"/>
      <w:bookmarkStart w:id="581" w:name="Tc_GPnPisQA1UWduQGeEPdttA_9_0"/>
      <w:bookmarkStart w:id="582" w:name="Tc_sMl_9ITdGk634UHXZEyopw_8_0"/>
      <w:bookmarkStart w:id="583" w:name="Tc_nc5887OnwEKvhP6oHYfq1w_7_3"/>
      <w:bookmarkStart w:id="584" w:name="Tc_r0c263hw9UiZKY9AEmueZw_7_0"/>
      <w:bookmarkStart w:id="585" w:name="Tc_HBht-cScMEyF-cBBUrANHQ_6_0"/>
      <w:bookmarkStart w:id="586" w:name="Tc_9YnFvS7Wc0GV5cnlZxCeNQ_5_3"/>
      <w:bookmarkStart w:id="587" w:name="Tc_2G9MUQlhfkKuuiKhIsmcBw_5_0"/>
      <w:bookmarkStart w:id="588" w:name="Tc_McNfwNTtjECG48qBiWuSbA_4_9"/>
      <w:bookmarkStart w:id="589" w:name="Tc_DpyQtOncsk27Rx7ZX8GoSg_4_6"/>
      <w:bookmarkStart w:id="590" w:name="Tc_6pKEy_Ae_kiYci5AsPU0Bg_4_3"/>
      <w:bookmarkStart w:id="591" w:name="Tc_ICrU3RE8F0Gwau1Zrpunaw_4_0"/>
      <w:bookmarkStart w:id="592" w:name="Tc_De3hYF2dA0mKxw2CbcFHvg_3_8"/>
      <w:bookmarkStart w:id="593" w:name="Tc_wf3_dXz_t0yX3DFVXRbLIQ_3_6"/>
      <w:bookmarkStart w:id="594" w:name="Tc_SJR16LDkOUqmrNK1B1oBPg_3_5"/>
      <w:bookmarkStart w:id="595" w:name="Tc_1Efq7EG1t0uhvy4Z2UuKSg_3_2"/>
      <w:bookmarkStart w:id="596" w:name="Tc_iQPxkohwvUGfwNSzz3tupQ_3_0"/>
      <w:bookmarkStart w:id="597" w:name="Tc_gyqCgeOyQUK0ZTzgfpdbVA_2_8"/>
      <w:bookmarkStart w:id="598" w:name="Tc_BpaFaHpopEmVl3k-WYog5g_2_5"/>
      <w:bookmarkStart w:id="599" w:name="Tc_EBiX7H8eEUyKjc0-enGhKA_2_2"/>
      <w:bookmarkStart w:id="600" w:name="Tc_Edi27AMpSEqgQLjdJxb19Q_1_5"/>
      <w:bookmarkStart w:id="601" w:name="Tc_cr7AtK03Ok2BrS6yc0zmig_1_2"/>
      <w:bookmarkStart w:id="602" w:name="_76dcbd0c_fd5a_4625_a29a_3ed6e1b6ef1c"/>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Fonts w:ascii="Arial;Helvetica;sans-serif" w:hAnsi="Arial;Helvetica;sans-serif"/>
          <w:b/>
          <w:sz w:val="20"/>
        </w:rPr>
        <w:t>Note 5 — Long-Term Debt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Scheduled maturities of our long-term debt outstanding as of March 31, 2026 are as follows (in thousands):</w:t>
      </w:r>
    </w:p>
    <w:p>
      <w:pPr>
        <w:pStyle w:val="TextBody"/>
        <w:bidi w:val="0"/>
        <w:spacing w:before="0" w:after="240"/>
        <w:ind w:left="0" w:right="0" w:firstLine="720"/>
        <w:jc w:val="left"/>
        <w:rPr/>
      </w:pPr>
      <w:r>
        <w:rPr/>
        <w:t>​</w:t>
      </w:r>
    </w:p>
    <w:tbl>
      <w:tblPr>
        <w:tblW w:w="7357" w:type="dxa"/>
        <w:jc w:val="left"/>
        <w:tblInd w:w="0" w:type="dxa"/>
        <w:tblLayout w:type="fixed"/>
        <w:tblCellMar>
          <w:top w:w="0" w:type="dxa"/>
          <w:left w:w="0" w:type="dxa"/>
          <w:bottom w:w="0" w:type="dxa"/>
          <w:right w:w="0" w:type="dxa"/>
        </w:tblCellMar>
      </w:tblPr>
      <w:tblGrid>
        <w:gridCol w:w="3271"/>
        <w:gridCol w:w="346"/>
        <w:gridCol w:w="211"/>
        <w:gridCol w:w="706"/>
        <w:gridCol w:w="346"/>
        <w:gridCol w:w="211"/>
        <w:gridCol w:w="796"/>
        <w:gridCol w:w="346"/>
        <w:gridCol w:w="211"/>
        <w:gridCol w:w="913"/>
      </w:tblGrid>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48310" cy="175260"/>
                      <wp:effectExtent l="0" t="0" r="0" b="0"/>
                      <wp:wrapNone/>
                      <wp:docPr id="114" name="Frame11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05460" cy="175260"/>
                      <wp:effectExtent l="0" t="0" r="0" b="0"/>
                      <wp:wrapNone/>
                      <wp:docPr id="117" name="Frame1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79755" cy="175260"/>
                      <wp:effectExtent l="0" t="0" r="0" b="0"/>
                      <wp:wrapNone/>
                      <wp:docPr id="120" name="Frame11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MARAD</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2029</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pPr>
            <w:r>
              <w:rPr/>
              <w:t>​</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Debt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Notes</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309,882</w:t>
            </w:r>
          </w:p>
        </w:tc>
      </w:tr>
      <w:tr>
        <w:trPr/>
        <w:tc>
          <w:tcPr>
            <w:tcW w:w="327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discount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r>
      <w:tr>
        <w:trPr/>
        <w:tc>
          <w:tcPr>
            <w:tcW w:w="327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issuance costs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(5,239)</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294,367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303,761</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current maturities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(9,394)</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294,367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294,367</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Debt discount and debt issuance costs are amortized to interest expense over the term of the applicable debt agreement.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Below is a summary of our indebtedness: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Agreement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September 30, 2021, we entered into an asset-based credit agreement with Bank of America, N.A. (“Bank of America”), Wells Fargo Bank, N.A. and Zions Bancorporation and subsequently we entered into various amendments (collectively, the “Amended ABL Facility”). The Amended ABL Facility provides a $120 million asset-based revolving credit line that matures on August 2, 2029, with a springing maturity 91 days prior to the maturity of any outstanding indebtedness with a principal amount in excess of $50 million. The Amended ABL Facility permits us to request an increase of the facility of up to $30 million, subject to certain conditions.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March 31, 2026, we had no borrowings under the Amended ABL Facility, and our available borrowing capacity, based on the borrowing base, totaled $113.0 million, net of $1.5 million of letters of credit issued and includes $2.6 million of cash pledged to the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w:t>
      </w:r>
      <w:r>
        <w:rPr>
          <w:rFonts w:ascii="Arial;Helvetica;sans-serif" w:hAnsi="Arial;Helvetica;sans-serif"/>
          <w:b w:val="false"/>
          <w:i w:val="false"/>
          <w:caps w:val="false"/>
          <w:smallCaps w:val="false"/>
          <w:sz w:val="20"/>
        </w:rPr>
        <w:t>Term SOFR</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rate</w:t>
      </w:r>
      <w:r>
        <w:rPr>
          <w:rFonts w:ascii="Arial;Helvetica;sans-serif" w:hAnsi="Arial;Helvetica;sans-serif"/>
          <w:sz w:val="20"/>
        </w:rPr>
        <w:t xml:space="preserve"> with SOFR adjustment of 0.10% and U.K. borrowings denominated in the British pound bear interest at the SONIA daily rate, each plus a margin of 1.50% to 2.00%. We also pay a commitment fee of 0.375% to 0.50% per annum on the unused portion of the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603" w:name="Tc_vq2FsBQSqkmFza-o32Iuig_5_0"/>
      <w:bookmarkStart w:id="604" w:name="Tc_6sFdqkOhzkyTxhIA4-i3Kg_4_0"/>
      <w:bookmarkStart w:id="605" w:name="Tc_B05Rl4kjb0mCXzJv5SvjJw_3_0"/>
      <w:bookmarkStart w:id="606" w:name="Tc_m4em9O2HAk6Sl5CLagWQfQ_2_2"/>
      <w:bookmarkStart w:id="607" w:name="Tc_r7D9WYOoQkOmMjtmqnW5Sg_2_0"/>
      <w:bookmarkStart w:id="608" w:name="Tc_jw6EjrmCiEqv9QAbgYSKqA_1_2"/>
      <w:bookmarkEnd w:id="603"/>
      <w:bookmarkEnd w:id="604"/>
      <w:bookmarkEnd w:id="605"/>
      <w:bookmarkEnd w:id="606"/>
      <w:bookmarkEnd w:id="607"/>
      <w:bookmarkEnd w:id="608"/>
      <w:r>
        <w:rPr>
          <w:rFonts w:ascii="Arial;Helvetica;sans-serif" w:hAnsi="Arial;Helvetica;sans-serif"/>
          <w:sz w:val="20"/>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MARAD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2005, Helix’s subsidiary CDI-Title XI issued its U.S. Government Guaranteed Ship Financing Bonds, Q4000 Series, to refinance the construction financing originally granted in 2002 of the </w:t>
      </w:r>
      <w:r>
        <w:rPr>
          <w:rFonts w:ascii="Arial;Helvetica;sans-serif" w:hAnsi="Arial;Helvetica;sans-serif"/>
          <w:i/>
          <w:sz w:val="20"/>
        </w:rPr>
        <w:t>Q4000</w:t>
      </w:r>
      <w:r>
        <w:rPr>
          <w:rFonts w:ascii="Arial;Helvetica;sans-serif" w:hAnsi="Arial;Helvetica;sans-serif"/>
          <w:sz w:val="20"/>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Helvetica;sans-serif" w:hAnsi="Arial;Helvetica;sans-serif"/>
          <w:i/>
          <w:sz w:val="20"/>
        </w:rPr>
        <w:t>Q4000</w:t>
      </w:r>
      <w:r>
        <w:rPr>
          <w:rFonts w:ascii="Arial;Helvetica;sans-serif" w:hAnsi="Arial;Helvetica;sans-serif"/>
          <w:sz w:val="20"/>
        </w:rPr>
        <w:t xml:space="preserve"> and is guaranteed 50% by us. In addition, we have agreed to bareboat charter the </w:t>
      </w:r>
      <w:r>
        <w:rPr>
          <w:rFonts w:ascii="Arial;Helvetica;sans-serif" w:hAnsi="Arial;Helvetica;sans-serif"/>
          <w:i/>
          <w:sz w:val="20"/>
        </w:rPr>
        <w:t>Q4000</w:t>
      </w:r>
      <w:r>
        <w:rPr>
          <w:rFonts w:ascii="Arial;Helvetica;sans-serif" w:hAnsi="Arial;Helvetica;sans-serif"/>
          <w:sz w:val="20"/>
        </w:rPr>
        <w:t xml:space="preserve"> from CDI-Title XI for so long as the MARAD Debt remains outstanding. The MARAD Debt is payable in equal semi-annual installments through February 2027 and bears interest at a rate of 4.93%.</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Senior Notes Due 2029 (“2029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1, 2023, we issued $300 million aggregate principal amount of the 2029 Notes. The 2029 Notes bear interest at a coupon interest rate of 9.75% per annum payable semi-annually in arrears on March 1 and September 1 of each year, beginning on March 1, 2024. The 2029 Notes mature on March 1, 2029 unless earlier redeemed or repurchased by us.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Prior to March 1, 2026, we may, at our option, redeem the 2029 Notes, in whole or in part, at a price equal to 100% of the aggregate principal amount of the 2029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2029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2029 Notes to be redeemed, plus accrued and unpaid interest, if any, to, but excluding, the redemption date, in an amount not exceeding the proceeds of such equity offerings.</w:t>
      </w:r>
    </w:p>
    <w:p>
      <w:pPr>
        <w:pStyle w:val="TextBody"/>
        <w:bidi w:val="0"/>
        <w:spacing w:before="0" w:after="240"/>
        <w:ind w:left="0" w:right="0" w:hanging="0"/>
        <w:jc w:val="left"/>
        <w:rPr/>
      </w:pPr>
      <w:r>
        <w:rPr/>
        <w:t>​</w:t>
      </w:r>
    </w:p>
    <w:tbl>
      <w:tblPr>
        <w:tblW w:w="3423" w:type="dxa"/>
        <w:jc w:val="left"/>
        <w:tblInd w:w="0" w:type="dxa"/>
        <w:tblLayout w:type="fixed"/>
        <w:tblCellMar>
          <w:top w:w="0" w:type="dxa"/>
          <w:left w:w="0" w:type="dxa"/>
          <w:bottom w:w="0" w:type="dxa"/>
          <w:right w:w="0" w:type="dxa"/>
        </w:tblCellMar>
      </w:tblPr>
      <w:tblGrid>
        <w:gridCol w:w="1801"/>
        <w:gridCol w:w="346"/>
        <w:gridCol w:w="1276"/>
      </w:tblGrid>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10260" cy="175260"/>
                      <wp:effectExtent l="0" t="0" r="0" b="0"/>
                      <wp:wrapNone/>
                      <wp:docPr id="122" name="Frame12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Redemption</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w:t>
            </w:r>
          </w:p>
        </w:tc>
        <w:tc>
          <w:tcPr>
            <w:tcW w:w="346" w:type="dxa"/>
            <w:tcBorders/>
            <w:vAlign w:val="center"/>
          </w:tcPr>
          <w:p>
            <w:pPr>
              <w:pStyle w:val="TableContents"/>
              <w:bidi w:val="0"/>
              <w:spacing w:before="0" w:after="1"/>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104.875%</w:t>
            </w:r>
          </w:p>
        </w:tc>
      </w:tr>
      <w:tr>
        <w:trPr/>
        <w:tc>
          <w:tcPr>
            <w:tcW w:w="18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102.438%</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 and 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100.000%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the occurrence of a Change of Control Triggering Event, as defined in the indenture governing the 2029 Notes, we may be required to make an offer to repurchase all of the 2029 Notes then outstanding at a price equal to 101% of the principal amount thereof, plus accrued and unpaid interest, if any, to, but not including, the repurchase date.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bookmarkStart w:id="609" w:name="Tc_6W9yskRwxkGEG5kQ3xOZgA_6_5"/>
      <w:bookmarkStart w:id="610" w:name="Tc_3bbGaTfF_kG_rF9xFKJ6dA_6_2"/>
      <w:bookmarkStart w:id="611" w:name="Tc_cp5Kp2cI10WhtfzxhKV1QA_6_0"/>
      <w:bookmarkStart w:id="612" w:name="Tc_14h_AQkpXkGchf8CNdbeRg_5_0"/>
      <w:bookmarkStart w:id="613" w:name="Tc_gxsqt-06dkWl9kpO_FkhKw_4_5"/>
      <w:bookmarkStart w:id="614" w:name="Tc_l3zWvZQuLUiLokKoKV3CFw_4_2"/>
      <w:bookmarkStart w:id="615" w:name="Tc_DVH1paZ12U6ys6dhmJ3YIg_4_0"/>
      <w:bookmarkStart w:id="616" w:name="Tc_ri1K-EAhrka3Kq_rFTA-0A_3_5"/>
      <w:bookmarkStart w:id="617" w:name="Tc_6XQP_GZkL0SAbdRS-bdiWw_3_2"/>
      <w:bookmarkStart w:id="618" w:name="Tc_EOEOBLhmyk2-KYQG1hxwhA_2_2"/>
      <w:bookmarkStart w:id="619" w:name="Tc_zaP67PksfkOpiBisE5Rbsw_1_2"/>
      <w:bookmarkStart w:id="620" w:name="_f9ae9937_1ce9_47cb_b736_1b6516d33057"/>
      <w:bookmarkEnd w:id="609"/>
      <w:bookmarkEnd w:id="610"/>
      <w:bookmarkEnd w:id="611"/>
      <w:bookmarkEnd w:id="612"/>
      <w:bookmarkEnd w:id="613"/>
      <w:bookmarkEnd w:id="614"/>
      <w:bookmarkEnd w:id="615"/>
      <w:bookmarkEnd w:id="616"/>
      <w:bookmarkEnd w:id="617"/>
      <w:bookmarkEnd w:id="618"/>
      <w:bookmarkEnd w:id="619"/>
      <w:bookmarkEnd w:id="620"/>
      <w:r>
        <w:rPr>
          <w:rFonts w:ascii="Arial;Helvetica;sans-serif" w:hAnsi="Arial;Helvetica;sans-serif"/>
          <w:b/>
          <w:i/>
          <w:sz w:val="20"/>
        </w:rPr>
        <w:t>Other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March 31, 2026, we were in compliance with these covenants.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net interest expense (in thousands):</w:t>
      </w:r>
    </w:p>
    <w:p>
      <w:pPr>
        <w:pStyle w:val="TextBody"/>
        <w:bidi w:val="0"/>
        <w:spacing w:before="0" w:after="240"/>
        <w:ind w:left="0" w:right="0" w:firstLine="720"/>
        <w:jc w:val="left"/>
        <w:rPr/>
      </w:pPr>
      <w:r>
        <w:rPr/>
        <w:t>​</w:t>
      </w:r>
    </w:p>
    <w:tbl>
      <w:tblPr>
        <w:tblW w:w="4601" w:type="dxa"/>
        <w:jc w:val="left"/>
        <w:tblInd w:w="0" w:type="dxa"/>
        <w:tblLayout w:type="fixed"/>
        <w:tblCellMar>
          <w:top w:w="0" w:type="dxa"/>
          <w:left w:w="0" w:type="dxa"/>
          <w:bottom w:w="0" w:type="dxa"/>
          <w:right w:w="0" w:type="dxa"/>
        </w:tblCellMar>
      </w:tblPr>
      <w:tblGrid>
        <w:gridCol w:w="1921"/>
        <w:gridCol w:w="346"/>
        <w:gridCol w:w="211"/>
        <w:gridCol w:w="706"/>
        <w:gridCol w:w="346"/>
        <w:gridCol w:w="211"/>
        <w:gridCol w:w="706"/>
        <w:gridCol w:w="154"/>
      </w:tblGrid>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48310" cy="175260"/>
                      <wp:effectExtent l="0" t="0" r="0" b="0"/>
                      <wp:wrapNone/>
                      <wp:docPr id="125" name="Frame12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48310" cy="175260"/>
                      <wp:effectExtent l="0" t="0" r="0" b="0"/>
                      <wp:wrapNone/>
                      <wp:docPr id="128" name="Frame12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7790" cy="175260"/>
                      <wp:effectExtent l="0" t="0" r="0" b="0"/>
                      <wp:wrapNone/>
                      <wp:docPr id="129" name="Frame1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8,200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Interest income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(2,971)</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(2,533)</w:t>
            </w:r>
          </w:p>
        </w:tc>
        <w:tc>
          <w:tcPr>
            <w:tcW w:w="154" w:type="dxa"/>
            <w:tcBorders/>
            <w:vAlign w:val="center"/>
          </w:tcPr>
          <w:p>
            <w:pPr>
              <w:pStyle w:val="TableContents"/>
              <w:bidi w:val="0"/>
              <w:spacing w:before="0" w:after="1"/>
              <w:ind w:left="0" w:right="0" w:hanging="0"/>
              <w:jc w:val="left"/>
              <w:rPr/>
            </w:pPr>
            <w:r>
              <w:rPr/>
              <w:t>​</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6 — 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the three-month period ended March 31, 2026, we recorded income tax benefit of $3.2 million, resulting in an effective tax rate of 19.0%. The effective tax rate for the three-month period ended March 31, 2026 was affected by the jurisdictional mix of earnings and utilization of foreign tax credits. For the three-month period ended March 31, 2025, we recorded income tax provision of $0.5 million, resulting in an effective tax rate of 12.9%. The effective rate for the three-month period ended March 31, 2025 was impacted by a discrete non-U.S. tax benefit.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7 — Share Repurchase Programs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February 2023, our Board of Directors (our “Board”) authorized a share repurchase program to repurchase issued and outstanding shares of our common stock up to $200 million (the “2023 Repurchase Program”). We did not make any share repurchases during the three-month period ended March 31, 2026. As of March 31, 2026, approximately $128.4 million remained authorized for the repurchase of shares under the 2023 Repurchase Program.</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Effective April 22, 2026, our Board has decided to suspend all repurchases of shares of our common stock under the 2023 Repurchase Program. Our Board may authorize management to resume repurchases of shares under the 2023 Repurchase Program in the future at its discretion. The manner, timing and amount of any future repurchases under the 2023 Repurchase Program, if repurchases under the 2023 Repurchase Program are resumed,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shares repurchased under the 2023 Repurchase Program are cancelled.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8 — Revenue from Contracts with Customers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Disaggregation of Revenue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621" w:name="Tc_k1AzZGPvY0a5-2N59nyXbw_15_17"/>
      <w:bookmarkStart w:id="622" w:name="Tc_YWbUqGIeD0meTanfWelSiA_15_14"/>
      <w:bookmarkStart w:id="623" w:name="Tc_GRdSvRp19kuVp1fxAaIACw_15_11"/>
      <w:bookmarkStart w:id="624" w:name="Tc_UqY33lcIDkKlZOxdUHw4XA_15_8"/>
      <w:bookmarkStart w:id="625" w:name="Tc_cHNjNlvZVkSW9AqEUgvw6g_15_5"/>
      <w:bookmarkStart w:id="626" w:name="Tc_UVcQddi9kUuOXCOig7mhLw_15_2"/>
      <w:bookmarkStart w:id="627" w:name="Tc_Drz7RZVV-UewRR6WRrA4tg_15_0"/>
      <w:bookmarkStart w:id="628" w:name="Tc_mcbqgQw_0kmjFxblzFCKxQ_14_15"/>
      <w:bookmarkStart w:id="629" w:name="Tc_rmbfD3PdDECFv_owLP9plQ_14_12"/>
      <w:bookmarkStart w:id="630" w:name="Tc_oe4dnV5Wqk6eT0kxBqyyEg_14_9"/>
      <w:bookmarkStart w:id="631" w:name="Tc_37ManoXPpU-y7VK8fjUpBg_14_0"/>
      <w:bookmarkStart w:id="632" w:name="Tc_WR7U3K8esUW-yLNoBwjXNg_13_15"/>
      <w:bookmarkStart w:id="633" w:name="Tc_cPhdRVcs90SEqL_PK62jmw_13_12"/>
      <w:bookmarkStart w:id="634" w:name="Tc_8UI38RoziESzCvdnZYGstg_13_3"/>
      <w:bookmarkStart w:id="635" w:name="Tc_xJeUfmjfA0SIgT1dl5Dpfg_13_0"/>
      <w:bookmarkStart w:id="636" w:name="Tc_gbCf-rPHzUeQVPMQw8rxEw_12_12"/>
      <w:bookmarkStart w:id="637" w:name="Tc_qZxsB9WbrUyhGqSoub-dKg_12_0"/>
      <w:bookmarkStart w:id="638" w:name="Tc_lj-jip5DykSnQ6c6O4wofg_11_17"/>
      <w:bookmarkStart w:id="639" w:name="Tc_dtu_SCcMekSkyTyHXDT3-w_11_14"/>
      <w:bookmarkStart w:id="640" w:name="Tc_h9O6aJjvVEGILVhOThhXOA_11_11"/>
      <w:bookmarkStart w:id="641" w:name="Tc_vjV41Ar5_U2fdHfYHKt2MA_11_8"/>
      <w:bookmarkStart w:id="642" w:name="Tc_x7OjAg2sRUKKchmImi397g_11_5"/>
      <w:bookmarkStart w:id="643" w:name="Tc_HV8Qk0uI8kSKKfh0-YgFaA_11_2"/>
      <w:bookmarkStart w:id="644" w:name="Tc_y5SYtytXREiJycX7IyOspQ_11_0"/>
      <w:bookmarkStart w:id="645" w:name="Tc_LW1s9b7_VEipM6_B70nBUw_10_0"/>
      <w:bookmarkStart w:id="646" w:name="Tc_4-NXVAEekkKCnfVJFBZUgQ_8_17"/>
      <w:bookmarkStart w:id="647" w:name="Tc_P8lqRsVlyU6RwkUBWmYa4w_8_14"/>
      <w:bookmarkStart w:id="648" w:name="Tc_lZ3a5vbAIkqQq6i08veHXg_8_11"/>
      <w:bookmarkStart w:id="649" w:name="Tc_sAVhhdhrlU-9ydQCNh2qhw_8_8"/>
      <w:bookmarkStart w:id="650" w:name="Tc_R04yzqq5PkKzMmZZMazP6A_8_5"/>
      <w:bookmarkStart w:id="651" w:name="Tc_sJWaIqaVA0Or_opW7LUmyg_8_2"/>
      <w:bookmarkStart w:id="652" w:name="Tc_6Fe7u_OdekSxYcY4dib8jA_8_0"/>
      <w:bookmarkStart w:id="653" w:name="Tc_kOF3LcvkTEyW9qwbIjfPKQ_7_15"/>
      <w:bookmarkStart w:id="654" w:name="Tc_JvBNI4A6mkWFYk_Cz86FDQ_7_12"/>
      <w:bookmarkStart w:id="655" w:name="Tc_vyOy6OHVaEqeKSSinYdRhg_7_9"/>
      <w:bookmarkStart w:id="656" w:name="Tc_Bym6Qp9OoUSzJ6GQlU8i2Q_7_0"/>
      <w:bookmarkStart w:id="657" w:name="Tc_gFjiNPzCw0CJZMHxt57pqQ_6_15"/>
      <w:bookmarkStart w:id="658" w:name="Tc_NDPKOIkTekCzBxLUluzBGA_6_12"/>
      <w:bookmarkStart w:id="659" w:name="Tc_h3Guei9I80e_IQgoEUwZRA_6_9"/>
      <w:bookmarkStart w:id="660" w:name="Tc_-eWu7ftzuUK15YgnlfnlIA_6_3"/>
      <w:bookmarkStart w:id="661" w:name="Tc_oivzuUoCaU-_Y6Q1j9PaRQ_6_0"/>
      <w:bookmarkStart w:id="662" w:name="Tc_fEIVoLlNoEGg5dUFt_6ZLw_5_12"/>
      <w:bookmarkStart w:id="663" w:name="Tc_4Z_stfx4Kk2TRKqFD6noww_5_0"/>
      <w:bookmarkStart w:id="664" w:name="Tc_VwHQSET9bUaVZkxnWdcjow_4_17"/>
      <w:bookmarkStart w:id="665" w:name="Tc_SVR2p4O2802J2q8Xyq54Rw_4_14"/>
      <w:bookmarkStart w:id="666" w:name="Tc_fOLDVOqBdk-ULkbyF6QePQ_4_11"/>
      <w:bookmarkStart w:id="667" w:name="Tc_Wk_NCmBnFEqjE6j93auxfg_4_8"/>
      <w:bookmarkStart w:id="668" w:name="Tc_qDIU3zWgsUSn5Q4gMZW0iQ_4_5"/>
      <w:bookmarkStart w:id="669" w:name="Tc_yNU8n-bkj06bc02BaN1GXg_4_2"/>
      <w:bookmarkStart w:id="670" w:name="Tc_IRGcwNGKR0Gk8JrU1J2nvQ_4_0"/>
      <w:bookmarkStart w:id="671" w:name="Tc_3AkHl3WJe02xrWIgU4SKYQ_3_0"/>
      <w:bookmarkStart w:id="672" w:name="Tc_f5cLYZmpdkK0UkJRa3Hi8w_2_17"/>
      <w:bookmarkStart w:id="673" w:name="Tc_zdZ1ML-tI025P9gYvExR9Q_2_14"/>
      <w:bookmarkStart w:id="674" w:name="Tc_vhvtbCNxKEW-iKM8qXvYLw_2_11"/>
      <w:bookmarkStart w:id="675" w:name="Tc_paBvUooEBEW_zubjxvtxKg_2_8"/>
      <w:bookmarkStart w:id="676" w:name="Tc_zhPHAi0egUmnd1iEz1ebxA_2_5"/>
      <w:bookmarkStart w:id="677" w:name="Tc_tS75Exif9kSWxlZNTbkdiw_2_2"/>
      <w:bookmarkStart w:id="678" w:name="Tc_9oW_c-F2cEyjGZ-bMwweXA_1_17"/>
      <w:bookmarkStart w:id="679" w:name="Tc_ieG6cxsYbU2JSx3fO2Er0w_1_14"/>
      <w:bookmarkStart w:id="680" w:name="Tc_xsKfq-NAGUu70pNzZ4dnPw_1_11"/>
      <w:bookmarkStart w:id="681" w:name="Tc_U4nX3PDjLEGHErI0MUoMLw_1_8"/>
      <w:bookmarkStart w:id="682" w:name="Tc_oKWn9y7TtUCJYPlUuyKAOA_1_2"/>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Arial;Helvetica;sans-serif" w:hAnsi="Arial;Helvetica;sans-serif"/>
          <w:sz w:val="20"/>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pStyle w:val="TextBody"/>
        <w:bidi w:val="0"/>
        <w:spacing w:before="0" w:after="240"/>
        <w:ind w:left="0" w:right="0" w:firstLine="720"/>
        <w:jc w:val="left"/>
        <w:rPr/>
      </w:pPr>
      <w:r>
        <w:rPr/>
        <w:t>​</w:t>
      </w:r>
    </w:p>
    <w:tbl>
      <w:tblPr>
        <w:tblW w:w="10946" w:type="dxa"/>
        <w:jc w:val="left"/>
        <w:tblInd w:w="0" w:type="dxa"/>
        <w:tblLayout w:type="fixed"/>
        <w:tblCellMar>
          <w:top w:w="0" w:type="dxa"/>
          <w:left w:w="0" w:type="dxa"/>
          <w:bottom w:w="0" w:type="dxa"/>
          <w:right w:w="0" w:type="dxa"/>
        </w:tblCellMar>
      </w:tblPr>
      <w:tblGrid>
        <w:gridCol w:w="1666"/>
        <w:gridCol w:w="346"/>
        <w:gridCol w:w="254"/>
        <w:gridCol w:w="962"/>
        <w:gridCol w:w="346"/>
        <w:gridCol w:w="217"/>
        <w:gridCol w:w="714"/>
        <w:gridCol w:w="346"/>
        <w:gridCol w:w="337"/>
        <w:gridCol w:w="1074"/>
        <w:gridCol w:w="346"/>
        <w:gridCol w:w="266"/>
        <w:gridCol w:w="875"/>
        <w:gridCol w:w="346"/>
        <w:gridCol w:w="302"/>
        <w:gridCol w:w="1079"/>
        <w:gridCol w:w="346"/>
        <w:gridCol w:w="211"/>
        <w:gridCol w:w="913"/>
      </w:tblGrid>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1290" cy="175260"/>
                      <wp:effectExtent l="0" t="0" r="0" b="0"/>
                      <wp:wrapNone/>
                      <wp:docPr id="131" name="Frame13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0870" cy="175260"/>
                      <wp:effectExtent l="0" t="0" r="0" b="0"/>
                      <wp:wrapNone/>
                      <wp:docPr id="132" name="Frame13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7795" cy="175260"/>
                      <wp:effectExtent l="0" t="0" r="0" b="0"/>
                      <wp:wrapNone/>
                      <wp:docPr id="134" name="Frame13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53390" cy="175260"/>
                      <wp:effectExtent l="0" t="0" r="0" b="0"/>
                      <wp:wrapNone/>
                      <wp:docPr id="135" name="Frame134"/>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3995" cy="175260"/>
                      <wp:effectExtent l="0" t="0" r="0" b="0"/>
                      <wp:wrapNone/>
                      <wp:docPr id="137" name="Frame13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81990" cy="175260"/>
                      <wp:effectExtent l="0" t="0" r="0" b="0"/>
                      <wp:wrapNone/>
                      <wp:docPr id="138" name="Frame137"/>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8910" cy="175260"/>
                      <wp:effectExtent l="0" t="0" r="0" b="0"/>
                      <wp:wrapNone/>
                      <wp:docPr id="140" name="Frame13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55625" cy="175260"/>
                      <wp:effectExtent l="0" t="0" r="0" b="0"/>
                      <wp:wrapNone/>
                      <wp:docPr id="141" name="Frame140"/>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1770" cy="175260"/>
                      <wp:effectExtent l="0" t="0" r="0" b="0"/>
                      <wp:wrapNone/>
                      <wp:docPr id="143" name="Frame14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85165" cy="175260"/>
                      <wp:effectExtent l="0" t="0" r="0" b="0"/>
                      <wp:wrapNone/>
                      <wp:docPr id="144" name="Frame143"/>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79755" cy="175260"/>
                      <wp:effectExtent l="0" t="0" r="0" b="0"/>
                      <wp:wrapNone/>
                      <wp:docPr id="147" name="Frame14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1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4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1"/>
              <w:ind w:left="0" w:right="0" w:hanging="0"/>
              <w:jc w:val="center"/>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1"/>
              <w:ind w:left="0" w:right="0" w:hanging="0"/>
              <w:jc w:val="center"/>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322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67,167</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9,399</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1,783</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18,736</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79,540</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140,870</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8,932</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19,453</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162,958</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36,757</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36,757</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1,406</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7,285</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8,691</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209,443</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62,373</w:t>
            </w:r>
          </w:p>
        </w:tc>
        <w:tc>
          <w:tcPr>
            <w:tcW w:w="34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21,236</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18,736</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287,946</w:t>
            </w:r>
          </w:p>
        </w:tc>
      </w:tr>
      <w:tr>
        <w:trPr/>
        <w:tc>
          <w:tcPr>
            <w:tcW w:w="16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322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2025</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96,962</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24,726</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1,076</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138,629</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100,683</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4,016</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15,666</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116,330</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16,774</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16,850</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729</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5,526</w:t>
            </w:r>
          </w:p>
        </w:tc>
        <w:tc>
          <w:tcPr>
            <w:tcW w:w="34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6,255</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198,374</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51,042</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16,818</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278,064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contract assets were $9.7 million as of March 31, 2026 and $10.9 million as of December 31, 2025 and are reflected in “Other current assets” in the accompanying condensed consolidated balance sheets (Note 3). The decrease in net contract assets was primarily attributable to the completion of a lump sum contract that had a contract asset balance as of December 31, 2025. We had no credit losses on our contract assets for the three-month periods ended March 31, 2026 and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contract liabilities totaled $13.8 million as of March 31, 2026 and $17.1 million as of December 31, 2025 and are reflected as “Deferred revenue,” a component of “Accrued liabilities” in the accompanying condensed consolidated balance sheets (Note 3). The decrease was primarily attributable to the amortization of deferred mobilization fees for work that had not been completed as of both balance sheet dates. Revenue recognized for the three-month periods ended March 31, 2026 and 2025 included $13.6 million and $15.6 million, respectively, that were included in the contract liability balance at the beginning of each period.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As of March 31, 2026, $1.2 billion related to unsatisfied performance obligations was expected to be recognized as revenue in the future, with $550.9 million, $421.2 million and $226.2 million in </w:t>
      </w:r>
      <w:r>
        <w:rPr>
          <w:rFonts w:ascii="Arial;Helvetica;sans-serif" w:hAnsi="Arial;Helvetica;sans-serif"/>
          <w:b w:val="false"/>
          <w:i w:val="false"/>
          <w:caps w:val="false"/>
          <w:smallCaps w:val="false"/>
          <w:sz w:val="20"/>
        </w:rPr>
        <w:t>2026</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2027</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2028</w:t>
      </w:r>
      <w:r>
        <w:rPr>
          <w:rFonts w:ascii="Arial;Helvetica;sans-serif" w:hAnsi="Arial;Helvetica;sans-serif"/>
          <w:sz w:val="20"/>
        </w:rPr>
        <w:t xml:space="preserve">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March 31,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three-month periods ended March 31, 2026 and 2025, revenues recognized from performance obligations satisfied (or partially satisfied) in previous periods were immaterial.</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Fulfillment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Deferred contract costs are reflected as “Deferred costs,” a component of “Other current assets” and “Other assets, net” in the accompanying condensed consolidated balance sheets (Note 3). Our deferred contract costs totaled $20.8 million as of March 31, 2026 and $25.6 million as of December 31, 2025. For the three-month periods ended March 31, 2026 and 2025, we recorded $17.2 million and $16.4 million, respectively, related to amortization of these deferred contract costs. There were no associated impairment losses for any period presented.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additional information regarding revenue recognition, see Notes 2 and 11 to our 2025 Form 10-K.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683" w:name="Tc_52eo5nWHlESw7t-Atl4COQ_5_0"/>
      <w:bookmarkStart w:id="684" w:name="Tc_IwFX_EJL-0mKhfLHveenxA_4_0"/>
      <w:bookmarkStart w:id="685" w:name="Tc_32WRNVttdkCvHMC5a0AzHw_3_0"/>
      <w:bookmarkStart w:id="686" w:name="Tc_0Qv_PYsIXk-ujw8dUqM0ug_2_2"/>
      <w:bookmarkStart w:id="687" w:name="Tc_hsoBWSpPuUutaPMwPAYk4g_1_2"/>
      <w:bookmarkStart w:id="688" w:name="Tc_5z8SLKEn0U-BDi6pFccJ9g_17_7"/>
      <w:bookmarkStart w:id="689" w:name="Tc_WK1R84l6PUm_F_wCqGWFgA_17_2"/>
      <w:bookmarkStart w:id="690" w:name="Tc_SkJiPQZDiU-h6wsdKTvXUQ_17_0"/>
      <w:bookmarkStart w:id="691" w:name="Tc_gth9CyEHj0iQQhlFWNkFDA_15_7"/>
      <w:bookmarkStart w:id="692" w:name="Tc_j51iZ7YVaUGQ0x_iydLTaA_15_2"/>
      <w:bookmarkStart w:id="693" w:name="Tc_kY9OB0NEY0-A_Q5_o7trKQ_15_0"/>
      <w:bookmarkStart w:id="694" w:name="Tc_GrZEkLgBfE2VCRps3l1wCg_14_8"/>
      <w:bookmarkStart w:id="695" w:name="Tc_E-CsjhOI-0CKTnjSaNf4Sw_14_5"/>
      <w:bookmarkStart w:id="696" w:name="Tc_Z33ekk-FfU-1IdGzaOgCaA_14_3"/>
      <w:bookmarkStart w:id="697" w:name="Tc_GRGTIqSm1kCxKfSO3fFJSA_14_0"/>
      <w:bookmarkStart w:id="698" w:name="Tc_bGpmGxdWRUuPQ1ibPveYsQ_13_0"/>
      <w:bookmarkStart w:id="699" w:name="Tc_pQNG7JFk5UmjiQA5OK2czg_12_7"/>
      <w:bookmarkStart w:id="700" w:name="Tc_cVz50MNJ20et8ilamcy-RA_12_2"/>
      <w:bookmarkStart w:id="701" w:name="Tc_V9HMJk8AokKTnSjJ5adFhQ_12_0"/>
      <w:bookmarkStart w:id="702" w:name="Tc_92dMKnBY5E2YsZgQiLiZRw_11_0"/>
      <w:bookmarkStart w:id="703" w:name="Tc_rPejfvB4x0mSCHlKZXjoXA_9_7"/>
      <w:bookmarkStart w:id="704" w:name="Tc_RQqNcvkaJUKtLO7DQppSyg_9_2"/>
      <w:bookmarkStart w:id="705" w:name="Tc_dpc2oXgGv0GicK-YdVTgSw_9_0"/>
      <w:bookmarkStart w:id="706" w:name="Tc_524g1fDniEytjTyqyzTNww_7_7"/>
      <w:bookmarkStart w:id="707" w:name="Tc_Ge0zWY2R8UyQiihPL4P_yQ_7_2"/>
      <w:bookmarkStart w:id="708" w:name="Tc_DJGROyF1hk6gWm-5cqojdw_7_0"/>
      <w:bookmarkStart w:id="709" w:name="Tc_ewtfHNJ15kSHz--YLXUfOQ_6_3"/>
      <w:bookmarkStart w:id="710" w:name="Tc_3qqSmnKI2EWnhYmjL7kHKg_6_0"/>
      <w:bookmarkStart w:id="711" w:name="Tc_Pd4N3P6EV02L2t1RPAc5Lw_5_7"/>
      <w:bookmarkStart w:id="712" w:name="Tc_32e3fvK2hkWCTL6qlqB4hA_5_2"/>
      <w:bookmarkStart w:id="713" w:name="Tc_KrfgsgLr1Umt9LGqZUgL1Q_5_0"/>
      <w:bookmarkStart w:id="714" w:name="Tc_oZh4hgFo7EalAlWsm4aUew_4_0"/>
      <w:bookmarkStart w:id="715" w:name="Tc_Kk18u0kXLUi0F4-OUkAUTQ_3_10"/>
      <w:bookmarkStart w:id="716" w:name="Tc_rLc8BPLy6064Bc_CIQw6gA_3_7"/>
      <w:bookmarkStart w:id="717" w:name="Tc_6gLXg1FGr0a3bTt2Si60qg_3_5"/>
      <w:bookmarkStart w:id="718" w:name="Tc_fTm5XxZPo06gn5czfrKiLg_3_2"/>
      <w:bookmarkStart w:id="719" w:name="Tc__6G2dIE2Ak62KlyvRuO8WA_2_7"/>
      <w:bookmarkStart w:id="720" w:name="Tc_MS9GbwvlnU-yJLvkJxrWwA_2_2"/>
      <w:bookmarkStart w:id="721" w:name="Tc_GeOPROIcF0-Jq4iWdFE7OQ_1_7"/>
      <w:bookmarkStart w:id="722" w:name="Tc_3_9l-5URxkuxkDYiEC3Elw_1_2"/>
      <w:bookmarkStart w:id="723" w:name="_bbaea445_6d31_4ee5_80c6_5a30745b1891"/>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Arial;Helvetica;sans-serif" w:hAnsi="Arial;Helvetica;sans-serif"/>
          <w:b/>
          <w:sz w:val="20"/>
        </w:rPr>
        <w:t>Note 9 — Earnings Per Share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computations of the numerator (earnings or loss) and denominator (shares) to derive the basic and diluted earnings per share (“EPS”) amounts presented on the face of the accompanying condensed consolidated statements of operations are as follows (in thousands, except per share amounts):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227"/>
        <w:gridCol w:w="346"/>
        <w:gridCol w:w="211"/>
        <w:gridCol w:w="804"/>
        <w:gridCol w:w="346"/>
        <w:gridCol w:w="796"/>
        <w:gridCol w:w="346"/>
        <w:gridCol w:w="226"/>
        <w:gridCol w:w="628"/>
        <w:gridCol w:w="371"/>
        <w:gridCol w:w="904"/>
      </w:tblGrid>
      <w:tr>
        <w:trPr/>
        <w:tc>
          <w:tcPr>
            <w:tcW w:w="52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10540" cy="175260"/>
                      <wp:effectExtent l="0" t="0" r="0" b="0"/>
                      <wp:wrapNone/>
                      <wp:docPr id="150" name="Frame14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05460" cy="175260"/>
                      <wp:effectExtent l="0" t="0" r="0" b="0"/>
                      <wp:wrapNone/>
                      <wp:docPr id="152" name="Frame1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3510" cy="175260"/>
                      <wp:effectExtent l="0" t="0" r="0" b="0"/>
                      <wp:wrapNone/>
                      <wp:docPr id="154" name="Frame1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98780" cy="175260"/>
                      <wp:effectExtent l="0" t="0" r="0" b="0"/>
                      <wp:wrapNone/>
                      <wp:docPr id="155" name="Frame154"/>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35585" cy="175260"/>
                      <wp:effectExtent l="0" t="0" r="0" b="0"/>
                      <wp:wrapNone/>
                      <wp:docPr id="156" name="Frame15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74040" cy="175260"/>
                      <wp:effectExtent l="0" t="0" r="0" b="0"/>
                      <wp:wrapNone/>
                      <wp:docPr id="157" name="Frame15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7"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29"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2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2026</w:t>
            </w:r>
          </w:p>
        </w:tc>
        <w:tc>
          <w:tcPr>
            <w:tcW w:w="346" w:type="dxa"/>
            <w:tcBorders/>
            <w:vAlign w:val="center"/>
          </w:tcPr>
          <w:p>
            <w:pPr>
              <w:pStyle w:val="TableContents"/>
              <w:bidi w:val="0"/>
              <w:spacing w:before="0" w:after="1"/>
              <w:ind w:left="0" w:right="0" w:hanging="0"/>
              <w:jc w:val="center"/>
              <w:rPr/>
            </w:pPr>
            <w:r>
              <w:rPr/>
              <w:t>​</w:t>
            </w:r>
          </w:p>
        </w:tc>
        <w:tc>
          <w:tcPr>
            <w:tcW w:w="21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2025</w:t>
            </w:r>
          </w:p>
        </w:tc>
      </w:tr>
      <w:tr>
        <w:trPr/>
        <w:tc>
          <w:tcPr>
            <w:tcW w:w="52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8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71" w:type="dxa"/>
            <w:tcBorders/>
            <w:vAlign w:val="center"/>
          </w:tcPr>
          <w:p>
            <w:pPr>
              <w:pStyle w:val="TableContents"/>
              <w:bidi w:val="0"/>
              <w:spacing w:before="0" w:after="1"/>
              <w:ind w:left="0" w:right="0" w:hanging="0"/>
              <w:jc w:val="center"/>
              <w:rPr/>
            </w:pPr>
            <w:r>
              <w:rPr/>
              <w:t>  ​ ​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227"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3,072</w:t>
            </w:r>
          </w:p>
        </w:tc>
        <w:tc>
          <w:tcPr>
            <w:tcW w:w="37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r>
      <w:tr>
        <w:trPr/>
        <w:tc>
          <w:tcPr>
            <w:tcW w:w="52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Undistributed earnings allocated to participating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7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available to common shareholders, 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147,163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3,070</w:t>
            </w:r>
          </w:p>
        </w:tc>
        <w:tc>
          <w:tcPr>
            <w:tcW w:w="371" w:type="dxa"/>
            <w:tcBorders/>
            <w:vAlign w:val="center"/>
          </w:tcPr>
          <w:p>
            <w:pPr>
              <w:pStyle w:val="TableContents"/>
              <w:bidi w:val="0"/>
              <w:spacing w:before="0" w:after="1"/>
              <w:ind w:left="0" w:right="0" w:hanging="0"/>
              <w:jc w:val="left"/>
              <w:rPr/>
            </w:pPr>
            <w:r>
              <w:rPr/>
              <w:t> </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151,039</w:t>
            </w:r>
          </w:p>
        </w:tc>
      </w:tr>
      <w:tr>
        <w:trPr/>
        <w:tc>
          <w:tcPr>
            <w:tcW w:w="522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left"/>
              <w:rPr/>
            </w:pPr>
            <w:r>
              <w:rPr/>
              <w:t>​</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37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left"/>
              <w:rPr/>
            </w:pPr>
            <w:r>
              <w:rPr/>
              <w:t>​</w:t>
            </w:r>
          </w:p>
        </w:tc>
      </w:tr>
      <w:tr>
        <w:trPr/>
        <w:tc>
          <w:tcPr>
            <w:tcW w:w="522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left"/>
              <w:rPr/>
            </w:pPr>
            <w:r>
              <w:rPr/>
              <w:t>​</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28"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r>
      <w:tr>
        <w:trPr/>
        <w:tc>
          <w:tcPr>
            <w:tcW w:w="52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available to common shareholders,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147,163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3,070</w:t>
            </w:r>
          </w:p>
        </w:tc>
        <w:tc>
          <w:tcPr>
            <w:tcW w:w="37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151,039</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 of dilutive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28"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r>
      <w:tr>
        <w:trPr/>
        <w:tc>
          <w:tcPr>
            <w:tcW w:w="52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other than participating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1,135</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available to common shareholders,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147,163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3,070</w:t>
            </w:r>
          </w:p>
        </w:tc>
        <w:tc>
          <w:tcPr>
            <w:tcW w:w="371" w:type="dxa"/>
            <w:tcBorders/>
            <w:vAlign w:val="center"/>
          </w:tcPr>
          <w:p>
            <w:pPr>
              <w:pStyle w:val="TableContents"/>
              <w:bidi w:val="0"/>
              <w:spacing w:before="0" w:after="1"/>
              <w:ind w:left="0" w:right="0" w:hanging="0"/>
              <w:jc w:val="left"/>
              <w:rPr/>
            </w:pPr>
            <w:r>
              <w:rPr/>
              <w:t> </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152,174</w:t>
            </w:r>
          </w:p>
        </w:tc>
      </w:tr>
      <w:tr>
        <w:trPr/>
        <w:tc>
          <w:tcPr>
            <w:tcW w:w="522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2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r>
      <w:tr>
        <w:trPr/>
        <w:tc>
          <w:tcPr>
            <w:tcW w:w="52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0.02</w:t>
            </w:r>
          </w:p>
        </w:tc>
        <w:tc>
          <w:tcPr>
            <w:tcW w:w="37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had a net loss for the three-month period ended March 31, 2026. Accordingly, our diluted EPS calculation for this period excluded the dilutive effect of share-based awards because they were deemed to be anti-dilutive, meaning their inclusion would have reduced the reported net loss per share in the applicable period. Shares that otherwise would have been included in the diluted per share calculations assuming we had earnings are as follows (in thousands):</w:t>
      </w:r>
    </w:p>
    <w:p>
      <w:pPr>
        <w:pStyle w:val="TextBody"/>
        <w:bidi w:val="0"/>
        <w:spacing w:before="0" w:after="240"/>
        <w:ind w:left="0" w:right="0" w:firstLine="720"/>
        <w:jc w:val="left"/>
        <w:rPr/>
      </w:pPr>
      <w:r>
        <w:rPr/>
        <w:t>​</w:t>
      </w:r>
    </w:p>
    <w:tbl>
      <w:tblPr>
        <w:tblW w:w="5013" w:type="dxa"/>
        <w:jc w:val="left"/>
        <w:tblInd w:w="0" w:type="dxa"/>
        <w:tblLayout w:type="fixed"/>
        <w:tblCellMar>
          <w:top w:w="0" w:type="dxa"/>
          <w:left w:w="0" w:type="dxa"/>
          <w:bottom w:w="0" w:type="dxa"/>
          <w:right w:w="0" w:type="dxa"/>
        </w:tblCellMar>
      </w:tblPr>
      <w:tblGrid>
        <w:gridCol w:w="2521"/>
        <w:gridCol w:w="346"/>
        <w:gridCol w:w="2146"/>
      </w:tblGrid>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62710" cy="175260"/>
                      <wp:effectExtent l="0" t="0" r="0" b="0"/>
                      <wp:wrapNone/>
                      <wp:docPr id="159" name="Frame15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4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2026</w:t>
            </w:r>
          </w:p>
        </w:tc>
      </w:tr>
      <w:tr>
        <w:trPr/>
        <w:tc>
          <w:tcPr>
            <w:tcW w:w="2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 shares (as reported)</w:t>
            </w:r>
          </w:p>
        </w:tc>
        <w:tc>
          <w:tcPr>
            <w:tcW w:w="346" w:type="dxa"/>
            <w:tcBorders/>
            <w:shd w:fill="CCEEFF" w:val="clear"/>
            <w:vAlign w:val="center"/>
          </w:tcPr>
          <w:p>
            <w:pPr>
              <w:pStyle w:val="TableContents"/>
              <w:bidi w:val="0"/>
              <w:spacing w:before="0" w:after="1"/>
              <w:ind w:left="0" w:right="0" w:hanging="0"/>
              <w:jc w:val="left"/>
              <w:rPr/>
            </w:pPr>
            <w:r>
              <w:rPr/>
              <w:t> </w:t>
            </w:r>
          </w:p>
        </w:tc>
        <w:tc>
          <w:tcPr>
            <w:tcW w:w="21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147,163</w:t>
            </w:r>
          </w:p>
        </w:tc>
      </w:tr>
      <w:tr>
        <w:trPr/>
        <w:tc>
          <w:tcPr>
            <w:tcW w:w="25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w:t>
            </w:r>
          </w:p>
        </w:tc>
        <w:tc>
          <w:tcPr>
            <w:tcW w:w="346" w:type="dxa"/>
            <w:tcBorders/>
            <w:vAlign w:val="center"/>
          </w:tcPr>
          <w:p>
            <w:pPr>
              <w:pStyle w:val="TableContents"/>
              <w:bidi w:val="0"/>
              <w:spacing w:before="0" w:after="1"/>
              <w:ind w:left="0" w:right="0" w:hanging="0"/>
              <w:jc w:val="left"/>
              <w:rPr/>
            </w:pPr>
            <w:r>
              <w:rPr/>
              <w:t> </w:t>
            </w:r>
          </w:p>
        </w:tc>
        <w:tc>
          <w:tcPr>
            <w:tcW w:w="21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w:t>
            </w:r>
          </w:p>
        </w:tc>
      </w:tr>
      <w:tr>
        <w:trPr/>
        <w:tc>
          <w:tcPr>
            <w:tcW w:w="2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214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147,792</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outstanding restricted stock units (“RSUs”) (Note 10) that can be settled in either cash or shares of our common stock, or a combination thereof, which are not included in the computation of diluted EPS as cash settlement is assumed.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724" w:name="Tc_PKRtOBF5z0yzIXXT-Qux_A_5_9"/>
      <w:bookmarkStart w:id="725" w:name="Tc_SDFfMzBvckSNJHk63jdmAg_5_6"/>
      <w:bookmarkStart w:id="726" w:name="Tc_AK7-3VY8uEqATpdsqlfmgg_5_2"/>
      <w:bookmarkStart w:id="727" w:name="Tc_IQLxGBJ_QkSLEPuKSvYy-A_5_0"/>
      <w:bookmarkStart w:id="728" w:name="Tc_0ywptnHiKk2UOLN8-xPHfA_4_9"/>
      <w:bookmarkStart w:id="729" w:name="Tc_KBH5ekqB9EGFGrCP821unw_4_6"/>
      <w:bookmarkStart w:id="730" w:name="Tc_nIivRpok-0uCe-GnuL6Jwg_4_2"/>
      <w:bookmarkStart w:id="731" w:name="Tc_Yhu8jyZjOUWT8qSOYyXKXQ_4_0"/>
      <w:bookmarkStart w:id="732" w:name="Tc_lMInPZOykEKnDU8HFC559Q_3_9"/>
      <w:bookmarkStart w:id="733" w:name="Tc_qj3SkRWXEUCf3OjNeWeEJw_3_6"/>
      <w:bookmarkStart w:id="734" w:name="Tc_rLWkx5AXBU-StlhvTKyDZA_3_4"/>
      <w:bookmarkStart w:id="735" w:name="Tc_vobLse9EEkyhQ-VdWOueyw_3_2"/>
      <w:bookmarkStart w:id="736" w:name="Tc_yX3InVw8KEeaLpkc1JPQRw_3_0"/>
      <w:bookmarkStart w:id="737" w:name="Tc_x0yptakNOkuXum5f9U-OyA_2_6"/>
      <w:bookmarkStart w:id="738" w:name="Tc__G8zrXu_E0WCKuK6_WqXew_1_6"/>
      <w:bookmarkStart w:id="739" w:name="_bbb43576_fa72_429e_b5d2_7cf9f7a2c138"/>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Fonts w:ascii="Arial;Helvetica;sans-serif" w:hAnsi="Arial;Helvetica;sans-serif"/>
          <w:b/>
          <w:sz w:val="20"/>
        </w:rPr>
        <w:t>Note 10 — Employee Benefit Plans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Incentive Plan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currently have one active long-term incentive plan: the 2005 Long-Term Incentive Plan, as amended and restated (the “2005 Incentive Plan”). As of March 31, 2026, there were approximately 7.9 million shares of our common stock available for issuance under the 2005 Incentive Plan, assuming outstanding performance share units (“PSUs”) vest in shares of our common stock at 100% of the original awards and outstanding RSUs are settled in cash. During the three-month period ended March 31, 2026, the following grants of share-based awards were made under the 2005 Incentive Plan:</w:t>
      </w:r>
    </w:p>
    <w:p>
      <w:pPr>
        <w:pStyle w:val="TextBody"/>
        <w:bidi w:val="0"/>
        <w:spacing w:before="0" w:after="240"/>
        <w:ind w:left="0" w:right="0" w:firstLine="720"/>
        <w:jc w:val="left"/>
        <w:rPr/>
      </w:pPr>
      <w:r>
        <w:rPr/>
        <w:t>​</w:t>
      </w:r>
    </w:p>
    <w:tbl>
      <w:tblPr>
        <w:tblW w:w="9863" w:type="dxa"/>
        <w:jc w:val="left"/>
        <w:tblInd w:w="0" w:type="dxa"/>
        <w:tblLayout w:type="fixed"/>
        <w:tblCellMar>
          <w:top w:w="0" w:type="dxa"/>
          <w:left w:w="0" w:type="dxa"/>
          <w:bottom w:w="0" w:type="dxa"/>
          <w:right w:w="0" w:type="dxa"/>
        </w:tblCellMar>
      </w:tblPr>
      <w:tblGrid>
        <w:gridCol w:w="1756"/>
        <w:gridCol w:w="346"/>
        <w:gridCol w:w="1201"/>
        <w:gridCol w:w="346"/>
        <w:gridCol w:w="1291"/>
        <w:gridCol w:w="346"/>
        <w:gridCol w:w="443"/>
        <w:gridCol w:w="1012"/>
        <w:gridCol w:w="346"/>
        <w:gridCol w:w="277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15060" cy="175260"/>
                      <wp:effectExtent l="0" t="0" r="0" b="0"/>
                      <wp:wrapNone/>
                      <wp:docPr id="160" name="Frame159"/>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62635" cy="175260"/>
                      <wp:effectExtent l="0" t="0" r="0" b="0"/>
                      <wp:wrapNone/>
                      <wp:docPr id="162" name="Frame16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19785" cy="175260"/>
                      <wp:effectExtent l="0" t="0" r="0" b="0"/>
                      <wp:wrapNone/>
                      <wp:docPr id="164" name="Frame16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81305" cy="175260"/>
                      <wp:effectExtent l="0" t="0" r="0" b="0"/>
                      <wp:wrapNone/>
                      <wp:docPr id="166" name="Frame165"/>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2620" cy="175260"/>
                      <wp:effectExtent l="0" t="0" r="0" b="0"/>
                      <wp:wrapNone/>
                      <wp:docPr id="167" name="Frame166"/>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762760" cy="175260"/>
                      <wp:effectExtent l="0" t="0" r="0" b="0"/>
                      <wp:wrapNone/>
                      <wp:docPr id="169" name="Frame168"/>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 Value</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Date of Grant</w:t>
            </w:r>
          </w:p>
        </w:tc>
        <w:tc>
          <w:tcPr>
            <w:tcW w:w="346" w:type="dxa"/>
            <w:tcBorders/>
            <w:vAlign w:val="center"/>
          </w:tcPr>
          <w:p>
            <w:pPr>
              <w:pStyle w:val="TableContents"/>
              <w:bidi w:val="0"/>
              <w:spacing w:before="0" w:after="1"/>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Award Type</w:t>
            </w:r>
          </w:p>
        </w:tc>
        <w:tc>
          <w:tcPr>
            <w:tcW w:w="346" w:type="dxa"/>
            <w:tcBorders/>
            <w:vAlign w:val="center"/>
          </w:tcPr>
          <w:p>
            <w:pPr>
              <w:pStyle w:val="TableContents"/>
              <w:bidi w:val="0"/>
              <w:spacing w:before="0" w:after="1"/>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Shares/Units</w:t>
            </w:r>
          </w:p>
        </w:tc>
        <w:tc>
          <w:tcPr>
            <w:tcW w:w="346" w:type="dxa"/>
            <w:tcBorders/>
            <w:vAlign w:val="center"/>
          </w:tcPr>
          <w:p>
            <w:pPr>
              <w:pStyle w:val="TableContents"/>
              <w:bidi w:val="0"/>
              <w:spacing w:before="0" w:after="1"/>
              <w:ind w:left="0" w:right="0" w:hanging="0"/>
              <w:jc w:val="center"/>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Share/Unit</w:t>
            </w:r>
          </w:p>
        </w:tc>
        <w:tc>
          <w:tcPr>
            <w:tcW w:w="346" w:type="dxa"/>
            <w:tcBorders/>
            <w:vAlign w:val="center"/>
          </w:tcPr>
          <w:p>
            <w:pPr>
              <w:pStyle w:val="TableContents"/>
              <w:bidi w:val="0"/>
              <w:spacing w:before="0" w:after="1"/>
              <w:ind w:left="0" w:right="0" w:hanging="0"/>
              <w:jc w:val="center"/>
              <w:rPr/>
            </w:pPr>
            <w:r>
              <w:rPr/>
              <w:t>  ​ ​ ​</w:t>
            </w:r>
          </w:p>
        </w:tc>
        <w:tc>
          <w:tcPr>
            <w:tcW w:w="27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Vesting Period/Vesting Date</w:t>
            </w:r>
          </w:p>
        </w:tc>
      </w:tr>
      <w:tr>
        <w:trPr/>
        <w:tc>
          <w:tcPr>
            <w:tcW w:w="17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2026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719,298</w:t>
            </w:r>
          </w:p>
        </w:tc>
        <w:tc>
          <w:tcPr>
            <w:tcW w:w="34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w:t>
            </w:r>
          </w:p>
        </w:tc>
        <w:tc>
          <w:tcPr>
            <w:tcW w:w="34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33% per year over three years</w:t>
            </w:r>
          </w:p>
        </w:tc>
      </w:tr>
      <w:tr>
        <w:trPr/>
        <w:tc>
          <w:tcPr>
            <w:tcW w:w="175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2026 </w:t>
            </w:r>
            <w:r>
              <w:rPr>
                <w:rFonts w:ascii="Arial;Helvetica;sans-serif" w:hAnsi="Arial;Helvetica;sans-serif"/>
                <w:sz w:val="15"/>
              </w:rPr>
              <w:t>(2)</w:t>
            </w:r>
          </w:p>
        </w:tc>
        <w:tc>
          <w:tcPr>
            <w:tcW w:w="34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605,661</w:t>
            </w:r>
          </w:p>
        </w:tc>
        <w:tc>
          <w:tcPr>
            <w:tcW w:w="34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w:t>
            </w:r>
          </w:p>
        </w:tc>
        <w:tc>
          <w:tcPr>
            <w:tcW w:w="34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December 31, 2028</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57" w:type="dxa"/>
        <w:jc w:val="left"/>
        <w:tblInd w:w="0" w:type="dxa"/>
        <w:tblLayout w:type="fixed"/>
        <w:tblCellMar>
          <w:top w:w="0" w:type="dxa"/>
          <w:left w:w="0" w:type="dxa"/>
          <w:bottom w:w="0" w:type="dxa"/>
          <w:right w:w="0" w:type="dxa"/>
        </w:tblCellMar>
      </w:tblPr>
      <w:tblGrid>
        <w:gridCol w:w="346"/>
        <w:gridCol w:w="62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 and certain other employees.</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36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restricted stock outstanding granted to members of our Board. For each of the three-month periods ended March 31, 2026 and 2025, we recognized $0.2 million as share-based compensation related to restricted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outstanding PSUs can be settled in either cash or shares of our common stock, or a combination thereof, at the discretion of the Compensation Committee of our Board upon vesting and generally have been accounted for as equity awards. Those PSUs consist of two components measured across a three-year performance period: (i) 50% containing a service and market condition based on the performance of our common stock against peer group companies, and (ii) 50% containing a service and performance condition based on cumulative total Free Cash Flow.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three-month periods ended March 31, 2026 and 2025, $1.0 million and $1.3 million, respectively, were recognized as share-based compensation related to PSUs. In the first quarter 2026, based on the performance of our common stock price as compared to our performance peer group and our cumulative total Free Cash Flow, in each case over a three-year performance period, 489,498 PSUs granted in 2023 vested at 151%, resulting in cash payout of $4.6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outstanding RSUs can be settled in either cash or shares of our common stock, or a combination thereof, at the discretion of the Compensation Committee of our Board upon vesting and generally have been accounted for as liability awards. For the three-month periods ended March 31, 2026 and 2025, $1.3 million and $1.0 million, respectively, were recognized as compensation cost.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three-month period ended March 31, 2026 and the year ended December 31, 2025, we granted fixed-value cash awards of $6.8 million and $6.7 million, respectively, to select management employees under the 2005 Incentive Plan. The value of these cash awards is recognized on a straight-line basis over a vesting period of three years. For each of the three-month periods ended March 31, 2026 and 2025, $1.5 million were recognized as compensation cost.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Defined Contribution Plans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sponsor a defined contribution 401(k) retirement plan in the U.S. We also contribute to various other defined contribution plans globally. For the three-month periods ended March 31, 2026 and 2025, we made contributions to our defined contribution plans totaling $1.9 million and $1.5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Stock Purchase Plan (“ESPP”)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March 31, 2026, 0.6 million shares were available for issuance under the ESPP. The ESPP currently has a purchase limit of 260 shares per employee per purchase period.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more information regarding our employee benefit plans, including the 2005 Incentive Plan, the defined contribution plans and the ESPP, see Note 13 to our 2025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11 — Business Segment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Our U.S., U.K. and Brazil Well Intervention operating segments are aggregated into the Well Intervention segment for financial reporting purposes. These reportable segments are strategic business units that utilize different mix of vessels and/or equipment to perform different types of services. All material intercompany transactions between the segments have been eliminated. See Note 2 for more information on our business segments.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740" w:name="Tc__AN63qYXzECCkPg-JdYuHQ_9_5"/>
      <w:bookmarkStart w:id="741" w:name="Tc_tmQfFZrju0G5qPXDug-YiQ_9_2"/>
      <w:bookmarkStart w:id="742" w:name="Tc_Uh74195bS0-_Q0z3Fm8HxA_9_0"/>
      <w:bookmarkStart w:id="743" w:name="Tc_OvOqi9ZlsUilX31uu-TuSg_8_0"/>
      <w:bookmarkStart w:id="744" w:name="Tc_Y69TOSlwVUqmtOSXz6ZlvA_7_0"/>
      <w:bookmarkStart w:id="745" w:name="Tc_lUwwkO9auEez2qutyfWcMQ_6_0"/>
      <w:bookmarkStart w:id="746" w:name="Tc_-Y2KzBS2WUSwsMmRq5Xhkg_5_5"/>
      <w:bookmarkStart w:id="747" w:name="Tc_WgK3uWKzSkSpt-J1frIuZw_5_2"/>
      <w:bookmarkStart w:id="748" w:name="Tc_vtA89d00nkun_Z9AvIOi1Q_5_0"/>
      <w:bookmarkStart w:id="749" w:name="Tc_BWmFQS1jy0WbdivDPRxmNg_4_0"/>
      <w:bookmarkStart w:id="750" w:name="Tc_gEknqYeEJE-ZSEqvpPVhlQ_3_5"/>
      <w:bookmarkStart w:id="751" w:name="Tc_txFvC4QQF0mR-iPfyiYYdg_3_2"/>
      <w:bookmarkStart w:id="752" w:name="Tc_EZtBwcQ4QkmcJJ2q3RL0xA_2_2"/>
      <w:bookmarkStart w:id="753" w:name="Tc_8ugIdn_dHUuRJKkwzIH9fA_1_2"/>
      <w:bookmarkStart w:id="754" w:name="_03e6425b_4320_470f_bb8a_2109b73bc1b3"/>
      <w:bookmarkStart w:id="755" w:name="Tc_GTi0JKr9m0OOwMc9bpByYw_27_14"/>
      <w:bookmarkStart w:id="756" w:name="Tc_P3xYMcO790S9yxv7QNiVnQ_27_11"/>
      <w:bookmarkStart w:id="757" w:name="Tc_VBXQggNFY0aztxUelCgWHQ_27_8"/>
      <w:bookmarkStart w:id="758" w:name="Tc_5RsZ7VeEHku6JmyEUO8xsA_27_5"/>
      <w:bookmarkStart w:id="759" w:name="Tc_09hM8TiX6kCetzsDLHesNQ_27_2"/>
      <w:bookmarkStart w:id="760" w:name="Tc_7xwDn2CiJEegopQCeZh9Bg_27_0"/>
      <w:bookmarkStart w:id="761" w:name="Tc_5TWvkzL2EkmmQmcuPGqWiA_26_0"/>
      <w:bookmarkStart w:id="762" w:name="Tc_7l16V940eEiuc1sDFTVD_Q_25_0"/>
      <w:bookmarkStart w:id="763" w:name="Tc_CPoibTl1nECd2u1nV7O_iA_24_0"/>
      <w:bookmarkStart w:id="764" w:name="Tc_G84oPd41qkGYwQw1IxyF7g_23_0"/>
      <w:bookmarkStart w:id="765" w:name="Tc_OvYcvs8xH0-y_0jCKb7I3Q_21_14"/>
      <w:bookmarkStart w:id="766" w:name="Tc_QRxzOnbBd0qhh6iTvcqNKQ_21_0"/>
      <w:bookmarkStart w:id="767" w:name="Tc_J442BhPdSkOR2MdHDCVtxg_20_0"/>
      <w:bookmarkStart w:id="768" w:name="Tc_AK1X4pO-0k-4h3YNYcr2zw_19_0"/>
      <w:bookmarkStart w:id="769" w:name="Tc_rCC6jEHGCkC8Sx8elPN42Q_18_12"/>
      <w:bookmarkStart w:id="770" w:name="Tc_Xk1OWxfc70mWOwj3WYg7Ug_18_3"/>
      <w:bookmarkStart w:id="771" w:name="Tc_4AT4-xVkL0eBg-8fFQWk9A_18_0"/>
      <w:bookmarkStart w:id="772" w:name="Tc_N8Igtvdr8kK-66oEyqZd5A_17_14"/>
      <w:bookmarkStart w:id="773" w:name="Tc_lir0Ix5XD0ebiFtE2hpzHQ_17_11"/>
      <w:bookmarkStart w:id="774" w:name="Tc_Fl1O7Ry5xkS8MugLZ90ViQ_17_8"/>
      <w:bookmarkStart w:id="775" w:name="Tc_E8MEbRO4g0aPmr60-RLSsQ_17_5"/>
      <w:bookmarkStart w:id="776" w:name="Tc_VfoX3KWekkm-qoPYA4WGBA_17_2"/>
      <w:bookmarkStart w:id="777" w:name="Tc_DQ9zw50yeUqLHgduDnKUQw_17_0"/>
      <w:bookmarkStart w:id="778" w:name="Tc_1PMAFw9AVkyX3THfOdNOSA_16_0"/>
      <w:bookmarkStart w:id="779" w:name="Tc_n9IDUeEZQUOi7nxfbZ_EbA_14_14"/>
      <w:bookmarkStart w:id="780" w:name="Tc_ce2uwLLUEkSm3EI3GLa4HA_14_11"/>
      <w:bookmarkStart w:id="781" w:name="Tc_w1O7NqWrVEu_A99gm9SoRw_14_8"/>
      <w:bookmarkStart w:id="782" w:name="Tc_ClafgSc4O0q_0iG1Kso2SQ_14_5"/>
      <w:bookmarkStart w:id="783" w:name="Tc_oGVYeZ-N-km8NXza2oVdsA_14_2"/>
      <w:bookmarkStart w:id="784" w:name="Tc_ypxQOwj4aE-I7MitkKmhNA_14_0"/>
      <w:bookmarkStart w:id="785" w:name="Tc_aX2P-LgWuEaCN_ThWnkFAw_13_0"/>
      <w:bookmarkStart w:id="786" w:name="Tc_yVQUNmqB2U6dV4xu8x6QNA_12_0"/>
      <w:bookmarkStart w:id="787" w:name="Tc_gKqT2AxFpkS2Po3fVf3p0A_11_0"/>
      <w:bookmarkStart w:id="788" w:name="Tc_1pjdnh-VtkOgKdOX7SXtug_10_0"/>
      <w:bookmarkStart w:id="789" w:name="Tc_0x9SuA4sFkqFO4WDYhn1hA_8_14"/>
      <w:bookmarkStart w:id="790" w:name="Tc_rzrs4FdFVk29Z5T_KIQuWA_8_0"/>
      <w:bookmarkStart w:id="791" w:name="Tc_Vf8bsAwXCUCNVbtKjmymsQ_7_0"/>
      <w:bookmarkStart w:id="792" w:name="Tc_qZQBVkVGb0GlYZ4lWnawqA_6_0"/>
      <w:bookmarkStart w:id="793" w:name="Tc_FVaspEJi-kKoQ9CH3f87-w_5_12"/>
      <w:bookmarkStart w:id="794" w:name="Tc_zM_9Oe0hSUqBYEU60AD9QQ_5_9"/>
      <w:bookmarkStart w:id="795" w:name="Tc_vkNbUrfDRk-8U8Pv2doP1A_5_0"/>
      <w:bookmarkStart w:id="796" w:name="Tc_zKSXVI8wKU667AuRKSNeCA_4_14"/>
      <w:bookmarkStart w:id="797" w:name="Tc_Y81AlmZGKE60jmEf7Qx_sw_4_11"/>
      <w:bookmarkStart w:id="798" w:name="Tc_F1X-fORdM0WyH3n1oW8YqQ_4_8"/>
      <w:bookmarkStart w:id="799" w:name="Tc_m1tm7ldBu0Kzz12b-A4KHw_4_5"/>
      <w:bookmarkStart w:id="800" w:name="Tc_Ff46EvmtsU-qikTIaSQHNg_4_2"/>
      <w:bookmarkStart w:id="801" w:name="Tc_fzd3B5YsFUqEY8qz2rGSzA_4_0"/>
      <w:bookmarkStart w:id="802" w:name="Tc_x1eHttMLUUiSwLl809czdg_3_0"/>
      <w:bookmarkStart w:id="803" w:name="Tc_0a2UT8aNfkmL8jvA-lA04Q_2_14"/>
      <w:bookmarkStart w:id="804" w:name="Tc_FIT7MG7e00GnHGV4augdvQ_2_11"/>
      <w:bookmarkStart w:id="805" w:name="Tc_p0gqCorDv0O71PQyGc8FyQ_2_8"/>
      <w:bookmarkStart w:id="806" w:name="Tc_4o5YPJIR8kC7m4HI-onxYw_2_5"/>
      <w:bookmarkStart w:id="807" w:name="Tc_FWgnJsKBxUaJJp3_kLF7vA_2_2"/>
      <w:bookmarkStart w:id="808" w:name="Tc_aEKbwqHoW0Spk67tMelIJg_1_11"/>
      <w:bookmarkStart w:id="809" w:name="Tc_c4ULYnHIuk-CCftaVfX8cw_1_8"/>
      <w:bookmarkStart w:id="810" w:name="Tc_l1gvDr7p0U-v4kwN78Xg2g_1_2"/>
      <w:bookmarkStart w:id="811" w:name="_cbc892a1_7c8e_446b_a55c_77c588d160f4"/>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Arial;Helvetica;sans-serif" w:hAnsi="Arial;Helvetica;sans-serif"/>
          <w:sz w:val="20"/>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873"/>
        <w:gridCol w:w="109"/>
        <w:gridCol w:w="240"/>
        <w:gridCol w:w="976"/>
        <w:gridCol w:w="346"/>
        <w:gridCol w:w="211"/>
        <w:gridCol w:w="783"/>
        <w:gridCol w:w="346"/>
        <w:gridCol w:w="297"/>
        <w:gridCol w:w="1129"/>
        <w:gridCol w:w="346"/>
        <w:gridCol w:w="250"/>
        <w:gridCol w:w="891"/>
        <w:gridCol w:w="346"/>
        <w:gridCol w:w="211"/>
        <w:gridCol w:w="851"/>
      </w:tblGrid>
      <w:tr>
        <w:trPr/>
        <w:tc>
          <w:tcPr>
            <w:tcW w:w="28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7205" cy="175260"/>
                      <wp:effectExtent l="0" t="0" r="0" b="0"/>
                      <wp:wrapNone/>
                      <wp:docPr id="172" name="Frame17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8595" cy="175260"/>
                      <wp:effectExtent l="0" t="0" r="0" b="0"/>
                      <wp:wrapNone/>
                      <wp:docPr id="174" name="Frame173"/>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16915" cy="175260"/>
                      <wp:effectExtent l="0" t="0" r="0" b="0"/>
                      <wp:wrapNone/>
                      <wp:docPr id="175" name="Frame174"/>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8750" cy="175260"/>
                      <wp:effectExtent l="0" t="0" r="0" b="0"/>
                      <wp:wrapNone/>
                      <wp:docPr id="177" name="Frame17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65785" cy="175260"/>
                      <wp:effectExtent l="0" t="0" r="0" b="0"/>
                      <wp:wrapNone/>
                      <wp:docPr id="178" name="Frame177"/>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40385" cy="175260"/>
                      <wp:effectExtent l="0" t="0" r="0" b="0"/>
                      <wp:wrapNone/>
                      <wp:docPr id="181" name="Frame180"/>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1"/>
              <w:ind w:left="0" w:right="0" w:hanging="0"/>
              <w:jc w:val="center"/>
              <w:rPr/>
            </w:pPr>
            <w:r>
              <w:rPr/>
              <w:t>​</w:t>
            </w:r>
          </w:p>
        </w:tc>
        <w:tc>
          <w:tcPr>
            <w:tcW w:w="994"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r>
      <w:tr>
        <w:trPr/>
        <w:tc>
          <w:tcPr>
            <w:tcW w:w="28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1"/>
              <w:ind w:left="0" w:right="0" w:hanging="0"/>
              <w:jc w:val="center"/>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1"/>
              <w:ind w:left="0" w:right="0" w:hanging="0"/>
              <w:jc w:val="center"/>
              <w:rPr/>
            </w:pPr>
            <w:r>
              <w:rPr/>
              <w:t>  ​ ​ ​</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1"/>
              <w:ind w:left="0" w:right="0" w:hanging="0"/>
              <w:jc w:val="center"/>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  ​</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195,959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52,015</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21,236</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287,946</w:t>
            </w:r>
          </w:p>
        </w:tc>
      </w:tr>
      <w:tr>
        <w:trPr/>
        <w:tc>
          <w:tcPr>
            <w:tcW w:w="2873"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10,358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23,842</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209,443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62,373</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21,236</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311,788</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(23,842)</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287,946</w:t>
            </w:r>
          </w:p>
        </w:tc>
      </w:tr>
      <w:tr>
        <w:trPr/>
        <w:tc>
          <w:tcPr>
            <w:tcW w:w="28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873"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(190,034)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(50,191)</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(27,442)</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(25,905)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(1,589)</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(2,645)</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pPr>
            <w:r>
              <w:rPr/>
              <w:t>​</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(1,879)</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7,773</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(10,730)</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(7,909)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r>
      <w:tr>
        <w:trPr/>
        <w:tc>
          <w:tcPr>
            <w:tcW w:w="28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2025</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  ​</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43,087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16,766</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278,064</w:t>
            </w:r>
          </w:p>
        </w:tc>
      </w:tr>
      <w:tr>
        <w:trPr/>
        <w:tc>
          <w:tcPr>
            <w:tcW w:w="2873"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7,955</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8,007</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51,042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16,818</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286,071</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(8,007)</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278,064</w:t>
            </w:r>
          </w:p>
        </w:tc>
      </w:tr>
      <w:tr>
        <w:trPr/>
        <w:tc>
          <w:tcPr>
            <w:tcW w:w="28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r>
      <w:tr>
        <w:trPr/>
        <w:tc>
          <w:tcPr>
            <w:tcW w:w="2873"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(170,033)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(41,635)</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(25,539)</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(12,264)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pPr>
            <w:r>
              <w:rPr/>
              <w:t>​</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(1,391)</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(2,861)</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w:t>
            </w:r>
          </w:p>
        </w:tc>
      </w:tr>
      <w:tr>
        <w:trPr/>
        <w:tc>
          <w:tcPr>
            <w:tcW w:w="287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(2,669)</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(1,859)</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pPr>
            <w:r>
              <w:rPr/>
              <w:t>​</w:t>
            </w:r>
          </w:p>
        </w:tc>
      </w:tr>
      <w:tr>
        <w:trPr/>
        <w:tc>
          <w:tcPr>
            <w:tcW w:w="28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(13,441)</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6,944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18,820</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Intersegment amounts are derived primarily from equipment and services provided to other business segments.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significant expense categories and amounts align with the segment-level information that is regularly provided to the CODM. Intersegment expenses are included within the amounts shown.</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table below provides a reconciliation of segment profit or loss to income (loss) before income taxes (in thousands):</w:t>
      </w:r>
    </w:p>
    <w:p>
      <w:pPr>
        <w:pStyle w:val="TextBody"/>
        <w:bidi w:val="0"/>
        <w:spacing w:before="0" w:after="240"/>
        <w:ind w:left="0" w:right="0" w:firstLine="720"/>
        <w:jc w:val="left"/>
        <w:rPr/>
      </w:pPr>
      <w:r>
        <w:rPr/>
        <w:t>​</w:t>
      </w:r>
    </w:p>
    <w:tbl>
      <w:tblPr>
        <w:tblW w:w="6419" w:type="dxa"/>
        <w:jc w:val="left"/>
        <w:tblInd w:w="0" w:type="dxa"/>
        <w:tblLayout w:type="fixed"/>
        <w:tblCellMar>
          <w:top w:w="0" w:type="dxa"/>
          <w:left w:w="0" w:type="dxa"/>
          <w:bottom w:w="0" w:type="dxa"/>
          <w:right w:w="0" w:type="dxa"/>
        </w:tblCellMar>
      </w:tblPr>
      <w:tblGrid>
        <w:gridCol w:w="3766"/>
        <w:gridCol w:w="109"/>
        <w:gridCol w:w="211"/>
        <w:gridCol w:w="811"/>
        <w:gridCol w:w="346"/>
        <w:gridCol w:w="211"/>
        <w:gridCol w:w="811"/>
        <w:gridCol w:w="154"/>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391410" cy="175260"/>
                      <wp:effectExtent l="0" t="0" r="0" b="0"/>
                      <wp:wrapNone/>
                      <wp:docPr id="182" name="Frame181"/>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14985" cy="175260"/>
                      <wp:effectExtent l="0" t="0" r="0" b="0"/>
                      <wp:wrapNone/>
                      <wp:docPr id="185" name="Frame18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14985" cy="175260"/>
                      <wp:effectExtent l="0" t="0" r="0" b="0"/>
                      <wp:wrapNone/>
                      <wp:docPr id="188" name="Frame18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7790" cy="175260"/>
                      <wp:effectExtent l="0" t="0" r="0" b="0"/>
                      <wp:wrapNone/>
                      <wp:docPr id="189" name="Frame1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9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3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3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37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Reconciliation of segment profit or loss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18,820</w:t>
            </w:r>
          </w:p>
        </w:tc>
        <w:tc>
          <w:tcPr>
            <w:tcW w:w="154"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(10,648)</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w:t>
            </w:r>
          </w:p>
        </w:tc>
        <w:tc>
          <w:tcPr>
            <w:tcW w:w="154"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non-operating income, net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1,059</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3,525</w:t>
            </w:r>
          </w:p>
        </w:tc>
        <w:tc>
          <w:tcPr>
            <w:tcW w:w="15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12" w:name="Tc_50iWyHYQXUWOUxaNWeuuhg_18_5"/>
      <w:bookmarkStart w:id="813" w:name="Tc_k-FmSnLLQUemD_8odw9y4g_18_2"/>
      <w:bookmarkStart w:id="814" w:name="Tc_8GgnGVtuwkezIiDn3VLwQA_18_0"/>
      <w:bookmarkStart w:id="815" w:name="Tc_LOkMx5sVN0KFVDkzj_78-A_17_0"/>
      <w:bookmarkStart w:id="816" w:name="Tc_EzrMr-HTrU-2MgDVARQrww_16_0"/>
      <w:bookmarkStart w:id="817" w:name="Tc_tN3z972t0EG5XUU2FzZfgg_15_0"/>
      <w:bookmarkStart w:id="818" w:name="Tc_pnbnaAum_0Ku3k-hxPg-Wg_14_0"/>
      <w:bookmarkStart w:id="819" w:name="Tc_Nc6VHVXi9E6MBil2_8g7ug_13_5"/>
      <w:bookmarkStart w:id="820" w:name="Tc_R-pp24hnCkWjsVyiaVZneA_13_2"/>
      <w:bookmarkStart w:id="821" w:name="Tc_jpVJT3VAGUic4Rd9Si9_ww_13_0"/>
      <w:bookmarkStart w:id="822" w:name="Tc_6Kgmk6lmcUOhkX6kpzWClA_12_0"/>
      <w:bookmarkStart w:id="823" w:name="Tc_b9CbYqk0c0SueueNoTowjg_10_5"/>
      <w:bookmarkStart w:id="824" w:name="Tc_CSn4I98oLUCK5rFAKK3cNg_10_2"/>
      <w:bookmarkStart w:id="825" w:name="Tc_39B9OPzQWk2jf4dqGZ3FIA_10_0"/>
      <w:bookmarkStart w:id="826" w:name="Tc_mMZotzKxW0OLy-gV85ZJaw_9_0"/>
      <w:bookmarkStart w:id="827" w:name="Tc_syD3jWV2HEuMEK5nZjnklg_8_6"/>
      <w:bookmarkStart w:id="828" w:name="Tc_V-4P6kQFjkaPUdULd_WARA_8_3"/>
      <w:bookmarkStart w:id="829" w:name="Tc_0K3RWUwqB0avZh8OAyfhGQ_8_0"/>
      <w:bookmarkStart w:id="830" w:name="Tc_gsFk21rVlkO9IL027W2bJA_7_3"/>
      <w:bookmarkStart w:id="831" w:name="Tc__Iu6_69Z-U-TbSDJhl-bgQ_7_0"/>
      <w:bookmarkStart w:id="832" w:name="Tc_Y76LYl4iIE-pShpZBKxmXA_6_0"/>
      <w:bookmarkStart w:id="833" w:name="Tc_iRUaCiIQ_EOht0TGGcJatA_5_5"/>
      <w:bookmarkStart w:id="834" w:name="Tc_6gwRZMJ3y02HQfd--8EQFg_5_2"/>
      <w:bookmarkStart w:id="835" w:name="Tc_uh5ZRxOOfk2Fm85hy5YA9A_5_0"/>
      <w:bookmarkStart w:id="836" w:name="Tc_eku1y5AI00C2MmJJbSjlhw_4_0"/>
      <w:bookmarkStart w:id="837" w:name="Tc_Bm0BDQuyD0Gll176IEpGpw_3_5"/>
      <w:bookmarkStart w:id="838" w:name="Tc_MoBA9AIm6EW8mbdOxYoRDA_3_2"/>
      <w:bookmarkStart w:id="839" w:name="Tc_yzScdV4zHkO7tl1G_B1QVQ_2_2"/>
      <w:bookmarkStart w:id="840" w:name="Tc_Ng4VCs92KEiNXQX-EaVfuA_1_2"/>
      <w:bookmarkStart w:id="841" w:name="_eff27847_e676_47a7_a2d8_81a5803612c7"/>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Arial;Helvetica;sans-serif" w:hAnsi="Arial;Helvetica;sans-serif"/>
          <w:sz w:val="20"/>
        </w:rPr>
        <w:t>The following items are also regularly provided to the CODM (in thousands):</w:t>
      </w:r>
    </w:p>
    <w:p>
      <w:pPr>
        <w:pStyle w:val="TextBody"/>
        <w:bidi w:val="0"/>
        <w:spacing w:before="0" w:after="240"/>
        <w:ind w:left="0" w:right="0" w:firstLine="720"/>
        <w:jc w:val="left"/>
        <w:rPr/>
      </w:pPr>
      <w:r>
        <w:rPr/>
        <w:t>​</w:t>
      </w:r>
    </w:p>
    <w:tbl>
      <w:tblPr>
        <w:tblW w:w="5609" w:type="dxa"/>
        <w:jc w:val="left"/>
        <w:tblInd w:w="0" w:type="dxa"/>
        <w:tblLayout w:type="fixed"/>
        <w:tblCellMar>
          <w:top w:w="0" w:type="dxa"/>
          <w:left w:w="0" w:type="dxa"/>
          <w:bottom w:w="0" w:type="dxa"/>
          <w:right w:w="0" w:type="dxa"/>
        </w:tblCellMar>
      </w:tblPr>
      <w:tblGrid>
        <w:gridCol w:w="3196"/>
        <w:gridCol w:w="109"/>
        <w:gridCol w:w="211"/>
        <w:gridCol w:w="691"/>
        <w:gridCol w:w="346"/>
        <w:gridCol w:w="211"/>
        <w:gridCol w:w="691"/>
        <w:gridCol w:w="154"/>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29460" cy="175260"/>
                      <wp:effectExtent l="0" t="0" r="0" b="0"/>
                      <wp:wrapNone/>
                      <wp:docPr id="190" name="Frame18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38785" cy="175260"/>
                      <wp:effectExtent l="0" t="0" r="0" b="0"/>
                      <wp:wrapNone/>
                      <wp:docPr id="193" name="Frame1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6" name="Frame1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7790" cy="175260"/>
                      <wp:effectExtent l="0" t="0" r="0" b="0"/>
                      <wp:wrapNone/>
                      <wp:docPr id="197" name="Frame1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54" w:type="dxa"/>
            <w:tcBorders/>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54" w:type="dxa"/>
            <w:tcBorders/>
            <w:vAlign w:val="center"/>
          </w:tcPr>
          <w:p>
            <w:pPr>
              <w:pStyle w:val="TableContents"/>
              <w:bidi w:val="0"/>
              <w:spacing w:before="0" w:after="1"/>
              <w:ind w:left="0" w:right="0" w:hanging="0"/>
              <w:jc w:val="center"/>
              <w:rPr/>
            </w:pPr>
            <w:r>
              <w:rPr/>
              <w:t>​</w:t>
            </w:r>
          </w:p>
        </w:tc>
      </w:tr>
      <w:tr>
        <w:trPr/>
        <w:tc>
          <w:tcPr>
            <w:tcW w:w="319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Capital expenditures </w:t>
            </w:r>
            <w:r>
              <w:rPr>
                <w:rFonts w:ascii="Arial;Helvetica;sans-serif" w:hAnsi="Arial;Helvetica;sans-serif"/>
                <w:sz w:val="15"/>
              </w:rPr>
              <w:t>(1)</w:t>
            </w:r>
            <w:r>
              <w:rPr>
                <w:rFonts w:ascii="Arial;Helvetica;sans-serif" w:hAnsi="Arial;Helvetica;sans-serif"/>
                <w:sz w:val="20"/>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2,968</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214</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Depreciation and amortization </w:t>
            </w:r>
            <w:r>
              <w:rPr>
                <w:rFonts w:ascii="Arial;Helvetica;sans-serif" w:hAnsi="Arial;Helvetica;sans-serif"/>
                <w:sz w:val="15"/>
              </w:rPr>
              <w:t>(2)</w:t>
            </w:r>
            <w:r>
              <w:rPr>
                <w:rFonts w:ascii="Arial;Helvetica;sans-serif" w:hAnsi="Arial;Helvetica;sans-serif"/>
                <w:sz w:val="20"/>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30,591</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5,678</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and eliminations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154"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42,482</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 cash paid principally for the acquisition, construction, upgrade, modification and refurbishment of long-lived property and equipment.</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an aggregate of depreciation and amortization expense related to property and equipment and deferred certification and dry dock costs, which is included within the segment expense captions “Direct cost of revenues” and “Selling, general and administrative expenses” as well as the line item caption “Corporate, eliminations and other” presented above.</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not included a disclosure of total assets by segment as management’s focus is on operating performance and cash flow generation and the CODM does not regularly review segment asset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42" w:name="Tc_4C7njiRa1UmHk4SoT9UujA_4_5"/>
      <w:bookmarkStart w:id="843" w:name="Tc_vRiI1Zjj30u_X6kv9Je8qA_4_2"/>
      <w:bookmarkStart w:id="844" w:name="Tc_fToeO44DF0mxUsMLvubwMQ_4_0"/>
      <w:bookmarkStart w:id="845" w:name="Tc_pwTalpcZF0Ga1GsUxrXhvA_3_0"/>
      <w:bookmarkStart w:id="846" w:name="Tc_pGeZ9luYYk-ZVN-KS3EtPQ_2_5"/>
      <w:bookmarkStart w:id="847" w:name="Tc_LOYNpyLhrket-0SoVsMZxA_2_2"/>
      <w:bookmarkStart w:id="848" w:name="Tc_VJA6KwOX0UCZRqC4d-ZrMQ_2_0"/>
      <w:bookmarkStart w:id="849" w:name="Tc_XesRpfybWEaPUdNl4B15lg_1_5"/>
      <w:bookmarkStart w:id="850" w:name="Tc_0Eymx_gVb0ymJq10zor6XA_1_2"/>
      <w:bookmarkEnd w:id="842"/>
      <w:bookmarkEnd w:id="843"/>
      <w:bookmarkEnd w:id="844"/>
      <w:bookmarkEnd w:id="845"/>
      <w:bookmarkEnd w:id="846"/>
      <w:bookmarkEnd w:id="847"/>
      <w:bookmarkEnd w:id="848"/>
      <w:bookmarkEnd w:id="849"/>
      <w:bookmarkEnd w:id="850"/>
      <w:r>
        <w:rPr>
          <w:rFonts w:ascii="Arial;Helvetica;sans-serif" w:hAnsi="Arial;Helvetica;sans-serif"/>
          <w:b/>
          <w:sz w:val="20"/>
        </w:rPr>
        <w:t>Note 12 — Asset Retirement Obligations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asset retirement obligations (“AROs”) relate to mature offshore oil and gas properties (Droshky field and Thunder Hawk field) that we acquired with the intention to perform decommissioning work at the end of their life cycles. The following table describes the changes in our AROs (in thousands):</w:t>
      </w:r>
    </w:p>
    <w:p>
      <w:pPr>
        <w:pStyle w:val="TextBody"/>
        <w:bidi w:val="0"/>
        <w:spacing w:before="0" w:after="240"/>
        <w:ind w:left="0" w:right="0" w:firstLine="720"/>
        <w:jc w:val="left"/>
        <w:rPr/>
      </w:pPr>
      <w:r>
        <w:rPr/>
        <w:t>​</w:t>
      </w:r>
    </w:p>
    <w:tbl>
      <w:tblPr>
        <w:tblW w:w="4474" w:type="dxa"/>
        <w:jc w:val="left"/>
        <w:tblInd w:w="0" w:type="dxa"/>
        <w:tblLayout w:type="fixed"/>
        <w:tblCellMar>
          <w:top w:w="0" w:type="dxa"/>
          <w:left w:w="0" w:type="dxa"/>
          <w:bottom w:w="0" w:type="dxa"/>
          <w:right w:w="0" w:type="dxa"/>
        </w:tblCellMar>
      </w:tblPr>
      <w:tblGrid>
        <w:gridCol w:w="1861"/>
        <w:gridCol w:w="346"/>
        <w:gridCol w:w="211"/>
        <w:gridCol w:w="691"/>
        <w:gridCol w:w="346"/>
        <w:gridCol w:w="211"/>
        <w:gridCol w:w="808"/>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181735" cy="175260"/>
                      <wp:effectExtent l="0" t="0" r="0" b="0"/>
                      <wp:wrapNone/>
                      <wp:docPr id="198" name="Frame19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3080" cy="175260"/>
                      <wp:effectExtent l="0" t="0" r="0" b="0"/>
                      <wp:wrapNone/>
                      <wp:docPr id="204" name="Frame20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18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62,947</w:t>
            </w:r>
          </w:p>
        </w:tc>
      </w:tr>
      <w:tr>
        <w:trPr/>
        <w:tc>
          <w:tcPr>
            <w:tcW w:w="18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Accretion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1,408</w:t>
            </w:r>
          </w:p>
        </w:tc>
      </w:tr>
      <w:tr>
        <w:trPr/>
        <w:tc>
          <w:tcPr>
            <w:tcW w:w="18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March 31,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70,309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64,355</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13 — Commitments and Contingencies and Other Matters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has long-term charter agreements with Sea1 Offshore (formerly Siem Offshore) for the </w:t>
      </w:r>
      <w:r>
        <w:rPr>
          <w:rFonts w:ascii="Arial;Helvetica;sans-serif" w:hAnsi="Arial;Helvetica;sans-serif"/>
          <w:i/>
          <w:sz w:val="20"/>
        </w:rPr>
        <w:t>Sea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whose charter terms expire in December 2030 and December 2031, respectively. Our Robotics segment has long-term vessel charters for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the </w:t>
      </w:r>
      <w:r>
        <w:rPr>
          <w:rFonts w:ascii="Arial;Helvetica;sans-serif" w:hAnsi="Arial;Helvetica;sans-serif"/>
          <w:i/>
          <w:sz w:val="20"/>
        </w:rPr>
        <w:t>Shelia Bordelon</w:t>
      </w:r>
      <w:r>
        <w:rPr>
          <w:rFonts w:ascii="Arial;Helvetica;sans-serif" w:hAnsi="Arial;Helvetica;sans-serif"/>
          <w:sz w:val="20"/>
        </w:rPr>
        <w:t xml:space="preserve">, the </w:t>
      </w:r>
      <w:r>
        <w:rPr>
          <w:rFonts w:ascii="Arial;Helvetica;sans-serif" w:hAnsi="Arial;Helvetica;sans-serif"/>
          <w:i/>
          <w:sz w:val="20"/>
        </w:rPr>
        <w:t>North Sea Enabler</w:t>
      </w:r>
      <w:r>
        <w:rPr>
          <w:rFonts w:ascii="Arial;Helvetica;sans-serif" w:hAnsi="Arial;Helvetica;sans-serif"/>
          <w:sz w:val="20"/>
        </w:rPr>
        <w:t xml:space="preserve"> and the </w:t>
      </w:r>
      <w:r>
        <w:rPr>
          <w:rFonts w:ascii="Arial;Helvetica;sans-serif" w:hAnsi="Arial;Helvetica;sans-serif"/>
          <w:i/>
          <w:sz w:val="20"/>
        </w:rPr>
        <w:t>Trym</w:t>
      </w:r>
      <w:r>
        <w:rPr>
          <w:rFonts w:ascii="Arial;Helvetica;sans-serif" w:hAnsi="Arial;Helvetica;sans-serif"/>
          <w:sz w:val="20"/>
        </w:rPr>
        <w:t xml:space="preserve">, whose charter terms expire in December 2030, May 2028, June 2026, June 2028 and February 2029, respectively. In January 2026, our Robotics segment took delivery of the </w:t>
      </w:r>
      <w:r>
        <w:rPr>
          <w:rFonts w:ascii="Arial;Helvetica;sans-serif" w:hAnsi="Arial;Helvetica;sans-serif"/>
          <w:i/>
          <w:sz w:val="20"/>
        </w:rPr>
        <w:t>Patriot</w:t>
      </w:r>
      <w:r>
        <w:rPr>
          <w:rFonts w:ascii="Arial;Helvetica;sans-serif" w:hAnsi="Arial;Helvetica;sans-serif"/>
          <w:sz w:val="20"/>
        </w:rPr>
        <w:t xml:space="preserve"> with a four-year charter that expires in January 2030.</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Contingencies and Claims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involved in various legal proceedings and other matters in the normal course of business, including claims under the General Maritime Laws of the United States and the Merchant Marine Act of 1920 (commonly referred to as the Jones Act), contract-related disputes and employee-related disputes. We recognize losses for contingencies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accrued for or covered by insurance, will have a material adverse impact on our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51" w:name="Tc_HMTzUYdozkSY1Hh3Wstvtw_5_0"/>
      <w:bookmarkStart w:id="852" w:name="Tc_x25KKTv7Wk2ph2Qm3N7VCw_4_5"/>
      <w:bookmarkStart w:id="853" w:name="Tc_ljInDoOM2kaa_XeWafeehg_4_2"/>
      <w:bookmarkStart w:id="854" w:name="Tc_0mJGaewE50KXsQe5MEsHTA_4_0"/>
      <w:bookmarkStart w:id="855" w:name="Tc_0p7Qlu8NxE6gRRmAWijIbA_3_5"/>
      <w:bookmarkStart w:id="856" w:name="Tc_1ULfL-sLuUetEIuSBP_lvw_3_2"/>
      <w:bookmarkStart w:id="857" w:name="Tc_WBCTnUzu_Ee1xTmt9FmZzw_2_2"/>
      <w:bookmarkStart w:id="858" w:name="Tc_XTL6M7U8tkyHEdoCFiZ5uw_1_2"/>
      <w:bookmarkStart w:id="859" w:name="_c58b6f1c_a66d_456f_acfb_9b6ac1b89b04"/>
      <w:bookmarkEnd w:id="851"/>
      <w:bookmarkEnd w:id="852"/>
      <w:bookmarkEnd w:id="853"/>
      <w:bookmarkEnd w:id="854"/>
      <w:bookmarkEnd w:id="855"/>
      <w:bookmarkEnd w:id="856"/>
      <w:bookmarkEnd w:id="857"/>
      <w:bookmarkEnd w:id="858"/>
      <w:bookmarkEnd w:id="859"/>
      <w:r>
        <w:rPr>
          <w:rFonts w:ascii="Arial;Helvetica;sans-serif" w:hAnsi="Arial;Helvetica;sans-serif"/>
          <w:b/>
          <w:sz w:val="20"/>
        </w:rPr>
        <w:t>Note 14 — Statement of Cash Flow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define cash and cash equivalents as cash and all highly liquid financial instruments with original maturities of three months or less. The following table provides supplemental cash flow information (in thousands):</w:t>
      </w:r>
    </w:p>
    <w:p>
      <w:pPr>
        <w:pStyle w:val="TextBody"/>
        <w:bidi w:val="0"/>
        <w:spacing w:before="0" w:after="240"/>
        <w:ind w:left="0" w:right="0" w:firstLine="720"/>
        <w:jc w:val="left"/>
        <w:rPr/>
      </w:pPr>
      <w:r>
        <w:rPr/>
        <w:t>​</w:t>
      </w:r>
    </w:p>
    <w:tbl>
      <w:tblPr>
        <w:tblW w:w="5273" w:type="dxa"/>
        <w:jc w:val="left"/>
        <w:tblInd w:w="0" w:type="dxa"/>
        <w:tblLayout w:type="fixed"/>
        <w:tblCellMar>
          <w:top w:w="0" w:type="dxa"/>
          <w:left w:w="0" w:type="dxa"/>
          <w:bottom w:w="0" w:type="dxa"/>
          <w:right w:w="0" w:type="dxa"/>
        </w:tblCellMar>
      </w:tblPr>
      <w:tblGrid>
        <w:gridCol w:w="2386"/>
        <w:gridCol w:w="346"/>
        <w:gridCol w:w="211"/>
        <w:gridCol w:w="691"/>
        <w:gridCol w:w="346"/>
        <w:gridCol w:w="211"/>
        <w:gridCol w:w="691"/>
        <w:gridCol w:w="39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15110" cy="175260"/>
                      <wp:effectExtent l="0" t="0" r="0" b="0"/>
                      <wp:wrapNone/>
                      <wp:docPr id="205" name="Frame20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8"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8285" cy="175260"/>
                      <wp:effectExtent l="0" t="0" r="0" b="0"/>
                      <wp:wrapNone/>
                      <wp:docPr id="212" name="Frame21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91" w:type="dxa"/>
            <w:tcBorders/>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91" w:type="dxa"/>
            <w:tcBorders/>
            <w:vAlign w:val="center"/>
          </w:tcPr>
          <w:p>
            <w:pPr>
              <w:pStyle w:val="TableContents"/>
              <w:bidi w:val="0"/>
              <w:spacing w:before="0" w:after="1"/>
              <w:ind w:left="0" w:right="0" w:hanging="0"/>
              <w:jc w:val="center"/>
              <w:rPr/>
            </w:pPr>
            <w:r>
              <w:rPr/>
              <w:t>  ​ ​ ​</w:t>
            </w:r>
          </w:p>
        </w:tc>
      </w:tr>
      <w:tr>
        <w:trPr/>
        <w:tc>
          <w:tcPr>
            <w:tcW w:w="2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paid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15,324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8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Income taxes paid, net </w:t>
            </w:r>
            <w:r>
              <w:rPr>
                <w:rFonts w:ascii="Helvetica;sans-serif" w:hAnsi="Helvetica;sans-serif"/>
                <w:sz w:val="17"/>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3,555</w:t>
            </w:r>
          </w:p>
        </w:tc>
        <w:tc>
          <w:tcPr>
            <w:tcW w:w="391"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There were no</w:t>
            </w:r>
            <w:r>
              <w:rPr>
                <w:caps w:val="false"/>
                <w:smallCaps w:val="false"/>
              </w:rPr>
              <w:t xml:space="preserve"> </w:t>
            </w:r>
            <w:r>
              <w:rPr>
                <w:rFonts w:ascii="Arial;Helvetica;sans-serif" w:hAnsi="Arial;Helvetica;sans-serif"/>
                <w:b w:val="false"/>
                <w:i w:val="false"/>
                <w:caps w:val="false"/>
                <w:smallCaps w:val="false"/>
                <w:sz w:val="20"/>
              </w:rPr>
              <w:t>income tax refunds during the three-month period ended March 31, 2026. Amount during the three-month period ended March 31, 2025 was net of income tax refunds of $0.9</w:t>
            </w:r>
            <w:r>
              <w:rPr>
                <w:caps w:val="false"/>
                <w:smallCaps w:val="false"/>
              </w:rPr>
              <w:t xml:space="preserve"> </w:t>
            </w:r>
            <w:r>
              <w:rPr>
                <w:rFonts w:ascii="Arial;Helvetica;sans-serif" w:hAnsi="Arial;Helvetica;sans-serif"/>
                <w:b w:val="false"/>
                <w:i w:val="false"/>
                <w:caps w:val="false"/>
                <w:smallCaps w:val="false"/>
                <w:sz w:val="20"/>
              </w:rPr>
              <w:t>million.</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capital additions include the acquisition of property and equipment for which payment has not been made. These non-cash capital additions were $0.6 million at March 31, 2026 and $1.0 million at December 31,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60" w:name="Tc_ZEM1zVoMckSsT2rNpx4tUA_4_5"/>
      <w:bookmarkStart w:id="861" w:name="Tc_rydvdUYG0U6h-Z05nAhgXg_4_2"/>
      <w:bookmarkStart w:id="862" w:name="Tc_Xjw7ae9U4Eiyz4pjev4vUw_4_0"/>
      <w:bookmarkStart w:id="863" w:name="Tc_L92UFtCMgUeTm7SByfQHzg_3_0"/>
      <w:bookmarkStart w:id="864" w:name="Tc_XasS6ome9k6aY4XvtoHJzA_2_5"/>
      <w:bookmarkStart w:id="865" w:name="Tc_lK5zrNNj30-ptIukUbXuRQ_2_2"/>
      <w:bookmarkStart w:id="866" w:name="Tc_wHkERYpBZkWITbY68p8o8g_2_0"/>
      <w:bookmarkStart w:id="867" w:name="Tc_-RBGxk7GtUWbHy3_UzmYXw_1_5"/>
      <w:bookmarkStart w:id="868" w:name="Tc_p6QsIBLWrUW0EeFHoZ5jdQ_1_2"/>
      <w:bookmarkStart w:id="869" w:name="_f4e1c8fb_8264_49fc_a376_da20abbda397"/>
      <w:bookmarkEnd w:id="860"/>
      <w:bookmarkEnd w:id="861"/>
      <w:bookmarkEnd w:id="862"/>
      <w:bookmarkEnd w:id="863"/>
      <w:bookmarkEnd w:id="864"/>
      <w:bookmarkEnd w:id="865"/>
      <w:bookmarkEnd w:id="866"/>
      <w:bookmarkEnd w:id="867"/>
      <w:bookmarkEnd w:id="868"/>
      <w:bookmarkEnd w:id="869"/>
      <w:r>
        <w:rPr>
          <w:rFonts w:ascii="Arial;Helvetica;sans-serif" w:hAnsi="Arial;Helvetica;sans-serif"/>
          <w:b/>
          <w:sz w:val="20"/>
        </w:rPr>
        <w:t>Note 15 — Allowance for Credit Losses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pStyle w:val="TextBody"/>
        <w:bidi w:val="0"/>
        <w:spacing w:before="0" w:after="240"/>
        <w:ind w:left="0" w:right="0" w:firstLine="720"/>
        <w:jc w:val="left"/>
        <w:rPr/>
      </w:pPr>
      <w:r>
        <w:rPr/>
        <w:t>​</w:t>
      </w:r>
    </w:p>
    <w:tbl>
      <w:tblPr>
        <w:tblW w:w="4654" w:type="dxa"/>
        <w:jc w:val="left"/>
        <w:tblInd w:w="0" w:type="dxa"/>
        <w:tblLayout w:type="fixed"/>
        <w:tblCellMar>
          <w:top w:w="0" w:type="dxa"/>
          <w:left w:w="0" w:type="dxa"/>
          <w:bottom w:w="0" w:type="dxa"/>
          <w:right w:w="0" w:type="dxa"/>
        </w:tblCellMar>
      </w:tblPr>
      <w:tblGrid>
        <w:gridCol w:w="2251"/>
        <w:gridCol w:w="346"/>
        <w:gridCol w:w="211"/>
        <w:gridCol w:w="586"/>
        <w:gridCol w:w="346"/>
        <w:gridCol w:w="211"/>
        <w:gridCol w:w="703"/>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29385" cy="175260"/>
                      <wp:effectExtent l="0" t="0" r="0" b="0"/>
                      <wp:wrapNone/>
                      <wp:docPr id="213" name="Frame212"/>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2110" cy="175260"/>
                      <wp:effectExtent l="0" t="0" r="0" b="0"/>
                      <wp:wrapNone/>
                      <wp:docPr id="216" name="Frame21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46405" cy="175260"/>
                      <wp:effectExtent l="0" t="0" r="0" b="0"/>
                      <wp:wrapNone/>
                      <wp:docPr id="219" name="Frame21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3,682</w:t>
            </w:r>
          </w:p>
        </w:tc>
      </w:tr>
      <w:tr>
        <w:trPr/>
        <w:tc>
          <w:tcPr>
            <w:tcW w:w="22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(reductions)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w:t>
            </w:r>
          </w:p>
        </w:tc>
      </w:tr>
      <w:tr>
        <w:trPr/>
        <w:tc>
          <w:tcPr>
            <w:tcW w:w="2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3,597</w:t>
            </w:r>
          </w:p>
        </w:tc>
      </w:tr>
    </w:tbl>
    <w:tbl>
      <w:tblPr>
        <w:tblW w:w="9647" w:type="dxa"/>
        <w:jc w:val="left"/>
        <w:tblInd w:w="0" w:type="dxa"/>
        <w:tblLayout w:type="fixed"/>
        <w:tblCellMar>
          <w:top w:w="0" w:type="dxa"/>
          <w:left w:w="0" w:type="dxa"/>
          <w:bottom w:w="0" w:type="dxa"/>
          <w:right w:w="0" w:type="dxa"/>
        </w:tblCellMar>
      </w:tblPr>
      <w:tblGrid>
        <w:gridCol w:w="346"/>
        <w:gridCol w:w="930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3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(reductions) reflect reserves (releases) for expected credit losses during the respective periods.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16 — 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70" w:name="Tc_QaXEU7cjKU2WKZGoWzzAbg_6_11"/>
      <w:bookmarkStart w:id="871" w:name="Tc_gY19_qMdKE-iXehClbaErQ_6_8"/>
      <w:bookmarkStart w:id="872" w:name="Tc_E4EPTjo6G0S_tbOhN-xC9w_6_5"/>
      <w:bookmarkStart w:id="873" w:name="Tc_fv4jW1x1uE2qdnnwrycZ_w_6_2"/>
      <w:bookmarkStart w:id="874" w:name="Tc_J38Vq1fZkU-f4u6W71qM_g_6_0"/>
      <w:bookmarkStart w:id="875" w:name="Tc_6K2A-K_0j0OugE9ekt0o2Q_5_0"/>
      <w:bookmarkStart w:id="876" w:name="Tc_CUOclYoK1EacLbeBk1p8NA_4_11"/>
      <w:bookmarkStart w:id="877" w:name="Tc_DFp6O3BA7UWC7YkPZvqyqA_4_8"/>
      <w:bookmarkStart w:id="878" w:name="Tc_tQA0BM4iaUmsJr8cMD6uiA_4_5"/>
      <w:bookmarkStart w:id="879" w:name="Tc_rVQ7fd73cUuDiRuJM09s7Q_4_2"/>
      <w:bookmarkStart w:id="880" w:name="Tc_jTbEqtq75U21Ujoqz1bnGg_4_0"/>
      <w:bookmarkStart w:id="881" w:name="Tc_nJ4icibkAUGCryK4bJHzCg_3_11"/>
      <w:bookmarkStart w:id="882" w:name="Tc_Yyb1voiMgkiuBYjkmWkaRg_3_8"/>
      <w:bookmarkStart w:id="883" w:name="Tc_A6Q6bjPVS02LqDarKElrLg_3_5"/>
      <w:bookmarkStart w:id="884" w:name="Tc_vBRkwszII0OcOAsnkYWsug_3_2"/>
      <w:bookmarkStart w:id="885" w:name="Tc_5HJgbCJwvkiwXoQ0MUOjAA_2_11"/>
      <w:bookmarkStart w:id="886" w:name="Tc_XeflPGNc5kuDFej2RIuGCw_2_8"/>
      <w:bookmarkStart w:id="887" w:name="Tc_Mh63QYmxL0yYf_REOspNlA_2_5"/>
      <w:bookmarkStart w:id="888" w:name="Tc_BRszCpwR4Umo6e5Gg81k5A_2_2"/>
      <w:bookmarkStart w:id="889" w:name="Tc_up3iwWzK0U6McvzT7imeXw_1_8"/>
      <w:bookmarkStart w:id="890" w:name="Tc_MU5VRpC0e06QfYwG-ZMCuQ_1_2"/>
      <w:bookmarkStart w:id="891" w:name="_f0641bc7_4c5d_4745_8d56_5cb0d2248d97"/>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Arial;Helvetica;sans-serif" w:hAnsi="Arial;Helvetica;sans-serif"/>
          <w:sz w:val="20"/>
        </w:rPr>
        <w:t>The principal amount and estimated fair value of our long-term debt are as follows (in thousands):</w:t>
      </w:r>
    </w:p>
    <w:p>
      <w:pPr>
        <w:pStyle w:val="TextBody"/>
        <w:bidi w:val="0"/>
        <w:spacing w:before="0" w:after="240"/>
        <w:ind w:left="0" w:right="0" w:firstLine="720"/>
        <w:jc w:val="left"/>
        <w:rPr/>
      </w:pPr>
      <w:r>
        <w:rPr/>
        <w:t>​</w:t>
      </w:r>
    </w:p>
    <w:tbl>
      <w:tblPr>
        <w:tblW w:w="9156" w:type="dxa"/>
        <w:jc w:val="left"/>
        <w:tblInd w:w="0" w:type="dxa"/>
        <w:tblLayout w:type="fixed"/>
        <w:tblCellMar>
          <w:top w:w="0" w:type="dxa"/>
          <w:left w:w="0" w:type="dxa"/>
          <w:bottom w:w="0" w:type="dxa"/>
          <w:right w:w="0" w:type="dxa"/>
        </w:tblCellMar>
      </w:tblPr>
      <w:tblGrid>
        <w:gridCol w:w="3481"/>
        <w:gridCol w:w="346"/>
        <w:gridCol w:w="226"/>
        <w:gridCol w:w="854"/>
        <w:gridCol w:w="346"/>
        <w:gridCol w:w="211"/>
        <w:gridCol w:w="796"/>
        <w:gridCol w:w="346"/>
        <w:gridCol w:w="226"/>
        <w:gridCol w:w="854"/>
        <w:gridCol w:w="346"/>
        <w:gridCol w:w="211"/>
        <w:gridCol w:w="913"/>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10435" cy="175260"/>
                      <wp:effectExtent l="0" t="0" r="0" b="0"/>
                      <wp:wrapNone/>
                      <wp:docPr id="220" name="Frame21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3510" cy="175260"/>
                      <wp:effectExtent l="0" t="0" r="0" b="0"/>
                      <wp:wrapNone/>
                      <wp:docPr id="222" name="Frame2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42290" cy="175260"/>
                      <wp:effectExtent l="0" t="0" r="0" b="0"/>
                      <wp:wrapNone/>
                      <wp:docPr id="223" name="Frame222"/>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5460" cy="175260"/>
                      <wp:effectExtent l="0" t="0" r="0" b="0"/>
                      <wp:wrapNone/>
                      <wp:docPr id="226" name="Frame2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43510" cy="175260"/>
                      <wp:effectExtent l="0" t="0" r="0" b="0"/>
                      <wp:wrapNone/>
                      <wp:docPr id="228" name="Frame2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42290" cy="175260"/>
                      <wp:effectExtent l="0" t="0" r="0" b="0"/>
                      <wp:wrapNone/>
                      <wp:docPr id="229" name="Frame228"/>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79755" cy="175260"/>
                      <wp:effectExtent l="0" t="0" r="0" b="0"/>
                      <wp:wrapNone/>
                      <wp:docPr id="232" name="Frame231"/>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2026</w:t>
            </w:r>
          </w:p>
        </w:tc>
        <w:tc>
          <w:tcPr>
            <w:tcW w:w="346" w:type="dxa"/>
            <w:tcBorders/>
            <w:vAlign w:val="center"/>
          </w:tcPr>
          <w:p>
            <w:pPr>
              <w:pStyle w:val="TableContents"/>
              <w:bidi w:val="0"/>
              <w:spacing w:before="0" w:after="1"/>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2025</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c>
          <w:tcPr>
            <w:tcW w:w="34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4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c>
          <w:tcPr>
            <w:tcW w:w="346" w:type="dxa"/>
            <w:tcBorders/>
            <w:vAlign w:val="center"/>
          </w:tcPr>
          <w:p>
            <w:pPr>
              <w:pStyle w:val="TableContents"/>
              <w:bidi w:val="0"/>
              <w:spacing w:before="0" w:after="1"/>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center"/>
              <w:rPr/>
            </w:pPr>
            <w:r>
              <w:rPr/>
              <w:t>  ​ ​ ​</w:t>
            </w:r>
          </w:p>
        </w:tc>
        <w:tc>
          <w:tcPr>
            <w:tcW w:w="112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9,856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14,611</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314,250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317,250</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324,106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331,861</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amount includes current maturities and excludes any related unamortized debt discount and debt issuance costs. See Note 5 for additional disclosures on our long-term debt.</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7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estimated fair value was determined using Level 2 fair value inputs under the market approach, which was determined using quotes in inactive markets.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17 — Subsequent Events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April 22, 2026, we entered into an Agreement and Plan of Merger (the “Merger Agreement”) with Hornbeck Offshore Services, Inc., a Delaware corporation (“Hornbeck”), Odyssey Sub, Inc., a Delaware corporation and our direct, wholly owned subsidiary (“Parent Sub”), and Hercules Sub LLC, a Delaware limited liability company and our direct, wholly owned subsidiary (“LLC Sub”). Pursuant to the Merger Agreement, upon the terms and subject to the conditions set forth therein, (i) Parent Sub will merge with and into Hornbeck, with Hornbeck continuing as the surviving entity (the “Surviving Corporation”) (the “First Company Merger”) and (ii) immediately following the First Company Merger, the Surviving Corporation will merge with and into LLC Sub (the “Second Company Merger” and, together with the First Company Merger, the “Mergers”), with LLC Sub continuing as the surviving entity (the “Combined Company”).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Upon consummation of the transactions contemplated by the Merger Agreement (the “Transactions”), we expect that current Helix shareholders will own approximately 45%, and current Hornbeck shareholders will own approximately 55%, of the Combined Company. Following the Transactions, our name will be changed to Hornbeck Offshore Services, Inc., and our common stock will remain listed on the New York Stock Exchange. The Mergers and the Transactions are expected to be consummated in the second half of 2026. However, no assurance can be given as to when, or if, the Mergers and the Transactions will be consummated.</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92" w:name="Item2ManagementsDiscussionandAnalysisofF"/>
      <w:bookmarkStart w:id="893" w:name="_de368db4_516a_4816_a5df_13f75634fcdb"/>
      <w:bookmarkEnd w:id="892"/>
      <w:bookmarkEnd w:id="893"/>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FORWARD-LOOKING STATEMENTS AND ASSUMPTIONS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business strategy, corporate initiatives and any other business plans, forecasts or objectives, any or all of which are subject to 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projections of revenues, gross margins, expenses, earnings or losses, capital spending, share repurchases, working capital, debt and liquidity, cash flows, future operating expenditures or other financial items;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backlog and commercial contracts and rates thereunder;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enter into, renew and/or perform commercial contracts, including the scope, timing and outcome of those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general economic or political conditions, whether international, national or in the regional or local markets in which we do business;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energy transition and energy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identify, effect and integrate mergers, acquisitions, joint ventures or other transactions and any subsequently identified legacy issues with respect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acquisition, construction, completion, upgrades to or maintenance and/or regulatory certification of vessels, systems or equipment and any anticipated costs or downtime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any financing transactions or arrangements, or our ability to enter into such transactions or arrangements;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trade receivables and their collectability;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legislative, governmental, regulatory, administrative or other public body actions, requirements, permits or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sustainability initiatives and the successes thereon or regarding our environmental efforts, including with respect to greenhouse gas emissions;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global, market or investor sentiment with respect to fossil fuels;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existing activities in, and future expansion into, the offshore renewable energy market;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developments, industry trends, performance or industry ranking;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human capital management, including our ability to retain our senior management and other key employees;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share repurchase authorization or program;</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underlying assumptions related to any projection or forward-looking statement; and</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statements that relate to non-historical or future information.</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domestic and global economic and market conditions and the future impact of such conditions on the offshore energy industry and the demand for our services;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general impact of oil and natural gas price volatility and the cyclical nature of the oil and gas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geopolitical and domestic policy changes, including tariffs, that may negatively affect oil and gas production and/or pricing or adversely impact offshore renewable energy projects, costs of materials, regulations surrounding safe offshore well intervention, regulations of decommissioning offshore oil and gas wells, and global trade, economic growth and stability;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execution, timing and results of corporate initiatives such as alliances, partnerships, joint ventures, mergers, acquisitions, divestitures and restructurings, and any amounts payable in connection therewith, and the determination whether or not to pursue or effect such initiatives, or to do so on different terms or timelines than previously contemplated;</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operating results of acquired properties and/or equipment;</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inflation and our ability to recoup rising costs in the rates we charge to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ability to secure and realize backlog, including any potential cancellation, deferral or modification of our work or contracts by our customers;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effectively bid, renew and perform our contracts, including the impact of equipment problems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imposition by our customers of rate reductions, fines and penalties with respect to our operating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current and future laws and governmental regulations and how they will be interpreted or enforced, including related to fossil fuel production, decommissioning, and litigation and similar claims in which we may be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future impact of international activity and trade agreements on our business, operations and financial condition;</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contracts by customers, suppliers and other counterparties;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our continuing efforts to control costs and improve performance;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future operations expenditures, including the amount and nature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and timing of our vessel and/or system upgrades, regulatory certification and inspection as well as major maintenance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hazards, including unexpected delays in the delivery, chartering or customer acceptance, and terms of acceptance, of our assets;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adverse weather conditions and/or other risks associated with marine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foreign currency exchange controls, potential illiquidity of those currencies and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risk management activities and processes, including with respect to our cybersecurity initiatives and disclosures;</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competition;</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capital (including any financing) to fund our business strategy and/or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our indebtedness, our ability to comply with debt covenants and our ability to reduce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stock price on our financing activities such as repurchases of our common stock under share repurchase programs;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sustainability initiatives and disclosures;</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any future hedging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a negative event related to our human capital management, including a loss of one or more key employees;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general, market, industry or business conditions; and</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factors generally described in Item 1A. Risk Factors in our 2025 Form 10-K.</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actual results could also differ materially from those anticipated in any forward-looking statements as a result of a variety of factors, including those described in Item 7. “Management’s Discussion and Analysis of Financial Condition and Results of Operations” in our 2025 Form 10-K. Should one or more of the risks or uncertainties described in this Quarterly Report occur, or should underlying assumptions prove incorrect, our actual results and plans could differ materially from those expressed in any forward-looking statements.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2025 Form 10-K that attempt to advise interested parties of the risks and factors that may affect our business.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segment includes seven purpose-built well intervention vessels and 12 intervention systems. Our Robotics segment includes 39 work-class ROVs, six trenchers, three IROV boulder grabs, and robotics support vessels chartered on long-term, short-term and flexible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Helvetica;sans-serif" w:hAnsi="Arial;Helvetica;sans-serif"/>
          <w:i/>
          <w:sz w:val="20"/>
        </w:rPr>
        <w:t>HP I</w:t>
      </w:r>
      <w:r>
        <w:rPr>
          <w:rFonts w:ascii="Arial;Helvetica;sans-serif" w:hAnsi="Arial;Helvetica;sans-serif"/>
          <w:sz w:val="20"/>
        </w:rPr>
        <w:t>, the HFRS and our ownership of mature oil and gas properties.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maximize production of existing oil and gas reserves for our customers primarily in our Well Intervention segment. Historically, drilling rigs have been the asset class used for offshore well intervention work, and rig rates are a pricing indicator for our services. Our customers have used drilling rigs on existing long-term contracts (rig overhang) to perform well intervention work instead of new drilling activities. Current volumes of work, rig utilization rates, the rates quoted by drilling rig contractors and existing rig overhang affect the utilization and/or rates we can achieve for our well intervention assets and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Once end-of-life oil and gas wells have depleted their production, we P&amp;A and decommission wells and infrastructure in our Well Intervention and Shallow Water Abandonment segments. We believe that our well intervention vessels have a competitive advantage in performing these services more efficiently than rigs, and with our suite of shallow water assets and capabilities, we are the only provider capable of providing all facets of decommissioning services in the Gulf of America shelf.</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support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level of offshore wind farm projects, the pace of industry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Current Market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Commodity prices fell in 2025 following the escalation of tariffs and geopolitical tensions globally. Oil prices entered 2026 in the mid $50s but have risen sharply following the U.S. military campaign against Iran in March, which resulted in the closure of the Strait of Hormuz, and other escalated conflicts in the Middle East. Oil prices have since been volatile, ranging from the $80s to over $110 per barrel, and are expected to remain volatile during these tensions.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regulatory landscape has been evolving, with stronger abandonment enforcement actions in the U.K., while the offshore oil and gas market continues to evaluate existing governmental regulations and changes thereto, including the ongoing effects of the U.K. government’s Energy Profits Levy. Factors such as regulatory changes, war in the Middle East and Ukraine, escalated geopolitical instability and uncertainty, and regional conflicts and tensions have resulted in higher commodity prices and perceived demand for our production enhancement and decommissioning services but significantly increased volatility and uncertainty.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international wind market continues to be robust, with continued activity and sanctioned work primarily in Europe and Asia Pacific. U.S. wind farm activity continues although at a slower pace following the 2025 Wind Energy Ban in January 2025.</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Outlook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2026 performance should be supported by our existing backlog, higher commodity prices, stronger abandonment regulatory enforcements in the U.K., expected new contracting and the materialization of work that had been deferred from 2025. We expect to see continued strong market demand for our Robotics services, in particular our trenching and site preparation offerings. We anticipate ongoing uncertainties for certain of our assets not under long-term contracts, namely in spot markets for our Well Intervention segment, specifically in the North Sea and on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Q7000</w:t>
      </w:r>
      <w:r>
        <w:rPr>
          <w:rFonts w:ascii="Arial;Helvetica;sans-serif" w:hAnsi="Arial;Helvetica;sans-serif"/>
          <w:sz w:val="20"/>
        </w:rPr>
        <w:t>, and in our Shallow Water Abandonment segment. The recent improvements in commodity prices and regulatory pressures should improve on what had been expected to be a softer utilization and rate environment for those vessels and systems more exposed to the spot market. However, we expect the commodity price environment to normalize once tensions in Iran have settled and the Strait of Hormuz resumes normal shipping activity.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Beyond 2026, we anticipate increasing energy consumption will continue to drive demand for our services in both the oil and gas and renewable energy sectors. We believe rising energy needs will continue to increase customer operating expenditure budgets and demand for our production enhancement offerings and decommissioning services internationally, which should grow over the mid- to long-term as the installed subsea tree base expands and as customers discharge their decommissioning obligations. We expect long-term growth in our renewables services as the global demand for energy increases and the international energy market continues to expand offshore renewable energy developments. We expect the demand for shallow water decommissioning services in the Gulf of America to also improve over time as former owners address their decommissioning obligations related to oil and gas properties that have reverted to them following bankruptcies.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backlog is represented by signed contracts. As of March 31, 2026, our consolidated backlog totaled approximately $1.2 billion, of which $551 million is expected to be performed over the remainder of 2026. Our various contracts with Shell and Subsea 7 globally, our contracts with Petrobras in Brazil, our contracts with Talos in the Gulf of America, and our new multi-year agreements with NKT and CNR in the North Sea collectively represented approximately 83% of our total backlog as of March 31, 2026. Backlog is not necessarily a reliable indicator of revenues derived from our contracts as (i) services are often added but may sometimes be subtracted; (ii) contracts may be renegotiated, deferred, canceled and in many cases modified while in progress; and (iii) reduced rates, fines and penalties may be imposed by our customers. Furthermore, our contracts are in certain cases cancelable without penalty. If there are cancellation fees, the amount of those fees can be substantially less than amounts reflected in backlog.</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evaluate our operating performance and financial condition based primarily on Adjusted EBITDA, Free Cash Flow and Net Debt. Adjusted EBITDA, Free Cash Flow and Net Debt are non-GAAP financial measures that are commonly used but are not recognized accounting terms under GAAP. We use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Adjusted EBITDA, Free Cash Flow and Net Debt differently from the way we do, which may limit their usefulness as comparative measures. Adjusted EBITDA, Free Cash Flow and Net Debt should not be considered in isolation or as a substitute for, but instead are supplemental to, income from operations, net income, cash flows from operating activities, or other data prepared in accordance with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Adjusted EBITDA as earnings before income taxes, net interest expense, depreciation and amortization expense, net other income or expense, gains or losses on disposition of assets, long-lived asset impairment losses,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net income (loss) to Adjusted EBITDA is as follows (in thousands):</w:t>
      </w:r>
    </w:p>
    <w:p>
      <w:pPr>
        <w:pStyle w:val="TextBody"/>
        <w:bidi w:val="0"/>
        <w:spacing w:before="0" w:after="240"/>
        <w:ind w:left="0" w:right="0" w:firstLine="720"/>
        <w:jc w:val="left"/>
        <w:rPr/>
      </w:pPr>
      <w:r>
        <w:rPr/>
        <w:t>​</w:t>
      </w:r>
    </w:p>
    <w:tbl>
      <w:tblPr>
        <w:tblW w:w="8374" w:type="dxa"/>
        <w:jc w:val="left"/>
        <w:tblInd w:w="0" w:type="dxa"/>
        <w:tblLayout w:type="fixed"/>
        <w:tblCellMar>
          <w:top w:w="0" w:type="dxa"/>
          <w:left w:w="0" w:type="dxa"/>
          <w:bottom w:w="0" w:type="dxa"/>
          <w:right w:w="0" w:type="dxa"/>
        </w:tblCellMar>
      </w:tblPr>
      <w:tblGrid>
        <w:gridCol w:w="5641"/>
        <w:gridCol w:w="346"/>
        <w:gridCol w:w="211"/>
        <w:gridCol w:w="811"/>
        <w:gridCol w:w="346"/>
        <w:gridCol w:w="211"/>
        <w:gridCol w:w="808"/>
      </w:tblGrid>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4985" cy="175260"/>
                      <wp:effectExtent l="0" t="0" r="0" b="0"/>
                      <wp:wrapNone/>
                      <wp:docPr id="235" name="Frame23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13080" cy="175260"/>
                      <wp:effectExtent l="0" t="0" r="0" b="0"/>
                      <wp:wrapNone/>
                      <wp:docPr id="238" name="Frame23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3,072</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  ​</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453</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42,482</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357</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provision for (release of) current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51,985</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cash flows from operating activities to Free Cash Flow is as follows (in thousands):</w:t>
      </w:r>
    </w:p>
    <w:p>
      <w:pPr>
        <w:pStyle w:val="TextBody"/>
        <w:bidi w:val="0"/>
        <w:spacing w:before="0" w:after="240"/>
        <w:ind w:left="0" w:right="0" w:firstLine="720"/>
        <w:jc w:val="left"/>
        <w:rPr/>
      </w:pPr>
      <w:r>
        <w:rPr/>
        <w:t>​</w:t>
      </w:r>
    </w:p>
    <w:tbl>
      <w:tblPr>
        <w:tblW w:w="8044" w:type="dxa"/>
        <w:jc w:val="left"/>
        <w:tblInd w:w="0" w:type="dxa"/>
        <w:tblLayout w:type="fixed"/>
        <w:tblCellMar>
          <w:top w:w="0" w:type="dxa"/>
          <w:left w:w="0" w:type="dxa"/>
          <w:bottom w:w="0" w:type="dxa"/>
          <w:right w:w="0" w:type="dxa"/>
        </w:tblCellMar>
      </w:tblPr>
      <w:tblGrid>
        <w:gridCol w:w="5416"/>
        <w:gridCol w:w="346"/>
        <w:gridCol w:w="211"/>
        <w:gridCol w:w="706"/>
        <w:gridCol w:w="346"/>
        <w:gridCol w:w="211"/>
        <w:gridCol w:w="808"/>
      </w:tblGrid>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48310" cy="175260"/>
                      <wp:effectExtent l="0" t="0" r="0" b="0"/>
                      <wp:wrapNone/>
                      <wp:docPr id="241" name="Frame24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13080" cy="175260"/>
                      <wp:effectExtent l="0" t="0" r="0" b="0"/>
                      <wp:wrapNone/>
                      <wp:docPr id="244" name="Frame24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8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16,442</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Capital expenditures, net of proceeds from asset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(4,488)</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11,954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long-term debt to Net Debt is as follows (in thousands):</w:t>
      </w:r>
    </w:p>
    <w:p>
      <w:pPr>
        <w:pStyle w:val="TextBody"/>
        <w:bidi w:val="0"/>
        <w:spacing w:before="0" w:after="240"/>
        <w:ind w:left="0" w:right="0" w:firstLine="720"/>
        <w:jc w:val="left"/>
        <w:rPr/>
      </w:pPr>
      <w:r>
        <w:rPr/>
        <w:t>​</w:t>
      </w:r>
    </w:p>
    <w:tbl>
      <w:tblPr>
        <w:tblW w:w="7115" w:type="dxa"/>
        <w:jc w:val="left"/>
        <w:tblInd w:w="0" w:type="dxa"/>
        <w:tblLayout w:type="fixed"/>
        <w:tblCellMar>
          <w:top w:w="0" w:type="dxa"/>
          <w:left w:w="0" w:type="dxa"/>
          <w:bottom w:w="0" w:type="dxa"/>
          <w:right w:w="0" w:type="dxa"/>
        </w:tblCellMar>
      </w:tblPr>
      <w:tblGrid>
        <w:gridCol w:w="3826"/>
        <w:gridCol w:w="346"/>
        <w:gridCol w:w="211"/>
        <w:gridCol w:w="916"/>
        <w:gridCol w:w="346"/>
        <w:gridCol w:w="278"/>
        <w:gridCol w:w="1192"/>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429510" cy="175260"/>
                      <wp:effectExtent l="0" t="0" r="0" b="0"/>
                      <wp:wrapNone/>
                      <wp:docPr id="245" name="Frame24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81660" cy="175260"/>
                      <wp:effectExtent l="0" t="0" r="0" b="0"/>
                      <wp:wrapNone/>
                      <wp:docPr id="248" name="Frame2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6530" cy="175260"/>
                      <wp:effectExtent l="0" t="0" r="0" b="0"/>
                      <wp:wrapNone/>
                      <wp:docPr id="250" name="Frame24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56920" cy="175260"/>
                      <wp:effectExtent l="0" t="0" r="0" b="0"/>
                      <wp:wrapNone/>
                      <wp:docPr id="251" name="Frame250"/>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303,761</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307,995</w:t>
            </w:r>
          </w:p>
        </w:tc>
      </w:tr>
      <w:tr>
        <w:trPr/>
        <w:tc>
          <w:tcPr>
            <w:tcW w:w="38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(501,272)</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(445,196)</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(197,511)</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(137,201)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Three Months Ended March 31, 2026 and 2025</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All material intercompany transactions between the segments have been eliminated in our condensed consolidated financial statements. The following table details various financial and operational highlights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42"/>
        <w:gridCol w:w="346"/>
        <w:gridCol w:w="211"/>
        <w:gridCol w:w="802"/>
        <w:gridCol w:w="406"/>
        <w:gridCol w:w="211"/>
        <w:gridCol w:w="802"/>
        <w:gridCol w:w="406"/>
        <w:gridCol w:w="211"/>
        <w:gridCol w:w="778"/>
        <w:gridCol w:w="346"/>
        <w:gridCol w:w="811"/>
        <w:gridCol w:w="333"/>
      </w:tblGrid>
      <w:tr>
        <w:trPr/>
        <w:tc>
          <w:tcPr>
            <w:tcW w:w="4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09270" cy="175260"/>
                      <wp:effectExtent l="0" t="0" r="0" b="0"/>
                      <wp:wrapNone/>
                      <wp:docPr id="254" name="Frame253"/>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57810" cy="175260"/>
                      <wp:effectExtent l="0" t="0" r="0" b="0"/>
                      <wp:wrapNone/>
                      <wp:docPr id="255" name="Frame25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09270" cy="175260"/>
                      <wp:effectExtent l="0" t="0" r="0" b="0"/>
                      <wp:wrapNone/>
                      <wp:docPr id="257" name="Frame256"/>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57810" cy="175260"/>
                      <wp:effectExtent l="0" t="0" r="0" b="0"/>
                      <wp:wrapNone/>
                      <wp:docPr id="258" name="Frame25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4030" cy="175260"/>
                      <wp:effectExtent l="0" t="0" r="0" b="0"/>
                      <wp:wrapNone/>
                      <wp:docPr id="260" name="Frame259"/>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14985" cy="175260"/>
                      <wp:effectExtent l="0" t="0" r="0" b="0"/>
                      <wp:wrapNone/>
                      <wp:docPr id="262" name="Frame26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1455" cy="175260"/>
                      <wp:effectExtent l="0" t="0" r="0" b="0"/>
                      <wp:wrapNone/>
                      <wp:docPr id="263" name="Frame26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3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406" w:type="dxa"/>
            <w:tcBorders/>
            <w:vAlign w:val="center"/>
          </w:tcPr>
          <w:p>
            <w:pPr>
              <w:pStyle w:val="TableContents"/>
              <w:bidi w:val="0"/>
              <w:spacing w:before="0" w:after="1"/>
              <w:ind w:left="0" w:right="0" w:hanging="0"/>
              <w:jc w:val="left"/>
              <w:rPr/>
            </w:pPr>
            <w:r>
              <w:rPr/>
              <w:t>​</w:t>
            </w:r>
          </w:p>
        </w:tc>
        <w:tc>
          <w:tcPr>
            <w:tcW w:w="2146"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c>
          <w:tcPr>
            <w:tcW w:w="333" w:type="dxa"/>
            <w:tcBorders/>
            <w:vAlign w:val="center"/>
          </w:tcPr>
          <w:p>
            <w:pPr>
              <w:pStyle w:val="TableContents"/>
              <w:bidi w:val="0"/>
              <w:spacing w:before="0" w:after="1"/>
              <w:ind w:left="0" w:right="0" w:hanging="0"/>
              <w:jc w:val="center"/>
              <w:rPr/>
            </w:pPr>
            <w:r>
              <w:rPr/>
              <w:t> </w:t>
            </w:r>
          </w:p>
        </w:tc>
      </w:tr>
      <w:tr>
        <w:trPr/>
        <w:tc>
          <w:tcPr>
            <w:tcW w:w="4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406" w:type="dxa"/>
            <w:tcBorders/>
            <w:vAlign w:val="center"/>
          </w:tcPr>
          <w:p>
            <w:pPr>
              <w:pStyle w:val="TableContents"/>
              <w:bidi w:val="0"/>
              <w:spacing w:before="0" w:after="1"/>
              <w:ind w:left="0" w:right="0" w:hanging="0"/>
              <w:jc w:val="left"/>
              <w:rPr/>
            </w:pPr>
            <w:r>
              <w:rPr/>
              <w:t>​</w:t>
            </w:r>
          </w:p>
        </w:tc>
        <w:tc>
          <w:tcPr>
            <w:tcW w:w="214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c>
          <w:tcPr>
            <w:tcW w:w="333" w:type="dxa"/>
            <w:tcBorders/>
            <w:vAlign w:val="center"/>
          </w:tcPr>
          <w:p>
            <w:pPr>
              <w:pStyle w:val="TableContents"/>
              <w:bidi w:val="0"/>
              <w:spacing w:before="0" w:after="1"/>
              <w:ind w:left="0" w:right="0" w:hanging="0"/>
              <w:jc w:val="center"/>
              <w:rPr/>
            </w:pPr>
            <w:r>
              <w:rPr/>
              <w:t> </w:t>
            </w:r>
          </w:p>
        </w:tc>
      </w:tr>
      <w:tr>
        <w:trPr/>
        <w:tc>
          <w:tcPr>
            <w:tcW w:w="4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406" w:type="dxa"/>
            <w:tcBorders/>
            <w:vAlign w:val="center"/>
          </w:tcPr>
          <w:p>
            <w:pPr>
              <w:pStyle w:val="TableContents"/>
              <w:bidi w:val="0"/>
              <w:spacing w:before="0" w:after="1"/>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406" w:type="dxa"/>
            <w:tcBorders/>
            <w:vAlign w:val="center"/>
          </w:tcPr>
          <w:p>
            <w:pPr>
              <w:pStyle w:val="TableContents"/>
              <w:bidi w:val="0"/>
              <w:spacing w:before="0" w:after="1"/>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3" w:type="dxa"/>
            <w:tcBorders/>
            <w:vAlign w:val="center"/>
          </w:tcPr>
          <w:p>
            <w:pPr>
              <w:pStyle w:val="TableContents"/>
              <w:bidi w:val="0"/>
              <w:spacing w:before="0" w:after="1"/>
              <w:ind w:left="0" w:right="0" w:hanging="0"/>
              <w:jc w:val="center"/>
              <w:rPr/>
            </w:pPr>
            <w:r>
              <w:rPr/>
              <w:t> </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209,443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11,069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62,373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51,042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11,331</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21,236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16,818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4,418</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19,837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(1,101)</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(8,007)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(15,835)</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287,946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278,064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15,203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24,322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(9,119)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10,593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8,016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(8,851)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(11,582)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2,731</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(14,911)</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27,538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(18,710)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company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Robotics assets or Shallow Water Abandonment systems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67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 / 56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 / 51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79</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67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542"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vessels </w:t>
            </w:r>
            <w:r>
              <w:rPr>
                <w:rFonts w:ascii="Arial;Helvetica;sans-serif" w:hAnsi="Arial;Helvetica;sans-serif"/>
                <w:sz w:val="15"/>
              </w:rPr>
              <w:t>(4)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35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30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542"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systems </w:t>
            </w:r>
            <w:r>
              <w:rPr>
                <w:rFonts w:ascii="Arial;Helvetica;sans-serif" w:hAnsi="Arial;Helvetica;sans-serif"/>
                <w:sz w:val="15"/>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 / 16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 / 11</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Robotics assets or Shallow Water Abandonment systems generated revenues by the total number of calendar days (excluding vessel charter off-hire days) in the applicable period.</w:t>
            </w:r>
          </w:p>
        </w:tc>
      </w:tr>
    </w:tbl>
    <w:tbl>
      <w:tblPr>
        <w:tblW w:w="5207" w:type="dxa"/>
        <w:jc w:val="left"/>
        <w:tblInd w:w="0" w:type="dxa"/>
        <w:tblLayout w:type="fixed"/>
        <w:tblCellMar>
          <w:top w:w="0" w:type="dxa"/>
          <w:left w:w="0" w:type="dxa"/>
          <w:bottom w:w="0" w:type="dxa"/>
          <w:right w:w="0" w:type="dxa"/>
        </w:tblCellMar>
      </w:tblPr>
      <w:tblGrid>
        <w:gridCol w:w="346"/>
        <w:gridCol w:w="48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tbl>
      <w:tblPr>
        <w:tblW w:w="7277" w:type="dxa"/>
        <w:jc w:val="left"/>
        <w:tblInd w:w="0" w:type="dxa"/>
        <w:tblLayout w:type="fixed"/>
        <w:tblCellMar>
          <w:top w:w="0" w:type="dxa"/>
          <w:left w:w="0" w:type="dxa"/>
          <w:bottom w:w="0" w:type="dxa"/>
          <w:right w:w="0" w:type="dxa"/>
        </w:tblCellMar>
      </w:tblPr>
      <w:tblGrid>
        <w:gridCol w:w="346"/>
        <w:gridCol w:w="69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liftboats, OSVs, DSVs, a heavy lift derrick barge and a crew boat.</w:t>
            </w:r>
          </w:p>
        </w:tc>
      </w:tr>
    </w:tbl>
    <w:tbl>
      <w:tblPr>
        <w:tblW w:w="3512" w:type="dxa"/>
        <w:jc w:val="left"/>
        <w:tblInd w:w="0" w:type="dxa"/>
        <w:tblLayout w:type="fixed"/>
        <w:tblCellMar>
          <w:top w:w="0" w:type="dxa"/>
          <w:left w:w="0" w:type="dxa"/>
          <w:bottom w:w="0" w:type="dxa"/>
          <w:right w:w="0" w:type="dxa"/>
        </w:tblCellMar>
      </w:tblPr>
      <w:tblGrid>
        <w:gridCol w:w="346"/>
        <w:gridCol w:w="31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P&amp;A and CT systems.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6526" w:type="dxa"/>
        <w:jc w:val="left"/>
        <w:tblInd w:w="0" w:type="dxa"/>
        <w:tblLayout w:type="fixed"/>
        <w:tblCellMar>
          <w:top w:w="0" w:type="dxa"/>
          <w:left w:w="0" w:type="dxa"/>
          <w:bottom w:w="0" w:type="dxa"/>
          <w:right w:w="0" w:type="dxa"/>
        </w:tblCellMar>
      </w:tblPr>
      <w:tblGrid>
        <w:gridCol w:w="2626"/>
        <w:gridCol w:w="346"/>
        <w:gridCol w:w="216"/>
        <w:gridCol w:w="709"/>
        <w:gridCol w:w="355"/>
        <w:gridCol w:w="216"/>
        <w:gridCol w:w="602"/>
        <w:gridCol w:w="346"/>
        <w:gridCol w:w="229"/>
        <w:gridCol w:w="881"/>
      </w:tblGrid>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7160" cy="175260"/>
                      <wp:effectExtent l="0" t="0" r="0" b="0"/>
                      <wp:wrapNone/>
                      <wp:docPr id="265" name="Frame26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50215" cy="175260"/>
                      <wp:effectExtent l="0" t="0" r="0" b="0"/>
                      <wp:wrapNone/>
                      <wp:docPr id="266" name="Frame26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5425" cy="175260"/>
                      <wp:effectExtent l="0" t="0" r="0" b="0"/>
                      <wp:wrapNone/>
                      <wp:docPr id="267" name="Frame26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7160" cy="175260"/>
                      <wp:effectExtent l="0" t="0" r="0" b="0"/>
                      <wp:wrapNone/>
                      <wp:docPr id="268" name="Frame26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82270" cy="175260"/>
                      <wp:effectExtent l="0" t="0" r="0" b="0"/>
                      <wp:wrapNone/>
                      <wp:docPr id="269" name="Frame268"/>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5415" cy="175260"/>
                      <wp:effectExtent l="0" t="0" r="0" b="0"/>
                      <wp:wrapNone/>
                      <wp:docPr id="271" name="Frame27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9435" cy="175260"/>
                      <wp:effectExtent l="0" t="0" r="0" b="0"/>
                      <wp:wrapNone/>
                      <wp:docPr id="272" name="Frame27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8"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center"/>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55" w:type="dxa"/>
            <w:tcBorders/>
            <w:vAlign w:val="center"/>
          </w:tcPr>
          <w:p>
            <w:pPr>
              <w:pStyle w:val="TableContents"/>
              <w:bidi w:val="0"/>
              <w:spacing w:before="0" w:after="1"/>
              <w:ind w:left="0" w:right="0" w:hanging="0"/>
              <w:jc w:val="center"/>
              <w:rPr/>
            </w:pPr>
            <w:r>
              <w:rPr/>
              <w:t>  ​ ​ ​</w:t>
            </w:r>
          </w:p>
        </w:tc>
        <w:tc>
          <w:tcPr>
            <w:tcW w:w="8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13,484</w:t>
            </w:r>
          </w:p>
        </w:tc>
        <w:tc>
          <w:tcPr>
            <w:tcW w:w="355"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13,484</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10,358</w:t>
            </w:r>
          </w:p>
        </w:tc>
        <w:tc>
          <w:tcPr>
            <w:tcW w:w="355"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7,955</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2,403</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23,842</w:t>
            </w:r>
          </w:p>
        </w:tc>
        <w:tc>
          <w:tcPr>
            <w:tcW w:w="355"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8,007</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15,835</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significant financial statement items below the gross profit (loss) line (in thousands):</w:t>
      </w:r>
    </w:p>
    <w:p>
      <w:pPr>
        <w:pStyle w:val="TextBody"/>
        <w:bidi w:val="0"/>
        <w:spacing w:before="0" w:after="240"/>
        <w:ind w:left="0" w:right="0" w:firstLine="720"/>
        <w:jc w:val="left"/>
        <w:rPr/>
      </w:pPr>
      <w:r>
        <w:rPr/>
        <w:t>​</w:t>
      </w:r>
    </w:p>
    <w:tbl>
      <w:tblPr>
        <w:tblW w:w="6562" w:type="dxa"/>
        <w:jc w:val="left"/>
        <w:tblInd w:w="0" w:type="dxa"/>
        <w:tblLayout w:type="fixed"/>
        <w:tblCellMar>
          <w:top w:w="0" w:type="dxa"/>
          <w:left w:w="0" w:type="dxa"/>
          <w:bottom w:w="0" w:type="dxa"/>
          <w:right w:w="0" w:type="dxa"/>
        </w:tblCellMar>
      </w:tblPr>
      <w:tblGrid>
        <w:gridCol w:w="4006"/>
        <w:gridCol w:w="346"/>
        <w:gridCol w:w="211"/>
        <w:gridCol w:w="706"/>
        <w:gridCol w:w="346"/>
        <w:gridCol w:w="211"/>
        <w:gridCol w:w="736"/>
      </w:tblGrid>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48310" cy="175260"/>
                      <wp:effectExtent l="0" t="0" r="0" b="0"/>
                      <wp:wrapNone/>
                      <wp:docPr id="275" name="Frame2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67360" cy="175260"/>
                      <wp:effectExtent l="0" t="0" r="0" b="0"/>
                      <wp:wrapNone/>
                      <wp:docPr id="278" name="Frame2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1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19,366</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357</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453</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for the three-month period ended March 31, 2026 increased by 4% as compared to the same period in 2025, primarily reflecting higher revenues in our Well Intervention, Robotics and Shallow Water Abandonment business segments, offset in part by lower revenues in our Production Facilities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6% for the three-month period ended March 31, 2026 as compared to the same period in 2025, primarily reflecting higher utilization on the </w:t>
      </w:r>
      <w:r>
        <w:rPr>
          <w:rFonts w:ascii="Arial;Helvetica;sans-serif" w:hAnsi="Arial;Helvetica;sans-serif"/>
          <w:i/>
          <w:sz w:val="20"/>
        </w:rPr>
        <w:t>Q7000</w:t>
      </w:r>
      <w:r>
        <w:rPr>
          <w:rFonts w:ascii="Arial;Helvetica;sans-serif" w:hAnsi="Arial;Helvetica;sans-serif"/>
          <w:sz w:val="20"/>
        </w:rPr>
        <w:t xml:space="preserve"> and the </w:t>
      </w:r>
      <w:r>
        <w:rPr>
          <w:rFonts w:ascii="Arial;Helvetica;sans-serif" w:hAnsi="Arial;Helvetica;sans-serif"/>
          <w:i/>
          <w:sz w:val="20"/>
        </w:rPr>
        <w:t>Seawell</w:t>
      </w:r>
      <w:r>
        <w:rPr>
          <w:rFonts w:ascii="Arial;Helvetica;sans-serif" w:hAnsi="Arial;Helvetica;sans-serif"/>
          <w:sz w:val="20"/>
        </w:rPr>
        <w:t xml:space="preserve"> and higher project rates on the </w:t>
      </w:r>
      <w:r>
        <w:rPr>
          <w:rFonts w:ascii="Arial;Helvetica;sans-serif" w:hAnsi="Arial;Helvetica;sans-serif"/>
          <w:i/>
          <w:sz w:val="20"/>
        </w:rPr>
        <w:t>Q5000</w:t>
      </w:r>
      <w:r>
        <w:rPr>
          <w:rFonts w:ascii="Arial;Helvetica;sans-serif" w:hAnsi="Arial;Helvetica;sans-serif"/>
          <w:sz w:val="20"/>
        </w:rPr>
        <w:t xml:space="preserve">, offset in part by lower rates on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was fully utilized during the first quarter 2026 as compared to being operational for six days during the first quarter 2025 following its mobilization to and docking in Brazil. The </w:t>
      </w:r>
      <w:r>
        <w:rPr>
          <w:rFonts w:ascii="Arial;Helvetica;sans-serif" w:hAnsi="Arial;Helvetica;sans-serif"/>
          <w:i/>
          <w:sz w:val="20"/>
        </w:rPr>
        <w:t>Seawell</w:t>
      </w:r>
      <w:r>
        <w:rPr>
          <w:rFonts w:ascii="Arial;Helvetica;sans-serif" w:hAnsi="Arial;Helvetica;sans-serif"/>
          <w:sz w:val="20"/>
        </w:rPr>
        <w:t xml:space="preserve"> was reactivated and utilized for 54 days during the first quarter 2026 as compared to being idle throughout 2025. The </w:t>
      </w:r>
      <w:r>
        <w:rPr>
          <w:rFonts w:ascii="Arial;Helvetica;sans-serif" w:hAnsi="Arial;Helvetica;sans-serif"/>
          <w:i/>
          <w:sz w:val="20"/>
        </w:rPr>
        <w:t>Q5000</w:t>
      </w:r>
      <w:r>
        <w:rPr>
          <w:rFonts w:ascii="Arial;Helvetica;sans-serif" w:hAnsi="Arial;Helvetica;sans-serif"/>
          <w:sz w:val="20"/>
        </w:rPr>
        <w:t xml:space="preserve"> achieved higher project-related rates during its workover of the Thunder Hawk field for our Production Facilities segment. The </w:t>
      </w:r>
      <w:r>
        <w:rPr>
          <w:rFonts w:ascii="Arial;Helvetica;sans-serif" w:hAnsi="Arial;Helvetica;sans-serif"/>
          <w:i/>
          <w:sz w:val="20"/>
        </w:rPr>
        <w:t>Q4000</w:t>
      </w:r>
      <w:r>
        <w:rPr>
          <w:rFonts w:ascii="Arial;Helvetica;sans-serif" w:hAnsi="Arial;Helvetica;sans-serif"/>
          <w:sz w:val="20"/>
        </w:rPr>
        <w:t xml:space="preserve"> generated lower project-related rates during the first quarter 2026 as compared to those rates during its operations in Nigeria during the first quarter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Robotics revenues increased by 22% for the three-month period ended March 31, 2026 as compared to the same period in 2025, primarily reflecting higher overall ROV utilization and higher vessel activities, although vessel activities included fewer integrated vessel trenching days during the first quarter 2026. The first quarter 2026 included 381 chartered vessel days, which included 110 days of site clearance operations using three IROV boulder grabs, as compared to 244 chartered vessel days, which included 21 days of site clearance operations using an IROV boulder grab during the first quarter 2025. Overall ROV and trencher utilization increased to 56% during the first quarter 2026 as compared to 51% during the first quarter 2025. Integrated vessel trenching decreased to 122 days during the first quarter 2026 as compared to 135 days during the first quarter 2025.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revenues increased by 26% for the three-month period ended March 31, 2026 as compared to the same period in 2025, primarily reflecting higher utilization on our vessels and systems. Overall vessel utilization was 35% during the first quarter 2026 as compared to 30% during the first quarter 2025. Utilization on P&amp;A systems and CT systems increased to 369 days, or 16%, during the first quarter 2026 as compared to 264 days, or 11%, during the first quarter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decreased by 6% for the three-month period ended March 31, 2026 as compared to the same period in 2025, primarily reflecting lower oil and gas production and prices from the Droshky field. The Thunder Hawk field was shut in during both quarters, but a successful workover was completed at the end of the first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gross profit decreased by $18.7 million for the three-month period ended March 31, 2026 as compared to the same period in 2025, primarily reflecting reduced profitability from our Well Intervention and Production Facilities segments, offset in part by increased profitability from our Robotics and Shallow Water Abandonment business segments.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gross profit decreased by $9.1 million for the three-month period ended March 31, 2026 as compared to the same period in 2025, primarily reflecting lower profits in the Gulf of America, higher operating costs in Brazil, and lower incremental margins in the North Sea and on the </w:t>
      </w:r>
      <w:r>
        <w:rPr>
          <w:rFonts w:ascii="Arial;Helvetica;sans-serif" w:hAnsi="Arial;Helvetica;sans-serif"/>
          <w:i/>
          <w:sz w:val="20"/>
        </w:rPr>
        <w:t>Q7000</w:t>
      </w:r>
      <w:r>
        <w:rPr>
          <w:rFonts w:ascii="Arial;Helvetica;sans-serif" w:hAnsi="Arial;Helvetica;sans-serif"/>
          <w:sz w:val="20"/>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increased by $2.6 million for the three-month period ended March 31, 2026 as compared to the same period in 2025, primarily reflecting higher revenues during the first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had a gross loss of $8.9 million for the three-month period ended March 31, 2026 as compared to a gross loss of $11.6 million for the same period in 2025 primarily due higher revenues during the first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had a gross loss of $7.5 million for the three-month period ended March 31, 2026 as compared to a gross profit of $7.5 million for the same period in 2025 primarily due to workover costs on the Thunder Hawk field and lower revenues during the first quarter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$22.1 million for the three-month period ended March 31, 2026 as compared to $19.4 million for the same period in 2025, primarily reflecting higher employee compensation and professional service costs during the first quarter 2026.</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(Benefit). </w:t>
      </w:r>
      <w:r>
        <w:rPr>
          <w:rFonts w:ascii="Arial;Helvetica;sans-serif" w:hAnsi="Arial;Helvetica;sans-serif"/>
          <w:sz w:val="20"/>
        </w:rPr>
        <w:t>Income tax benefit was $3.2 million for the three-month period ended March 31, 2026 as compared to income tax provision of $0.5 million for the same period in 2025. The effective tax rate for the first quarter 2026 was affected by the jurisdictional mix of earnings and utilization of foreign tax credits. The effective rate for the first quarter 2025 was impacted by a discrete non-U.S. tax benefit.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Condition and Liquidity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information useful in the analysis of our financial condition and liquidity (in thousands):</w:t>
      </w:r>
    </w:p>
    <w:p>
      <w:pPr>
        <w:pStyle w:val="TextBody"/>
        <w:bidi w:val="0"/>
        <w:spacing w:before="0" w:after="240"/>
        <w:ind w:left="0" w:right="0" w:firstLine="720"/>
        <w:jc w:val="left"/>
        <w:rPr/>
      </w:pPr>
      <w:r>
        <w:rPr/>
        <w:t>​</w:t>
      </w:r>
    </w:p>
    <w:tbl>
      <w:tblPr>
        <w:tblW w:w="7233" w:type="dxa"/>
        <w:jc w:val="left"/>
        <w:tblInd w:w="0" w:type="dxa"/>
        <w:tblLayout w:type="fixed"/>
        <w:tblCellMar>
          <w:top w:w="0" w:type="dxa"/>
          <w:left w:w="0" w:type="dxa"/>
          <w:bottom w:w="0" w:type="dxa"/>
          <w:right w:w="0" w:type="dxa"/>
        </w:tblCellMar>
      </w:tblPr>
      <w:tblGrid>
        <w:gridCol w:w="4006"/>
        <w:gridCol w:w="346"/>
        <w:gridCol w:w="223"/>
        <w:gridCol w:w="842"/>
        <w:gridCol w:w="346"/>
        <w:gridCol w:w="275"/>
        <w:gridCol w:w="1195"/>
      </w:tblGrid>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41605" cy="175260"/>
                      <wp:effectExtent l="0" t="0" r="0" b="0"/>
                      <wp:wrapNone/>
                      <wp:docPr id="280" name="Frame27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34670" cy="175260"/>
                      <wp:effectExtent l="0" t="0" r="0" b="0"/>
                      <wp:wrapNone/>
                      <wp:docPr id="281" name="Frame280"/>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74625" cy="175260"/>
                      <wp:effectExtent l="0" t="0" r="0" b="0"/>
                      <wp:wrapNone/>
                      <wp:docPr id="283" name="Frame28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58825" cy="175260"/>
                      <wp:effectExtent l="0" t="0" r="0" b="0"/>
                      <wp:wrapNone/>
                      <wp:docPr id="284" name="Frame283"/>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working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538,236</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525,314</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(excluding current maturities)</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294,367</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298,351</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Liquidity</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611,697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195"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553,550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Working Capital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Long-term debt in the table above, presented net of unamortized debt discount and debt issuance costs, includes the 2029 Notes and the MARAD Debt, excluding current maturities of $9.4 million at March 31, 2026 and $9.6 million at December 31, 2025. See Note 5 for information relating to our long-term debt.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liquidity as cash and cash equivalents plus available capacity under our credit facility, but excluding cash pledged as collateral toward the Amended ABL Facility. Our liquidity at March 31, 2026 of $611.7 million included $501.3 million of cash and cash equivalents and $113.0 million of available borrowing capacity under the Amended ABL Facility (Note 5) and excluded $2.6 million of pledged cash. Our liquidity at December 31, 2025 of $553.6 million included $445.2 million of cash and cash equivalents and $110.9 million of available borrowing capacity under the Amended ABL Facility and excluded $2.5 million of pledged cash.</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except for the issuance of letters of credit.</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summary data from our condensed consolidated statements of cash flows (in thousands):</w:t>
      </w:r>
    </w:p>
    <w:p>
      <w:pPr>
        <w:pStyle w:val="TextBody"/>
        <w:bidi w:val="0"/>
        <w:spacing w:before="0" w:after="240"/>
        <w:ind w:left="0" w:right="0" w:firstLine="720"/>
        <w:jc w:val="left"/>
        <w:rPr/>
      </w:pPr>
      <w:r>
        <w:rPr/>
        <w:t>​</w:t>
      </w:r>
    </w:p>
    <w:tbl>
      <w:tblPr>
        <w:tblW w:w="5182" w:type="dxa"/>
        <w:jc w:val="left"/>
        <w:tblInd w:w="0" w:type="dxa"/>
        <w:tblLayout w:type="fixed"/>
        <w:tblCellMar>
          <w:top w:w="0" w:type="dxa"/>
          <w:left w:w="0" w:type="dxa"/>
          <w:bottom w:w="0" w:type="dxa"/>
          <w:right w:w="0" w:type="dxa"/>
        </w:tblCellMar>
      </w:tblPr>
      <w:tblGrid>
        <w:gridCol w:w="2506"/>
        <w:gridCol w:w="346"/>
        <w:gridCol w:w="211"/>
        <w:gridCol w:w="706"/>
        <w:gridCol w:w="346"/>
        <w:gridCol w:w="211"/>
        <w:gridCol w:w="856"/>
      </w:tblGrid>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48310" cy="175260"/>
                      <wp:effectExtent l="0" t="0" r="0" b="0"/>
                      <wp:wrapNone/>
                      <wp:docPr id="287" name="Frame28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43560" cy="175260"/>
                      <wp:effectExtent l="0" t="0" r="0" b="0"/>
                      <wp:wrapNone/>
                      <wp:docPr id="290" name="Frame28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16,442</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(4,488)</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(11,075)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provided by operating activities for the three-month period ended March 31, 2026 increased as compared to the same period in 2025 primarily reflecting higher working capital inflows driven by collections of accounts receivable and lower regulatory certification costs on our vessels and systems, offset in part by lower earnings during the first quarter 2026. Regulatory certification costs, which are considered part of our capital spending program but are classified as operating cash flows, were $8.9 million and $17.9 million, respectively, during the comparable year over year periods.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Investing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used in investing activities for the three-month period ended March 31, 2026 decreased as compared to the same period in 2025 primarily due to lower capital expenditures.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outflows from financing activities for the three-month period ended March 31, 2026 primarily reflect principal repayment of $4.8 million related to the MARAD Debt. Net cash outflows from financing activities for the three-month period ended March 31, 2025 primarily reflect the principal repayment of $4.5 million related to the MARAD Debt and payments in satisfaction of tax obligations upon vesting of share-based awards.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material cash requirements include our obligations to repay our long-term debt, satisfy other contractual cash commitments and fund other obligations.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 and other contractual commitments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 thousands) the principal amount of our long-term debt and related debt service costs as well as other contractual commitments, which include commitments for operating lease obligations and property and equipment, as of March 31, 2026 and the portions of those amounts that are short-term (due in less than one year) and long-term (due in one year or greater) based on their stated terms. Our property and equipment commitments include contractually committed amounts to purchase and service certain property and equipment (inclusive of commitments related to regulatory certification and dry dock as discussed below) but do not include expected capital spending that is not contractually committed as of March 31, 2026.</w:t>
      </w:r>
    </w:p>
    <w:p>
      <w:pPr>
        <w:pStyle w:val="TextBody"/>
        <w:bidi w:val="0"/>
        <w:spacing w:before="0" w:after="240"/>
        <w:ind w:left="0" w:right="0" w:firstLine="720"/>
        <w:jc w:val="left"/>
        <w:rPr/>
      </w:pPr>
      <w:r>
        <w:rPr/>
        <w:t>​</w:t>
      </w:r>
    </w:p>
    <w:tbl>
      <w:tblPr>
        <w:tblW w:w="6728" w:type="dxa"/>
        <w:jc w:val="left"/>
        <w:tblInd w:w="0" w:type="dxa"/>
        <w:tblLayout w:type="fixed"/>
        <w:tblCellMar>
          <w:top w:w="0" w:type="dxa"/>
          <w:left w:w="0" w:type="dxa"/>
          <w:bottom w:w="0" w:type="dxa"/>
          <w:right w:w="0" w:type="dxa"/>
        </w:tblCellMar>
      </w:tblPr>
      <w:tblGrid>
        <w:gridCol w:w="2191"/>
        <w:gridCol w:w="346"/>
        <w:gridCol w:w="211"/>
        <w:gridCol w:w="961"/>
        <w:gridCol w:w="346"/>
        <w:gridCol w:w="242"/>
        <w:gridCol w:w="914"/>
        <w:gridCol w:w="346"/>
        <w:gridCol w:w="219"/>
        <w:gridCol w:w="952"/>
      </w:tblGrid>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10235" cy="175260"/>
                      <wp:effectExtent l="0" t="0" r="0" b="0"/>
                      <wp:wrapNone/>
                      <wp:docPr id="293" name="Frame29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53670" cy="175260"/>
                      <wp:effectExtent l="0" t="0" r="0" b="0"/>
                      <wp:wrapNone/>
                      <wp:docPr id="295" name="Frame29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80390" cy="175260"/>
                      <wp:effectExtent l="0" t="0" r="0" b="0"/>
                      <wp:wrapNone/>
                      <wp:docPr id="296" name="Frame295"/>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9065" cy="175260"/>
                      <wp:effectExtent l="0" t="0" r="0" b="0"/>
                      <wp:wrapNone/>
                      <wp:docPr id="298" name="Frame29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04520" cy="175260"/>
                      <wp:effectExtent l="0" t="0" r="0" b="0"/>
                      <wp:wrapNone/>
                      <wp:docPr id="299" name="Frame298"/>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Short-Term</w:t>
            </w:r>
          </w:p>
        </w:tc>
        <w:tc>
          <w:tcPr>
            <w:tcW w:w="346" w:type="dxa"/>
            <w:tcBorders/>
            <w:vAlign w:val="center"/>
          </w:tcPr>
          <w:p>
            <w:pPr>
              <w:pStyle w:val="TableContents"/>
              <w:bidi w:val="0"/>
              <w:spacing w:before="0" w:after="1"/>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Long-Term</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9,882</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related to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87,762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30,163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57,599</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12,700</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pPr>
            <w:r>
              <w:rPr/>
              <w:t>—</w:t>
            </w:r>
          </w:p>
        </w:tc>
      </w:tr>
      <w:tr>
        <w:trPr/>
        <w:tc>
          <w:tcPr>
            <w:tcW w:w="219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leases </w:t>
            </w:r>
            <w:r>
              <w:rPr>
                <w:rFonts w:ascii="Arial;Helvetica;sans-serif" w:hAnsi="Arial;Helvetica;san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747,286</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163,272</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584,014</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cash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1,157,630</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216,017</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52"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941,613</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leases include vessel charters and facility and equipment leases, including commitments related to leases executed but not yet commenced. At March 31, 2026, our commitment related to long-term vessel charters that have commenced totaled approximately $714.8 million, of which $359.4 million was related to the non-lease (services) components that are not included in operating lease liabilities in the condensed consolidated balance sheet as of March 31, 2026.</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Other material cash requirements include the following: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xml:space="preserve"> We have decommissioning obligations associated with our oil and gas properties (Note 12). Those obligations, which are presented on a discounted basis on the condensed consolidated balance sheets, approximate $80.9 million (undiscounted) for Thunder Hawk field oil and gas properties and $37.1 million (undiscounted) for Droshky field oil and gas properties as of March 31, 2026. We are entitled to receive $30.0 million (undiscounted) from Marathon Oil Corporation as certain decommissioning obligations associated with Droshky field oil and gas properties are fulfilled.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Regulatory certification and dry dock.</w:t>
      </w:r>
      <w:r>
        <w:rPr>
          <w:rFonts w:ascii="Arial;Helvetica;sans-serif" w:hAnsi="Arial;Helvetica;sans-serif"/>
          <w:sz w:val="20"/>
        </w:rPr>
        <w:t xml:space="preserve"> Our vessels and systems are subject to certain regulatory certification requirements that must be satisfied in order for the vessels and systems to operate. 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expect the sources of funds to satisfy our material cash requirements to primarily come from our ongoing operations and existing cash on hand. Although not currently expected to be utilized, we also have availability under the Amended ABL Facility and access to capital markets.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CRITICAL ACCOUNTING ESTIMATES AND POLICIES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2025 Form 10-K.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Planned Merger with Hornbeck Offshore Services, Inc.</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April 22, 2026, we entered into an Agreement and Plan of Merger (the “Merger Agreement”) with Hornbeck Offshore Services, Inc., a Delaware corporation (“Hornbeck”), Odyssey Sub, Inc., a Delaware corporation and our direct, wholly owned subsidiary (“Parent Sub”), and Hercules Sub LLC, a Delaware limited liability company and our direct, wholly owned subsidiary (“LLC Sub”). Pursuant to the Merger Agreement, upon the terms and subject to the conditions set forth therein, (i) Parent Sub will merge with and into Hornbeck, with Hornbeck continuing as the surviving entity (the “Surviving Corporation”) (the “First Company Merger”) and (ii) immediately following the First Company Merger, the Surviving Corporation will merge with and into LLC Sub (the “Second Company Merger” and, together with the First Company Merger, the “Mergers”), with LLC Sub continuing as the surviving entity (the “Combined Company”).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consummation of the transactions contemplated by the Merger Agreement (the “Transactions”), we expect that current Helix shareholders will own approximately 45%, and current Hornbeck shareholders will own approximately 55%, of the Combined Company. Following the Transactions, our name will be changed to Hornbeck Offshore Services, Inc., and our common stock will remain listed on the New York Stock Exchange (the “NYSE”). The Mergers and the Transactions are expected to be consummated in the second half of 2026. However, no assurance can be given as to when, or if, the Mergers and the Transactions will be consummated.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Under the terms of the Merger Agreement and as more fully described below, immediately prior to the First Company Merger, Helix will convert from a Minnesota corporation to a Delaware corporation (the “Conversion”) in accordance with Section 265 of the General Corporation Law of the State of Delaware and Section 302A.682 of the Minnesota Business Corporation Act pursuant to a plan of conversion contemplated by the Merger Agreement, and each issued and outstanding share of our common stock will be converted into one share of common stock, par value $0.00001 per share, of Helix following the Conversion (the “Converted Helix Common Stock”). Upon the terms and subject to the conditions set forth in the Merger Agreement, at the time the First Company Merger becomes effective (the “Effective Time”), each share of Hornbeck’s common stock, par value $0.00001 per share, issued and outstanding immediately prior to the Effective Time will automatically be converted into the right to receive 10.27167 validly issued, fully paid and nonassessable shares of Converted Helix Common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closing of the Transactions is subject to the satisfaction or waiver of certain customary closing conditions, including, among others, (i) the approval by our shareholders, (ii) the applicable waiting period under the Hart-Scott-Rodino Antitrust Improvements Act having expired or been terminated, and the required approvals shall have been obtained under certain antitrust and foreign investment laws, (iii) there being no law, injunction or order by a governmental body prohibiting the consummation of the Transactions, (iv) the approval of Converted Helix Common Stock to be issued and listed on the NYSE in accordance with the terms of the Merger Agreement, (v) the registration statement on Form S-4 to be filed with the SEC by us, having been declared effective by the SEC, (vi) subject to specified materiality standards, the accuracy of the representations and warranties of the parties contained in the Merger Agreement, (vii) compliance by the parties to the Merger Agreement in all material respects with their respective covenants, and (viii) receipt by Hornbeck of an opinion from its counsel that the Mergers, taken together, will qualify as a “reorganization” within the meaning of Section 368(a) of the Internal Revenue Code of 1986, as amended. The Merger Agreement imposes certain restrictions on our business and operations during the pendency of the Mergers. While we do not believe these restrictions are unduly burdensome, they may delay or prevent us from taking actions we could otherwise take. Accordingly, our results of operations prior to entering into the Merger Agreement may not be comparable to results of operations following our entry into the Merger Agreement. For additional information, see Item 1A. Risk Factors – “Consummation of the Mergers is uncertain and is subject to risks outside our control, and a delay in completing the Mergers may reduce or eliminate the expected benefits from the Mergers” of this Quarterly Report on Form 10-Q.</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Suspension of Repurchases of Common Stock under the 2023 Repurchase Program</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Effective April 22, 2026, our Board has decided to suspend all repurchases of shares of our common stock under the 2023 Repurchase Program. As of March 31, 2026, approximately $128.4 million remained authorized for the repurchase of shares under the 2023 Repurchase Program. The 2023 Repurchase Program has no set expiration date, and our Board may authorize management to resume repurchases under the 2023 Repurchase Program in the future at its discretion. The manner, timing and amount of any future repurchases under the 2023 Repurchase Program, if repurchases under the 2023 Repurchase Program are resumed,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shares repurchased under the 2023 Repurchase Program are cancelled.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94" w:name="Item3QuantitativeandQualitativeDisclosur"/>
      <w:bookmarkStart w:id="895" w:name="_826cffbd_e30b_480d_83a0_4f9389cc97b6"/>
      <w:bookmarkEnd w:id="894"/>
      <w:bookmarkEnd w:id="895"/>
      <w:r>
        <w:rPr>
          <w:rFonts w:ascii="Arial;Helvetica;sans-serif" w:hAnsi="Arial;Helvetica;sans-serif"/>
          <w:b/>
          <w:sz w:val="20"/>
        </w:rPr>
        <w:t>Item 3. Quantitative and Qualitative Disclosures About Market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a multi-national organization, we are subject to market risks associated with foreign currency exchange rates, interest rates and commodity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Foreign Currency Exchange Rate Risk. </w:t>
      </w:r>
      <w:r>
        <w:rPr>
          <w:rFonts w:ascii="Arial;Helvetica;sans-serif" w:hAnsi="Arial;Helvetica;sans-serif"/>
          <w:sz w:val="20"/>
        </w:rPr>
        <w:t>Because we operate in various regions around the world, we conduct a 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three-month period ended March 31, 2026, we recorded foreign currency translation losses of $11.6 million to accumulated other comprehensive loss. Deferred taxes have not been provided on foreign currency translation adjustments as any outside stock basis differences would be realized in a tax-free manner.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March 31, 2026, we recorded net foreign currency gains of $0.3 million primarily related to the our international subsidiaries’ foreign currency positions.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Interest Rate Risk. </w:t>
      </w:r>
      <w:r>
        <w:rPr>
          <w:rFonts w:ascii="Arial;Helvetica;sans-serif" w:hAnsi="Arial;Helvetica;sans-serif"/>
          <w:sz w:val="20"/>
        </w:rPr>
        <w:t>In order to minimize the risk of changes to our cash flow due to changing interest rates, we 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 xml:space="preserve">Commodity Price Risk. </w:t>
      </w:r>
      <w:r>
        <w:rPr>
          <w:rFonts w:ascii="Arial;Helvetica;sans-serif" w:hAnsi="Arial;Helvetica;sans-serif"/>
          <w:sz w:val="20"/>
        </w:rPr>
        <w:t>We are exposed to market price risks related to oil and natural gas with respect to offshore oil and gas production in our Production Facilities business. Prices are volatile and unpredictable and are dependent on many factors beyond our control. See Item 1A. Risk Factors in our 2025 Form 10-K for a list of factors affecting oil and gas prices.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896" w:name="Item4ControlsandProcedures_957871"/>
      <w:bookmarkStart w:id="897" w:name="_9e0c2859_c39d_4945_b87c_8b929a2800e2"/>
      <w:bookmarkEnd w:id="896"/>
      <w:bookmarkEnd w:id="897"/>
      <w:r>
        <w:rPr>
          <w:rFonts w:ascii="Arial;Helvetica;sans-serif" w:hAnsi="Arial;Helvetica;sans-serif"/>
          <w:b/>
          <w:sz w:val="20"/>
        </w:rPr>
        <w:t>Item 4. Controls and Procedures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March 31, 2026. Based on this evaluation, our principal executive officer and principal financial officer have concluded that our disclosure controls and procedures were effective as of March 31, 2026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(b)  Changes in internal control over financial reporting. There have been no changes in our internal control over financial reporting that occurred during the three-month period ended March 31, 2026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898" w:name="PartIIOTHERINFORMATION_832834"/>
      <w:bookmarkStart w:id="899" w:name="_90c081db_58fe_4afe_96c6_9e3989e8911f"/>
      <w:bookmarkEnd w:id="898"/>
      <w:bookmarkEnd w:id="899"/>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900" w:name="Item1LegalProceedings_634382"/>
      <w:bookmarkEnd w:id="900"/>
      <w:r>
        <w:rPr>
          <w:rFonts w:ascii="Arial;Helvetica;sans-serif" w:hAnsi="Arial;Helvetica;sans-serif"/>
          <w:b/>
          <w:sz w:val="20"/>
        </w:rPr>
        <w:t>Item 1. Legal Proceedings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Part I, Item 1, Note 13 — Commitments and Contingencies and Other Matters to the Condensed Consolidated Financial Statements, which is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01" w:name="Item1ARiskFactors"/>
      <w:bookmarkStart w:id="902" w:name="_11b88597_c719_47ad_9c7b_739928303a09"/>
      <w:bookmarkStart w:id="903" w:name="_Item_1A._Risk"/>
      <w:bookmarkEnd w:id="901"/>
      <w:bookmarkEnd w:id="902"/>
      <w:bookmarkEnd w:id="903"/>
      <w:r>
        <w:rPr>
          <w:rFonts w:ascii="Arial;Helvetica;sans-serif" w:hAnsi="Arial;Helvetica;sans-serif"/>
          <w:b/>
          <w:sz w:val="20"/>
        </w:rPr>
        <w:t>Item 1A. Risk Factors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There have been no material changes during the period ended March 31, 2026 in our “Risk Factors” as discussed in Item 1A of our Annual Report on Form 10-K for the year ended December 31, 2025, except as follows: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Litigation relating to the Merger Agreement and the Transactions could result in an injunction preventing consummation of the Mergers and the Transactions and could cause us to incur substantial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Securities class action lawsuits and derivative lawsuits are often brought against public companies that have entered into merger, acquisition or other business combination agreements. Even if such a lawsuit is without merit, defending against these claims can result in substantial costs and divert management time and resources. An adverse judgment could result in monetary damages, which could have a negative impact on Helix, Hornbeck or the Combined Company’s liquidity and financial condition.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Lawsuits that may be brought against Helix, Hornbeck or our or their respective directors could also seek, among other things, injunctive relief or other equitable relief, including a request to rescind parts of the Merger Agreement already implemented and to otherwise enjoin the parties from consummating the Transactions, including the Mergers. The consummation of theTransactions is conditioned, in part, upon there being no law, injunction or order of any governmental body prohibiting the consummation of the Transactions. Consequently, if a plaintiff were to be successful in obtaining an injunction prohibiting consummation of the Transactions, that injunction may delay or prevent the Mergers from being completed within the expected timeframe or at all, which may adversely affect the respective businesses, financial positions and results of operations of Helix, Hornbeck or the Combined Company.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There can be no assurance that any party to the Merger Agreement, if named as a defendant in such a lawsuit, would be successful in the outcome of any pending or any potential future litigation. The defense or settlement of any lawsuit or claim that remains unresolved at the time the Transactions, including the Mergers, are consummated may adversely affect Helix, Hornbeck or the Combined Company’s business, financial condition, results of operations and cash flows.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Consummation of the Mergers is uncertain and is subject to risks outside our control, and a delay in completing the Mergers may reduce or eliminate the expected benefits from the Mergers.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Consummation of the Transactions, including the Mergers, is subject to a number of conditions, some of which are beyond our control, that could prevent, delay or otherwise materially adversely affect the completion of the Transactions. Such conditions include approval by Helix shareholders, regulatory approvals, and other customary closing conditions. There is no assurance these conditions will be met or that the Transactions, including the Mergers will close on the expected timeline, or at all. Failure to consummate the Mergers could adversely affect our business, including through adverse market and investor reactions, customer and employee uncertainty, additional costs and litigation risk. We may also incur significant costs, including a termination fee that would become payable in the event the Merger Agreement is terminated under certain circumstances. </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Similarly, a delay in consummating the Mergers could cause the Combined Company not to realize some or all of the synergies and other benefits that it expects to achieve if the Mergers are successfully consummated within the expected time frame. Although the parties will continue to operate independently until completion of the Mergers, the Merger Agreement contains certain restrictions on the conduct of each of the parties’ respective businesses through completion of the Mergers. These restrictions could adversely affect our ability to execute business strategies or pursue attractive business opportunities, particularly if the consummation of the Mergers is delayed. In addition, a delay could enhance the risks that management would focus on completion of the Mergers instead of on other opportunities that could be beneficial to our business and shareholders. The success of the Mergers following completion also will depend, in part, on the ability of the Combined Company to realize the anticipated benefits from combining the businesses of Helix and Hornbeck. If Helix and Hornbeck are unable to successfully combine their businesses, the anticipated benefits of the Mergers may take longer to realize than expected. In addition, the actual integration of Helix and Hornbeck’s businesses may result in additional and unforeseen expenses, which could reduce the anticipated benefits of the Mergers and negatively impact the Combined Company’s business, financial condition and results of operations or adversely affect the trading price of the Combined Company’s common stock following consummation of the Mergers.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04" w:name="Item2UnregisteredSalesofEquitySecurities"/>
      <w:bookmarkStart w:id="905" w:name="_367487b7_9999_4740_b536_5f24a9ec18b1"/>
      <w:bookmarkEnd w:id="904"/>
      <w:bookmarkEnd w:id="905"/>
      <w:r>
        <w:rPr>
          <w:rFonts w:ascii="Arial;Helvetica;sans-serif" w:hAnsi="Arial;Helvetica;sans-serif"/>
          <w:b/>
          <w:sz w:val="20"/>
        </w:rPr>
        <w:t>Item 2. Unregistered Sales of Equity Securities and Use of Proceeds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Issuer Purchases of Equity Securities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751"/>
        <w:gridCol w:w="346"/>
        <w:gridCol w:w="1329"/>
        <w:gridCol w:w="346"/>
        <w:gridCol w:w="310"/>
        <w:gridCol w:w="710"/>
        <w:gridCol w:w="346"/>
        <w:gridCol w:w="1665"/>
        <w:gridCol w:w="346"/>
        <w:gridCol w:w="409"/>
        <w:gridCol w:w="1647"/>
      </w:tblGrid>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843915" cy="175260"/>
                      <wp:effectExtent l="0" t="0" r="0" b="0"/>
                      <wp:wrapNone/>
                      <wp:docPr id="301" name="Frame300"/>
                      <a:graphic xmlns:a="http://schemas.openxmlformats.org/drawingml/2006/main">
                        <a:graphicData uri="http://schemas.microsoft.com/office/word/2010/wordprocessingShape">
                          <wps:wsp>
                            <wps:cNvSpPr txBox="1"/>
                            <wps:spPr>
                              <a:xfrm>
                                <a:off x="0" y="0"/>
                                <a:ext cx="843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96850" cy="175260"/>
                      <wp:effectExtent l="0" t="0" r="0" b="0"/>
                      <wp:wrapNone/>
                      <wp:docPr id="303" name="Frame30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50850" cy="175260"/>
                      <wp:effectExtent l="0" t="0" r="0" b="0"/>
                      <wp:wrapNone/>
                      <wp:docPr id="304" name="Frame30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057275" cy="175260"/>
                      <wp:effectExtent l="0" t="0" r="0" b="0"/>
                      <wp:wrapNone/>
                      <wp:docPr id="306" name="Frame305"/>
                      <a:graphic xmlns:a="http://schemas.openxmlformats.org/drawingml/2006/main">
                        <a:graphicData uri="http://schemas.microsoft.com/office/word/2010/wordprocessingShape">
                          <wps:wsp>
                            <wps:cNvSpPr txBox="1"/>
                            <wps:spPr>
                              <a:xfrm>
                                <a:off x="0" y="0"/>
                                <a:ext cx="1057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59715" cy="175260"/>
                      <wp:effectExtent l="0" t="0" r="0" b="0"/>
                      <wp:wrapNone/>
                      <wp:docPr id="308" name="Frame307"/>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045845" cy="175260"/>
                      <wp:effectExtent l="0" t="0" r="0" b="0"/>
                      <wp:wrapNone/>
                      <wp:docPr id="309" name="Frame308"/>
                      <a:graphic xmlns:a="http://schemas.openxmlformats.org/drawingml/2006/main">
                        <a:graphicData uri="http://schemas.microsoft.com/office/word/2010/wordprocessingShape">
                          <wps:wsp>
                            <wps:cNvSpPr txBox="1"/>
                            <wps:spPr>
                              <a:xfrm>
                                <a:off x="0" y="0"/>
                                <a:ext cx="1045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w:t>
            </w:r>
          </w:p>
        </w:tc>
        <w:tc>
          <w:tcPr>
            <w:tcW w:w="346" w:type="dxa"/>
            <w:tcBorders/>
            <w:vAlign w:val="center"/>
          </w:tcPr>
          <w:p>
            <w:pPr>
              <w:pStyle w:val="TableContents"/>
              <w:bidi w:val="0"/>
              <w:spacing w:before="0" w:after="1"/>
              <w:ind w:left="0" w:right="0" w:hanging="0"/>
              <w:jc w:val="center"/>
              <w:rPr/>
            </w:pPr>
            <w:r>
              <w:rPr/>
              <w:t>​</w:t>
            </w:r>
          </w:p>
        </w:tc>
        <w:tc>
          <w:tcPr>
            <w:tcW w:w="205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46" w:type="dxa"/>
            <w:tcBorders/>
            <w:vAlign w:val="center"/>
          </w:tcPr>
          <w:p>
            <w:pPr>
              <w:pStyle w:val="TableContents"/>
              <w:bidi w:val="0"/>
              <w:spacing w:before="0" w:after="1"/>
              <w:ind w:left="0" w:right="0" w:hanging="0"/>
              <w:jc w:val="center"/>
              <w:rPr/>
            </w:pPr>
            <w:r>
              <w:rPr/>
              <w:t>​</w:t>
            </w:r>
          </w:p>
        </w:tc>
        <w:tc>
          <w:tcPr>
            <w:tcW w:w="205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Approximate dollar</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46" w:type="dxa"/>
            <w:tcBorders/>
            <w:vAlign w:val="center"/>
          </w:tcPr>
          <w:p>
            <w:pPr>
              <w:pStyle w:val="TableContents"/>
              <w:bidi w:val="0"/>
              <w:spacing w:before="0" w:after="1"/>
              <w:ind w:left="0" w:right="0" w:hanging="0"/>
              <w:jc w:val="center"/>
              <w:rPr/>
            </w:pPr>
            <w:r>
              <w:rPr/>
              <w:t>​</w:t>
            </w:r>
          </w:p>
        </w:tc>
        <w:tc>
          <w:tcPr>
            <w:tcW w:w="205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value of shares</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9"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t>
            </w:r>
          </w:p>
        </w:tc>
        <w:tc>
          <w:tcPr>
            <w:tcW w:w="34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(b)</w:t>
            </w:r>
          </w:p>
        </w:tc>
        <w:tc>
          <w:tcPr>
            <w:tcW w:w="346" w:type="dxa"/>
            <w:tcBorders/>
            <w:vAlign w:val="center"/>
          </w:tcPr>
          <w:p>
            <w:pPr>
              <w:pStyle w:val="TableContents"/>
              <w:bidi w:val="0"/>
              <w:spacing w:before="0" w:after="1"/>
              <w:ind w:left="0" w:right="0" w:hanging="0"/>
              <w:jc w:val="center"/>
              <w:rPr/>
            </w:pPr>
            <w:r>
              <w:rPr/>
              <w:t>​</w:t>
            </w:r>
          </w:p>
        </w:tc>
        <w:tc>
          <w:tcPr>
            <w:tcW w:w="166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as</w:t>
            </w:r>
          </w:p>
        </w:tc>
        <w:tc>
          <w:tcPr>
            <w:tcW w:w="346" w:type="dxa"/>
            <w:tcBorders/>
            <w:vAlign w:val="center"/>
          </w:tcPr>
          <w:p>
            <w:pPr>
              <w:pStyle w:val="TableContents"/>
              <w:bidi w:val="0"/>
              <w:spacing w:before="0" w:after="1"/>
              <w:ind w:left="0" w:right="0" w:hanging="0"/>
              <w:jc w:val="center"/>
              <w:rPr/>
            </w:pPr>
            <w:r>
              <w:rPr/>
              <w:t>​</w:t>
            </w:r>
          </w:p>
        </w:tc>
        <w:tc>
          <w:tcPr>
            <w:tcW w:w="205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that may yet be</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9"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4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Average</w:t>
            </w:r>
          </w:p>
        </w:tc>
        <w:tc>
          <w:tcPr>
            <w:tcW w:w="346" w:type="dxa"/>
            <w:tcBorders/>
            <w:vAlign w:val="center"/>
          </w:tcPr>
          <w:p>
            <w:pPr>
              <w:pStyle w:val="TableContents"/>
              <w:bidi w:val="0"/>
              <w:spacing w:before="0" w:after="1"/>
              <w:ind w:left="0" w:right="0" w:hanging="0"/>
              <w:jc w:val="center"/>
              <w:rPr/>
            </w:pPr>
            <w:r>
              <w:rPr/>
              <w:t>​</w:t>
            </w:r>
          </w:p>
        </w:tc>
        <w:tc>
          <w:tcPr>
            <w:tcW w:w="166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part of publicly</w:t>
            </w:r>
          </w:p>
        </w:tc>
        <w:tc>
          <w:tcPr>
            <w:tcW w:w="346" w:type="dxa"/>
            <w:tcBorders/>
            <w:vAlign w:val="center"/>
          </w:tcPr>
          <w:p>
            <w:pPr>
              <w:pStyle w:val="TableContents"/>
              <w:bidi w:val="0"/>
              <w:spacing w:before="0" w:after="1"/>
              <w:ind w:left="0" w:right="0" w:hanging="0"/>
              <w:jc w:val="center"/>
              <w:rPr/>
            </w:pPr>
            <w:r>
              <w:rPr/>
              <w:t>​</w:t>
            </w:r>
          </w:p>
        </w:tc>
        <w:tc>
          <w:tcPr>
            <w:tcW w:w="205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under the</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9"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4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 paid</w:t>
            </w:r>
          </w:p>
        </w:tc>
        <w:tc>
          <w:tcPr>
            <w:tcW w:w="346" w:type="dxa"/>
            <w:tcBorders/>
            <w:vAlign w:val="center"/>
          </w:tcPr>
          <w:p>
            <w:pPr>
              <w:pStyle w:val="TableContents"/>
              <w:bidi w:val="0"/>
              <w:spacing w:before="0" w:after="1"/>
              <w:ind w:left="0" w:right="0" w:hanging="0"/>
              <w:jc w:val="center"/>
              <w:rPr/>
            </w:pPr>
            <w:r>
              <w:rPr/>
              <w:t>​</w:t>
            </w:r>
          </w:p>
        </w:tc>
        <w:tc>
          <w:tcPr>
            <w:tcW w:w="166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announced plans</w:t>
            </w:r>
          </w:p>
        </w:tc>
        <w:tc>
          <w:tcPr>
            <w:tcW w:w="346" w:type="dxa"/>
            <w:tcBorders/>
            <w:vAlign w:val="center"/>
          </w:tcPr>
          <w:p>
            <w:pPr>
              <w:pStyle w:val="TableContents"/>
              <w:bidi w:val="0"/>
              <w:spacing w:before="0" w:after="1"/>
              <w:ind w:left="0" w:right="0" w:hanging="0"/>
              <w:jc w:val="center"/>
              <w:rPr/>
            </w:pPr>
            <w:r>
              <w:rPr/>
              <w:t>​</w:t>
            </w:r>
          </w:p>
        </w:tc>
        <w:tc>
          <w:tcPr>
            <w:tcW w:w="2056" w:type="dxa"/>
            <w:gridSpan w:val="2"/>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plans or programs </w:t>
            </w:r>
            <w:r>
              <w:rPr>
                <w:rFonts w:ascii="Arial;Helvetica;sans-serif" w:hAnsi="Arial;Helvetica;sans-serif"/>
                <w:b/>
                <w:sz w:val="15"/>
              </w:rPr>
              <w:t>(2)</w:t>
            </w:r>
          </w:p>
        </w:tc>
      </w:tr>
      <w:tr>
        <w:trPr/>
        <w:tc>
          <w:tcPr>
            <w:tcW w:w="27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Period</w:t>
            </w:r>
          </w:p>
        </w:tc>
        <w:tc>
          <w:tcPr>
            <w:tcW w:w="346" w:type="dxa"/>
            <w:tcBorders/>
            <w:vAlign w:val="center"/>
          </w:tcPr>
          <w:p>
            <w:pPr>
              <w:pStyle w:val="TableContents"/>
              <w:bidi w:val="0"/>
              <w:spacing w:before="0" w:after="1"/>
              <w:ind w:left="0" w:right="0" w:hanging="0"/>
              <w:jc w:val="center"/>
              <w:rPr/>
            </w:pPr>
            <w:r>
              <w:rPr/>
              <w:t>  ​ ​ ​</w:t>
            </w:r>
          </w:p>
        </w:tc>
        <w:tc>
          <w:tcPr>
            <w:tcW w:w="132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purchased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center"/>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w:t>
            </w:r>
          </w:p>
        </w:tc>
        <w:tc>
          <w:tcPr>
            <w:tcW w:w="346" w:type="dxa"/>
            <w:tcBorders/>
            <w:vAlign w:val="center"/>
          </w:tcPr>
          <w:p>
            <w:pPr>
              <w:pStyle w:val="TableContents"/>
              <w:bidi w:val="0"/>
              <w:spacing w:before="0" w:after="1"/>
              <w:ind w:left="0" w:right="0" w:hanging="0"/>
              <w:jc w:val="center"/>
              <w:rPr/>
            </w:pPr>
            <w:r>
              <w:rPr/>
              <w:t>  ​ ​ ​</w:t>
            </w:r>
          </w:p>
        </w:tc>
        <w:tc>
          <w:tcPr>
            <w:tcW w:w="1665"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or programs</w:t>
            </w:r>
          </w:p>
        </w:tc>
        <w:tc>
          <w:tcPr>
            <w:tcW w:w="346" w:type="dxa"/>
            <w:tcBorders/>
            <w:vAlign w:val="center"/>
          </w:tcPr>
          <w:p>
            <w:pPr>
              <w:pStyle w:val="TableContents"/>
              <w:bidi w:val="0"/>
              <w:spacing w:before="0" w:after="1"/>
              <w:ind w:left="0" w:right="0" w:hanging="0"/>
              <w:jc w:val="center"/>
              <w:rPr/>
            </w:pPr>
            <w:r>
              <w:rPr/>
              <w:t>  ​ ​ ​</w:t>
            </w:r>
          </w:p>
        </w:tc>
        <w:tc>
          <w:tcPr>
            <w:tcW w:w="2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 thousands)</w:t>
            </w:r>
          </w:p>
        </w:tc>
      </w:tr>
      <w:tr>
        <w:trPr/>
        <w:tc>
          <w:tcPr>
            <w:tcW w:w="2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January 1 to January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32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11,167</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w:t>
            </w:r>
          </w:p>
        </w:tc>
        <w:tc>
          <w:tcPr>
            <w:tcW w:w="346" w:type="dxa"/>
            <w:tcBorders/>
            <w:shd w:fill="CCEEFF" w:val="clear"/>
            <w:vAlign w:val="center"/>
          </w:tcPr>
          <w:p>
            <w:pPr>
              <w:pStyle w:val="TableContents"/>
              <w:bidi w:val="0"/>
              <w:spacing w:before="0" w:after="1"/>
              <w:ind w:left="0" w:right="0" w:hanging="0"/>
              <w:jc w:val="left"/>
              <w:rPr/>
            </w:pPr>
            <w:r>
              <w:rPr/>
              <w:t> </w:t>
            </w:r>
          </w:p>
        </w:tc>
        <w:tc>
          <w:tcPr>
            <w:tcW w:w="16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4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128,380</w:t>
            </w:r>
          </w:p>
        </w:tc>
      </w:tr>
      <w:tr>
        <w:trPr/>
        <w:tc>
          <w:tcPr>
            <w:tcW w:w="2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February 1 to February 28, 2026</w:t>
            </w:r>
          </w:p>
        </w:tc>
        <w:tc>
          <w:tcPr>
            <w:tcW w:w="346" w:type="dxa"/>
            <w:tcBorders/>
            <w:vAlign w:val="center"/>
          </w:tcPr>
          <w:p>
            <w:pPr>
              <w:pStyle w:val="TableContents"/>
              <w:bidi w:val="0"/>
              <w:spacing w:before="0" w:after="1"/>
              <w:ind w:left="0" w:right="0" w:hanging="0"/>
              <w:jc w:val="left"/>
              <w:rPr/>
            </w:pPr>
            <w:r>
              <w:rPr/>
              <w:t> </w:t>
            </w:r>
          </w:p>
        </w:tc>
        <w:tc>
          <w:tcPr>
            <w:tcW w:w="13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6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09" w:type="dxa"/>
            <w:tcBorders/>
            <w:vAlign w:val="center"/>
          </w:tcPr>
          <w:p>
            <w:pPr>
              <w:pStyle w:val="TableContents"/>
              <w:bidi w:val="0"/>
              <w:spacing w:before="0" w:after="1"/>
              <w:ind w:left="0" w:right="0" w:hanging="0"/>
              <w:jc w:val="left"/>
              <w:rPr/>
            </w:pPr>
            <w:r>
              <w:rPr/>
              <w:t>​</w:t>
            </w:r>
          </w:p>
        </w:tc>
        <w:tc>
          <w:tcPr>
            <w:tcW w:w="164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128,380</w:t>
            </w:r>
          </w:p>
        </w:tc>
      </w:tr>
      <w:tr>
        <w:trPr/>
        <w:tc>
          <w:tcPr>
            <w:tcW w:w="2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March 1 to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6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09" w:type="dxa"/>
            <w:tcBorders/>
            <w:shd w:fill="CCEEFF" w:val="clear"/>
            <w:vAlign w:val="center"/>
          </w:tcPr>
          <w:p>
            <w:pPr>
              <w:pStyle w:val="TableContents"/>
              <w:bidi w:val="0"/>
              <w:spacing w:before="0" w:after="1"/>
              <w:ind w:left="0" w:right="0" w:hanging="0"/>
              <w:jc w:val="left"/>
              <w:rPr/>
            </w:pPr>
            <w:r>
              <w:rPr/>
              <w:t>​</w:t>
            </w:r>
          </w:p>
        </w:tc>
        <w:tc>
          <w:tcPr>
            <w:tcW w:w="164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128,380</w:t>
            </w:r>
          </w:p>
        </w:tc>
      </w:tr>
      <w:tr>
        <w:trPr/>
        <w:tc>
          <w:tcPr>
            <w:tcW w:w="2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32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11,167</w:t>
            </w:r>
          </w:p>
        </w:tc>
        <w:tc>
          <w:tcPr>
            <w:tcW w:w="34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w:t>
            </w:r>
          </w:p>
        </w:tc>
        <w:tc>
          <w:tcPr>
            <w:tcW w:w="346" w:type="dxa"/>
            <w:tcBorders/>
            <w:vAlign w:val="center"/>
          </w:tcPr>
          <w:p>
            <w:pPr>
              <w:pStyle w:val="TableContents"/>
              <w:bidi w:val="0"/>
              <w:spacing w:before="0" w:after="1"/>
              <w:ind w:left="0" w:right="0" w:hanging="0"/>
              <w:jc w:val="left"/>
              <w:rPr/>
            </w:pPr>
            <w:r>
              <w:rPr/>
              <w:t> </w:t>
            </w:r>
          </w:p>
        </w:tc>
        <w:tc>
          <w:tcPr>
            <w:tcW w:w="166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09" w:type="dxa"/>
            <w:tcBorders/>
            <w:vAlign w:val="center"/>
          </w:tcPr>
          <w:p>
            <w:pPr>
              <w:pStyle w:val="TableContents"/>
              <w:bidi w:val="0"/>
              <w:spacing w:before="0" w:after="1"/>
              <w:ind w:left="0" w:right="0" w:hanging="0"/>
              <w:jc w:val="left"/>
              <w:rPr/>
            </w:pPr>
            <w:r>
              <w:rPr/>
              <w:t>​</w:t>
            </w:r>
          </w:p>
        </w:tc>
        <w:tc>
          <w:tcPr>
            <w:tcW w:w="1647"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shares forfeited in satisfaction of tax obligations upon vesting of share-based awards under our existing long-term incentive plans.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7 to this Quarterly Report on Form 10-Q and Note 10 to our 2025 Annual Report on Form 10-K for additional information regarding our share repurchase programs.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06" w:name="Item3DefaultsUponSeniorSecurities"/>
      <w:bookmarkStart w:id="907" w:name="_7d8b7065_d4c6_45f7_aa72_59ac5c031e83"/>
      <w:bookmarkStart w:id="908" w:name="_Item_3._Defaults"/>
      <w:bookmarkEnd w:id="906"/>
      <w:bookmarkEnd w:id="907"/>
      <w:bookmarkEnd w:id="908"/>
      <w:r>
        <w:rPr>
          <w:rFonts w:ascii="Arial;Helvetica;sans-serif" w:hAnsi="Arial;Helvetica;sans-serif"/>
          <w:b/>
          <w:sz w:val="20"/>
        </w:rPr>
        <w:t>Item 3. Defaults Upon Senior Securities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09" w:name="Item4MineSafetyDisclosures"/>
      <w:bookmarkStart w:id="910" w:name="_d77c3e92_d08f_4b5e_b2f5_5a8140dc138a"/>
      <w:bookmarkStart w:id="911" w:name="_Item_4._Mine"/>
      <w:bookmarkEnd w:id="909"/>
      <w:bookmarkEnd w:id="910"/>
      <w:bookmarkEnd w:id="911"/>
      <w:r>
        <w:rPr>
          <w:rFonts w:ascii="Arial;Helvetica;sans-serif" w:hAnsi="Arial;Helvetica;sans-serif"/>
          <w:b/>
          <w:sz w:val="20"/>
        </w:rPr>
        <w:t>Item 4. Mine Safety Disclosures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912" w:name="Item5OtherInformation"/>
      <w:bookmarkStart w:id="913" w:name="_9158dc67_986b_4ffd_90a1_4131cc7b04f0"/>
      <w:bookmarkStart w:id="914" w:name="_Item_5._Other"/>
      <w:bookmarkEnd w:id="912"/>
      <w:bookmarkEnd w:id="913"/>
      <w:bookmarkEnd w:id="914"/>
      <w:r>
        <w:rPr>
          <w:rFonts w:ascii="Arial;Helvetica;sans-serif" w:hAnsi="Arial;Helvetica;sans-serif"/>
          <w:b/>
          <w:sz w:val="20"/>
        </w:rPr>
        <w:t>Item 5. Other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 During the three-month period ended March 31, 2026, no director or “officer” of Helix adopted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915" w:name="Item6Exhibits_967042"/>
      <w:bookmarkStart w:id="916" w:name="_abebd14a_0f8b_4e63_a37b_81d13f96aa50"/>
      <w:bookmarkEnd w:id="915"/>
      <w:bookmarkEnd w:id="916"/>
      <w:r>
        <w:rPr>
          <w:rFonts w:ascii="Arial;Helvetica;sans-serif" w:hAnsi="Arial;Helvetica;sans-serif"/>
          <w:b/>
          <w:sz w:val="20"/>
        </w:rPr>
        <w:t>Item 6. Exhibits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044"/>
        <w:gridCol w:w="346"/>
        <w:gridCol w:w="4210"/>
        <w:gridCol w:w="346"/>
        <w:gridCol w:w="4259"/>
      </w:tblGrid>
      <w:tr>
        <w:trPr/>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62940" cy="175260"/>
                      <wp:effectExtent l="0" t="0" r="0" b="0"/>
                      <wp:wrapNone/>
                      <wp:docPr id="310" name="Frame309"/>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673350" cy="175260"/>
                      <wp:effectExtent l="0" t="0" r="0" b="0"/>
                      <wp:wrapNone/>
                      <wp:docPr id="312" name="Frame311"/>
                      <a:graphic xmlns:a="http://schemas.openxmlformats.org/drawingml/2006/main">
                        <a:graphicData uri="http://schemas.microsoft.com/office/word/2010/wordprocessingShape">
                          <wps:wsp>
                            <wps:cNvSpPr txBox="1"/>
                            <wps:spPr>
                              <a:xfrm>
                                <a:off x="0" y="0"/>
                                <a:ext cx="267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704465" cy="175260"/>
                      <wp:effectExtent l="0" t="0" r="0" b="0"/>
                      <wp:wrapNone/>
                      <wp:docPr id="314" name="Frame313"/>
                      <a:graphic xmlns:a="http://schemas.openxmlformats.org/drawingml/2006/main">
                        <a:graphicData uri="http://schemas.microsoft.com/office/word/2010/wordprocessingShape">
                          <wps:wsp>
                            <wps:cNvSpPr txBox="1"/>
                            <wps:spPr>
                              <a:xfrm>
                                <a:off x="0" y="0"/>
                                <a:ext cx="270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44" w:type="dxa"/>
            <w:tcBorders>
              <w:bottom w:val="single" w:sz="1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346" w:type="dxa"/>
            <w:tcBorders/>
            <w:vAlign w:val="center"/>
          </w:tcPr>
          <w:p>
            <w:pPr>
              <w:pStyle w:val="TableContents"/>
              <w:bidi w:val="0"/>
              <w:spacing w:before="0" w:after="0"/>
              <w:ind w:left="0" w:right="0" w:hanging="0"/>
              <w:jc w:val="left"/>
              <w:rPr/>
            </w:pPr>
            <w:r>
              <w:rPr/>
              <w:t>  ​ ​ ​</w:t>
            </w:r>
          </w:p>
        </w:tc>
        <w:tc>
          <w:tcPr>
            <w:tcW w:w="4210"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4259"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pPr>
            <w:hyperlink r:id="rId3">
              <w:r>
                <w:rPr>
                  <w:rStyle w:val="InternetLink"/>
                  <w:rFonts w:ascii="Arial;Helvetica;sans-serif" w:hAnsi="Arial;Helvetica;sans-serif"/>
                  <w:b w:val="false"/>
                  <w:i w:val="false"/>
                  <w:caps w:val="false"/>
                  <w:smallCaps w:val="false"/>
                  <w:sz w:val="20"/>
                </w:rPr>
                <w:t>2005 Amended and Restated Articles of Incorporation, as amended, of Helix Energy Solutions Group, Inc.</w:t>
              </w:r>
            </w:hyperlink>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March 1, 2006 (000-22739)</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pPr>
            <w:hyperlink r:id="rId4">
              <w:r>
                <w:rPr>
                  <w:rStyle w:val="InternetLink"/>
                  <w:rFonts w:ascii="Arial;Helvetica;sans-serif" w:hAnsi="Arial;Helvetica;sans-serif"/>
                  <w:b w:val="false"/>
                  <w:i w:val="false"/>
                  <w:caps w:val="false"/>
                  <w:smallCaps w:val="false"/>
                  <w:sz w:val="20"/>
                </w:rPr>
                <w:t>Second Amended and Restated By-Laws of Helix Energy Solutions Group, Inc., as amended.</w:t>
              </w:r>
            </w:hyperlink>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September 28, 2006 (001-32936)</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pPr>
            <w:hyperlink r:id="rId5">
              <w:r>
                <w:rPr>
                  <w:rStyle w:val="InternetLink"/>
                  <w:rFonts w:ascii="Arial;Helvetica;sans-serif" w:hAnsi="Arial;Helvetica;sans-serif"/>
                  <w:b w:val="false"/>
                  <w:i w:val="false"/>
                  <w:caps w:val="false"/>
                  <w:smallCaps w:val="false"/>
                  <w:sz w:val="20"/>
                </w:rPr>
                <w:t>Amendment 2 to Strategic Alliance Agreement.</w:t>
              </w:r>
            </w:hyperlink>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10.1 to the Current Report on Form 8-K filed on February 13, 2026 (001-32936)</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pPr>
            <w:hyperlink w:anchor="hlx-20260331xex31d1.htm">
              <w:r>
                <w:rPr>
                  <w:rStyle w:val="InternetLink"/>
                  <w:rFonts w:ascii="Arial;Helvetica;sans-serif" w:hAnsi="Arial;Helvetica;sans-serif"/>
                  <w:b w:val="false"/>
                  <w:i w:val="false"/>
                  <w:caps w:val="false"/>
                  <w:smallCaps w:val="false"/>
                  <w:sz w:val="20"/>
                </w:rPr>
                <w:t>Certification Pursuant to Rule 13a-14(a) under the Securities Exchange Act of 1934 by Owen Kratz, Chief Executive Officer.</w:t>
              </w:r>
            </w:hyperlink>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pPr>
            <w:hyperlink w:anchor="hlx-20260331xex31d2.htm">
              <w:r>
                <w:rPr>
                  <w:rStyle w:val="InternetLink"/>
                  <w:rFonts w:ascii="Arial;Helvetica;sans-serif" w:hAnsi="Arial;Helvetica;sans-serif"/>
                  <w:b w:val="false"/>
                  <w:i w:val="false"/>
                  <w:caps w:val="false"/>
                  <w:smallCaps w:val="false"/>
                  <w:sz w:val="20"/>
                </w:rPr>
                <w:t>Certification Pursuant to Rule 13a-14(a) under the Securities Exchange Act of 1934 by Erik Staffeldt, Chief Financial Officer.</w:t>
              </w:r>
            </w:hyperlink>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pPr>
            <w:hyperlink w:anchor="hlx-20260331xex32d1.htm">
              <w:r>
                <w:rPr>
                  <w:rStyle w:val="InternetLink"/>
                  <w:rFonts w:ascii="Arial;Helvetica;sans-serif" w:hAnsi="Arial;Helvetica;sans-serif"/>
                  <w:b w:val="false"/>
                  <w:i w:val="false"/>
                  <w:caps w:val="false"/>
                  <w:smallCaps w:val="false"/>
                  <w:sz w:val="20"/>
                </w:rPr>
                <w:t>Certification of Helix’s Chief Executive Officer and Chief Financial Officer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Furnished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XBRL Instance Document.</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instance document does not appear in the Interactive Data File because its XBRL tags are embedded within the Inline XBRL document</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346" w:type="dxa"/>
            <w:tcBorders/>
            <w:vAlign w:val="center"/>
          </w:tcPr>
          <w:p>
            <w:pPr>
              <w:pStyle w:val="TableContents"/>
              <w:bidi w:val="0"/>
              <w:spacing w:before="0" w:after="0"/>
              <w:ind w:left="0" w:right="0" w:hanging="0"/>
              <w:jc w:val="left"/>
              <w:rPr/>
            </w:pPr>
            <w:r>
              <w:rPr/>
              <w:t>​</w:t>
            </w:r>
          </w:p>
        </w:tc>
        <w:tc>
          <w:tcPr>
            <w:tcW w:w="425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917" w:name="SIGNATURES_810600"/>
      <w:bookmarkStart w:id="918" w:name="_7ff74030_6055_46ab_bccd_a15cedd37d77"/>
      <w:bookmarkEnd w:id="917"/>
      <w:bookmarkEnd w:id="918"/>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694" w:type="dxa"/>
        <w:jc w:val="left"/>
        <w:tblInd w:w="0" w:type="dxa"/>
        <w:tblLayout w:type="fixed"/>
        <w:tblCellMar>
          <w:top w:w="0" w:type="dxa"/>
          <w:left w:w="0" w:type="dxa"/>
          <w:bottom w:w="0" w:type="dxa"/>
          <w:right w:w="0" w:type="dxa"/>
        </w:tblCellMar>
      </w:tblPr>
      <w:tblGrid>
        <w:gridCol w:w="1846"/>
        <w:gridCol w:w="346"/>
        <w:gridCol w:w="406"/>
        <w:gridCol w:w="4096"/>
      </w:tblGrid>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both"/>
              <w:rPr/>
            </w:pPr>
            <w:r>
              <w:rPr/>
              <w:t>​</w:t>
            </w:r>
          </w:p>
        </w:tc>
        <w:tc>
          <w:tcPr>
            <w:tcW w:w="409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HELIX ENERGY SOLUTIONS GROUP, INC.</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0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April 24,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Owen Kratz</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Owen Kratz</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April 24,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Erik Staffeldt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0"/>
        <w:ind w:left="0" w:right="0" w:hanging="0"/>
        <w:jc w:val="right"/>
        <w:rPr>
          <w:rFonts w:ascii="Arial;Helvetica;sans-serif" w:hAnsi="Arial;Helvetica;sans-serif"/>
          <w:b/>
          <w:sz w:val="22"/>
        </w:rPr>
      </w:pPr>
      <w:bookmarkStart w:id="919" w:name="hlx-20260331xex31d1.htm"/>
      <w:bookmarkStart w:id="920" w:name="kshlx20260331xex31d1"/>
      <w:bookmarkEnd w:id="919"/>
      <w:bookmarkEnd w:id="920"/>
      <w:r>
        <w:rPr>
          <w:rFonts w:ascii="Arial;Helvetica;sans-serif" w:hAnsi="Arial;Helvetica;sans-serif"/>
          <w:b/>
          <w:sz w:val="22"/>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Owen Kratz, the President and Chief Executive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24, 2026</w:t>
      </w:r>
    </w:p>
    <w:p>
      <w:pPr>
        <w:pStyle w:val="TextBody"/>
        <w:bidi w:val="0"/>
        <w:spacing w:before="0" w:after="0"/>
        <w:ind w:left="0" w:right="0" w:hanging="0"/>
        <w:jc w:val="center"/>
        <w:rPr/>
      </w:pPr>
      <w:r>
        <w:rPr/>
        <w:t>​</w:t>
      </w:r>
    </w:p>
    <w:tbl>
      <w:tblPr>
        <w:tblW w:w="3950" w:type="dxa"/>
        <w:jc w:val="left"/>
        <w:tblInd w:w="0" w:type="dxa"/>
        <w:tblLayout w:type="fixed"/>
        <w:tblCellMar>
          <w:top w:w="0" w:type="dxa"/>
          <w:left w:w="0" w:type="dxa"/>
          <w:bottom w:w="0" w:type="dxa"/>
          <w:right w:w="0" w:type="dxa"/>
        </w:tblCellMar>
      </w:tblPr>
      <w:tblGrid>
        <w:gridCol w:w="124"/>
        <w:gridCol w:w="3826"/>
      </w:tblGrid>
      <w:tr>
        <w:trPr/>
        <w:tc>
          <w:tcPr>
            <w:tcW w:w="124"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921" w:name="hlx-20260331xex31d2.htm"/>
      <w:bookmarkStart w:id="922" w:name="kshlx20260331xex31d2"/>
      <w:bookmarkEnd w:id="921"/>
      <w:bookmarkEnd w:id="922"/>
      <w:r>
        <w:rPr>
          <w:rFonts w:ascii="Arial;Helvetica;sans-serif" w:hAnsi="Arial;Helvetica;sans-serif"/>
          <w:b/>
          <w:sz w:val="22"/>
        </w:rPr>
        <w:t>EXHBIT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Erik Staffeldt, the Executive Vice President and Chief Financial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24, 2026</w:t>
      </w:r>
    </w:p>
    <w:p>
      <w:pPr>
        <w:pStyle w:val="TextBody"/>
        <w:bidi w:val="0"/>
        <w:spacing w:before="0" w:after="0"/>
        <w:ind w:left="0" w:right="0" w:hanging="0"/>
        <w:jc w:val="left"/>
        <w:rPr/>
      </w:pPr>
      <w:r>
        <w:rPr/>
        <w:t>​</w:t>
      </w:r>
    </w:p>
    <w:tbl>
      <w:tblPr>
        <w:tblW w:w="5375" w:type="dxa"/>
        <w:jc w:val="center"/>
        <w:tblInd w:w="0" w:type="dxa"/>
        <w:tblLayout w:type="fixed"/>
        <w:tblCellMar>
          <w:top w:w="0" w:type="dxa"/>
          <w:left w:w="0" w:type="dxa"/>
          <w:bottom w:w="0" w:type="dxa"/>
          <w:right w:w="0" w:type="dxa"/>
        </w:tblCellMar>
      </w:tblPr>
      <w:tblGrid>
        <w:gridCol w:w="124"/>
        <w:gridCol w:w="5251"/>
      </w:tblGrid>
      <w:tr>
        <w:trPr/>
        <w:tc>
          <w:tcPr>
            <w:tcW w:w="124"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923" w:name="hlx-20260331xex32d1.htm"/>
      <w:bookmarkStart w:id="924" w:name="kshlx20260331xex32d1"/>
      <w:bookmarkEnd w:id="923"/>
      <w:bookmarkEnd w:id="924"/>
      <w:r>
        <w:rPr>
          <w:rFonts w:ascii="Arial;Helvetica;sans-serif" w:hAnsi="Arial;Helvetica;sans-serif"/>
          <w:b/>
          <w:sz w:val="22"/>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CERTIFICATION OF CEO AND CFO PURSUANT TO 18 U.S.C. SECTION 1350</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In connection with the Quarterly Report of Helix Energy Solutions Group, Inc. (“Helix”) on Form 10-Q for the quarterly period ended March 31, 2026,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990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(2)</w:t>
            </w:r>
          </w:p>
        </w:tc>
        <w:tc>
          <w:tcPr>
            <w:tcW w:w="9912"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The information contained in the Report fairly presents, in all material respects, the financial condition and results of operations of Helix.</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24, 2026</w:t>
      </w:r>
    </w:p>
    <w:p>
      <w:pPr>
        <w:pStyle w:val="TextBody"/>
        <w:bidi w:val="0"/>
        <w:spacing w:before="0" w:after="0"/>
        <w:ind w:left="0" w:right="0" w:hanging="0"/>
        <w:jc w:val="left"/>
        <w:rPr/>
      </w:pPr>
      <w:r>
        <w:rPr/>
        <w:t>​</w:t>
      </w:r>
    </w:p>
    <w:tbl>
      <w:tblPr>
        <w:tblW w:w="3987" w:type="dxa"/>
        <w:jc w:val="left"/>
        <w:tblInd w:w="0" w:type="dxa"/>
        <w:tblLayout w:type="fixed"/>
        <w:tblCellMar>
          <w:top w:w="0" w:type="dxa"/>
          <w:left w:w="0" w:type="dxa"/>
          <w:bottom w:w="0" w:type="dxa"/>
          <w:right w:w="0" w:type="dxa"/>
        </w:tblCellMar>
      </w:tblPr>
      <w:tblGrid>
        <w:gridCol w:w="161"/>
        <w:gridCol w:w="3826"/>
      </w:tblGrid>
      <w:tr>
        <w:trPr/>
        <w:tc>
          <w:tcPr>
            <w:tcW w:w="16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61"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24, 2026</w:t>
      </w:r>
    </w:p>
    <w:p>
      <w:pPr>
        <w:pStyle w:val="TextBody"/>
        <w:bidi w:val="0"/>
        <w:spacing w:before="0" w:after="0"/>
        <w:ind w:left="0" w:right="0" w:hanging="0"/>
        <w:jc w:val="left"/>
        <w:rPr/>
      </w:pPr>
      <w:r>
        <w:rPr/>
        <w:t>​</w:t>
      </w:r>
    </w:p>
    <w:tbl>
      <w:tblPr>
        <w:tblW w:w="5412" w:type="dxa"/>
        <w:jc w:val="left"/>
        <w:tblInd w:w="0" w:type="dxa"/>
        <w:tblLayout w:type="fixed"/>
        <w:tblCellMar>
          <w:top w:w="0" w:type="dxa"/>
          <w:left w:w="0" w:type="dxa"/>
          <w:bottom w:w="0" w:type="dxa"/>
          <w:right w:w="0" w:type="dxa"/>
        </w:tblCellMar>
      </w:tblPr>
      <w:tblGrid>
        <w:gridCol w:w="161"/>
        <w:gridCol w:w="5251"/>
      </w:tblGrid>
      <w:tr>
        <w:trPr/>
        <w:tc>
          <w:tcPr>
            <w:tcW w:w="161"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61" w:type="dxa"/>
            <w:tcBorders/>
            <w:vAlign w:val="center"/>
          </w:tcPr>
          <w:p>
            <w:pPr>
              <w:pStyle w:val="TableContents"/>
              <w:bidi w:val="0"/>
              <w:spacing w:before="0" w:after="0"/>
              <w:ind w:left="0" w:right="0" w:hanging="0"/>
              <w:jc w:val="left"/>
              <w:rPr/>
            </w:pPr>
            <w:r>
              <w:rPr/>
              <w:t> </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0866829/000095012906002103/h33539exv3w1.htm" TargetMode="External"/><Relationship Id="rId4" Type="http://schemas.openxmlformats.org/officeDocument/2006/relationships/hyperlink" Target="https://www.sec.gov/Archives/edgar/data/866829/000095012906008744/h39963exv3w1.htm" TargetMode="External"/><Relationship Id="rId5" Type="http://schemas.openxmlformats.org/officeDocument/2006/relationships/hyperlink" Target="https://www.sec.gov/Archives/edgar/data/866829/000086682926000002/hlx-20260213xex10d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18078</Words>
  <Characters>100819</Characters>
  <CharactersWithSpaces>120744</CharactersWithSpaces>
  <Paragraphs>5252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