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7640"/>
        <w:spacing w:after="0"/>
        <w:rPr>
          <w:sz w:val="20"/>
          <w:szCs w:val="20"/>
          <w:color w:val="auto"/>
        </w:rPr>
      </w:pPr>
      <w:r>
        <w:rPr>
          <w:rFonts w:ascii="Arial" w:cs="Arial" w:eastAsia="Arial" w:hAnsi="Arial"/>
          <w:sz w:val="22"/>
          <w:szCs w:val="22"/>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-154940</wp:posOffset>
            </wp:positionV>
            <wp:extent cx="159512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97560"/>
                    </a:xfrm>
                    <a:prstGeom prst="rect">
                      <a:avLst/>
                    </a:prstGeom>
                    <a:noFill/>
                  </pic:spPr>
                </pic:pic>
              </a:graphicData>
            </a:graphic>
          </wp:anchor>
        </w:drawing>
      </w:r>
    </w:p>
    <w:p>
      <w:pPr>
        <w:spacing w:after="0" w:line="2"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OMB Number: 3235-0145</w:t>
      </w:r>
    </w:p>
    <w:p>
      <w:pPr>
        <w:spacing w:after="0" w:line="25"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Expires: February 28, 2009</w:t>
      </w:r>
    </w:p>
    <w:p>
      <w:pPr>
        <w:spacing w:after="0" w:line="25"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Estimated average burden</w:t>
      </w:r>
    </w:p>
    <w:p>
      <w:pPr>
        <w:spacing w:after="0" w:line="25" w:lineRule="exact"/>
        <w:rPr>
          <w:sz w:val="20"/>
          <w:szCs w:val="20"/>
          <w:color w:val="auto"/>
        </w:rPr>
      </w:pPr>
    </w:p>
    <w:p>
      <w:pPr>
        <w:ind w:left="7280"/>
        <w:spacing w:after="0"/>
        <w:rPr>
          <w:sz w:val="20"/>
          <w:szCs w:val="20"/>
          <w:color w:val="auto"/>
        </w:rPr>
      </w:pPr>
      <w:r>
        <w:rPr>
          <w:rFonts w:ascii="Arial" w:cs="Arial" w:eastAsia="Arial" w:hAnsi="Arial"/>
          <w:sz w:val="21"/>
          <w:szCs w:val="21"/>
          <w:color w:val="auto"/>
        </w:rPr>
        <w:t>hours per response...10.4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617474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1)*</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Helix Energy Solutions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174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42330P107</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Calendar Year 2007</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174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 Rule 13d-1(c)</w:t>
      </w:r>
    </w:p>
    <w:p>
      <w:pPr>
        <w:spacing w:after="0" w:line="185" w:lineRule="exact"/>
        <w:rPr>
          <w:sz w:val="20"/>
          <w:szCs w:val="20"/>
          <w:color w:val="auto"/>
        </w:rPr>
      </w:pPr>
    </w:p>
    <w:p>
      <w:pPr>
        <w:ind w:left="420" w:hanging="203"/>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4" w:lineRule="exact"/>
        <w:rPr>
          <w:rFonts w:ascii="MS PGothic" w:cs="MS PGothic" w:eastAsia="MS PGothic" w:hAnsi="MS PGothic"/>
          <w:sz w:val="18"/>
          <w:szCs w:val="18"/>
          <w:color w:val="auto"/>
        </w:rPr>
      </w:pPr>
    </w:p>
    <w:p>
      <w:pPr>
        <w:ind w:right="199"/>
        <w:spacing w:after="0" w:line="264"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4" w:lineRule="exact"/>
        <w:rPr>
          <w:sz w:val="20"/>
          <w:szCs w:val="20"/>
          <w:color w:val="auto"/>
        </w:rPr>
      </w:pPr>
    </w:p>
    <w:p>
      <w:pPr>
        <w:ind w:right="199"/>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1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88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42330P107</w:t>
            </w:r>
          </w:p>
        </w:tc>
        <w:tc>
          <w:tcPr>
            <w:tcW w:w="6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3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40" w:type="dxa"/>
            <w:vAlign w:val="bottom"/>
            <w:tcBorders>
              <w:right w:val="single" w:sz="8" w:color="auto"/>
            </w:tcBorders>
          </w:tcPr>
          <w:p>
            <w:pPr>
              <w:spacing w:after="0"/>
              <w:rPr>
                <w:sz w:val="21"/>
                <w:szCs w:val="21"/>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160" w:type="dxa"/>
            <w:vAlign w:val="bottom"/>
            <w:gridSpan w:val="4"/>
          </w:tcPr>
          <w:p>
            <w:pPr>
              <w:ind w:left="100"/>
              <w:spacing w:after="0"/>
              <w:rPr>
                <w:sz w:val="20"/>
                <w:szCs w:val="20"/>
                <w:color w:val="auto"/>
              </w:rPr>
            </w:pPr>
            <w:r>
              <w:rPr>
                <w:rFonts w:ascii="Arial" w:cs="Arial" w:eastAsia="Arial" w:hAnsi="Arial"/>
                <w:sz w:val="18"/>
                <w:szCs w:val="18"/>
                <w:color w:val="auto"/>
              </w:rPr>
              <w:t>Owen Kratz</w:t>
            </w:r>
          </w:p>
        </w:tc>
        <w:tc>
          <w:tcPr>
            <w:tcW w:w="980" w:type="dxa"/>
            <w:vAlign w:val="bottom"/>
          </w:tcPr>
          <w:p>
            <w:pPr>
              <w:spacing w:after="0"/>
              <w:rPr>
                <w:sz w:val="20"/>
                <w:szCs w:val="20"/>
                <w:color w:val="auto"/>
              </w:rPr>
            </w:pPr>
          </w:p>
        </w:tc>
        <w:tc>
          <w:tcPr>
            <w:tcW w:w="698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0" w:type="dxa"/>
            <w:vAlign w:val="bottom"/>
            <w:tcBorders>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980" w:type="dxa"/>
            <w:vAlign w:val="bottom"/>
            <w:tcBorders>
              <w:bottom w:val="single" w:sz="8" w:color="auto"/>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0" w:type="dxa"/>
            <w:vAlign w:val="bottom"/>
            <w:tcBorders>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3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United States</w:t>
            </w: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4,384,342</w:t>
            </w: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 w:type="dxa"/>
            <w:vAlign w:val="bottom"/>
            <w:tcBorders>
              <w:right w:val="single" w:sz="8" w:color="auto"/>
            </w:tcBorders>
          </w:tcPr>
          <w:p>
            <w:pPr>
              <w:spacing w:after="0"/>
              <w:rPr>
                <w:sz w:val="23"/>
                <w:szCs w:val="23"/>
                <w:color w:val="auto"/>
              </w:rPr>
            </w:pPr>
          </w:p>
        </w:tc>
        <w:tc>
          <w:tcPr>
            <w:tcW w:w="1020" w:type="dxa"/>
            <w:vAlign w:val="bottom"/>
            <w:gridSpan w:val="3"/>
          </w:tcPr>
          <w:p>
            <w:pPr>
              <w:jc w:val="center"/>
              <w:ind w:left="15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1,000,000</w:t>
            </w: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 w:type="dxa"/>
            <w:vAlign w:val="bottom"/>
            <w:tcBorders>
              <w:right w:val="single" w:sz="8" w:color="auto"/>
            </w:tcBorders>
          </w:tcPr>
          <w:p>
            <w:pPr>
              <w:spacing w:after="0"/>
              <w:rPr>
                <w:sz w:val="23"/>
                <w:szCs w:val="23"/>
                <w:color w:val="auto"/>
              </w:rPr>
            </w:pPr>
          </w:p>
        </w:tc>
        <w:tc>
          <w:tcPr>
            <w:tcW w:w="1020" w:type="dxa"/>
            <w:vAlign w:val="bottom"/>
            <w:gridSpan w:val="3"/>
          </w:tcPr>
          <w:p>
            <w:pPr>
              <w:jc w:val="center"/>
              <w:ind w:left="15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80" w:type="dxa"/>
            <w:vAlign w:val="bottom"/>
          </w:tcPr>
          <w:p>
            <w:pPr>
              <w:spacing w:after="0"/>
              <w:rPr>
                <w:sz w:val="22"/>
                <w:szCs w:val="22"/>
                <w:color w:val="auto"/>
              </w:rPr>
            </w:pPr>
          </w:p>
        </w:tc>
        <w:tc>
          <w:tcPr>
            <w:tcW w:w="6980" w:type="dxa"/>
            <w:vAlign w:val="bottom"/>
            <w:tcBorders>
              <w:right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1020" w:type="dxa"/>
            <w:vAlign w:val="bottom"/>
            <w:gridSpan w:val="3"/>
          </w:tcPr>
          <w:p>
            <w:pPr>
              <w:jc w:val="center"/>
              <w:ind w:left="15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4,384,342</w:t>
            </w: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0" w:type="dxa"/>
            <w:vAlign w:val="bottom"/>
            <w:tcBorders>
              <w:right w:val="single" w:sz="8" w:color="auto"/>
            </w:tcBorders>
          </w:tcPr>
          <w:p>
            <w:pPr>
              <w:spacing w:after="0"/>
              <w:rPr>
                <w:sz w:val="24"/>
                <w:szCs w:val="24"/>
                <w:color w:val="auto"/>
              </w:rPr>
            </w:pPr>
          </w:p>
        </w:tc>
        <w:tc>
          <w:tcPr>
            <w:tcW w:w="1020" w:type="dxa"/>
            <w:vAlign w:val="bottom"/>
            <w:gridSpan w:val="3"/>
          </w:tcPr>
          <w:p>
            <w:pPr>
              <w:jc w:val="center"/>
              <w:ind w:left="17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1,000,000</w:t>
            </w: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5,384,342</w:t>
            </w: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3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40" w:type="dxa"/>
            <w:vAlign w:val="bottom"/>
            <w:tcBorders>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40" w:type="dxa"/>
            <w:vAlign w:val="bottom"/>
            <w:tcBorders>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4"/>
        </w:trPr>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80" w:type="dxa"/>
            <w:vAlign w:val="bottom"/>
          </w:tcPr>
          <w:p>
            <w:pPr>
              <w:ind w:left="1460"/>
              <w:spacing w:after="0"/>
              <w:rPr>
                <w:sz w:val="20"/>
                <w:szCs w:val="20"/>
                <w:color w:val="auto"/>
              </w:rPr>
            </w:pPr>
            <w:r>
              <w:rPr>
                <w:rFonts w:ascii="Arial" w:cs="Arial" w:eastAsia="Arial" w:hAnsi="Arial"/>
                <w:sz w:val="18"/>
                <w:szCs w:val="18"/>
                <w:color w:val="auto"/>
              </w:rPr>
              <w:t>Page 2 of 5 pages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4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2"/>
        </w:trPr>
        <w:tc>
          <w:tcPr>
            <w:tcW w:w="680" w:type="dxa"/>
            <w:vAlign w:val="bottom"/>
          </w:tcPr>
          <w:p>
            <w:pPr>
              <w:ind w:left="380"/>
              <w:spacing w:after="0"/>
              <w:rPr>
                <w:sz w:val="20"/>
                <w:szCs w:val="20"/>
                <w:color w:val="auto"/>
              </w:rPr>
            </w:pPr>
            <w:r>
              <w:rPr>
                <w:rFonts w:ascii="Arial" w:cs="Arial" w:eastAsia="Arial" w:hAnsi="Arial"/>
                <w:sz w:val="18"/>
                <w:szCs w:val="18"/>
                <w:color w:val="auto"/>
              </w:rPr>
              <w:t>(a)</w:t>
            </w:r>
          </w:p>
        </w:tc>
        <w:tc>
          <w:tcPr>
            <w:tcW w:w="4460" w:type="dxa"/>
            <w:vAlign w:val="bottom"/>
          </w:tcPr>
          <w:p>
            <w:pPr>
              <w:ind w:left="100"/>
              <w:spacing w:after="0"/>
              <w:rPr>
                <w:sz w:val="20"/>
                <w:szCs w:val="20"/>
                <w:color w:val="auto"/>
              </w:rPr>
            </w:pPr>
            <w:r>
              <w:rPr>
                <w:rFonts w:ascii="Arial" w:cs="Arial" w:eastAsia="Arial" w:hAnsi="Arial"/>
                <w:sz w:val="18"/>
                <w:szCs w:val="18"/>
                <w:color w:val="auto"/>
              </w:rPr>
              <w:t>Name of Issuer</w:t>
            </w:r>
          </w:p>
        </w:tc>
        <w:tc>
          <w:tcPr>
            <w:tcW w:w="3520" w:type="dxa"/>
            <w:vAlign w:val="bottom"/>
          </w:tcPr>
          <w:p>
            <w:pPr>
              <w:ind w:left="960"/>
              <w:spacing w:after="0"/>
              <w:rPr>
                <w:sz w:val="20"/>
                <w:szCs w:val="20"/>
                <w:color w:val="auto"/>
              </w:rPr>
            </w:pPr>
            <w:r>
              <w:rPr>
                <w:rFonts w:ascii="Arial" w:cs="Arial" w:eastAsia="Arial" w:hAnsi="Arial"/>
                <w:sz w:val="18"/>
                <w:szCs w:val="18"/>
                <w:color w:val="auto"/>
                <w:w w:val="92"/>
              </w:rPr>
              <w:t>Helix Energy Solutions Group, Inc.</w:t>
            </w:r>
          </w:p>
        </w:tc>
      </w:tr>
      <w:tr>
        <w:trPr>
          <w:trHeight w:val="418"/>
        </w:trPr>
        <w:tc>
          <w:tcPr>
            <w:tcW w:w="680" w:type="dxa"/>
            <w:vAlign w:val="bottom"/>
          </w:tcPr>
          <w:p>
            <w:pPr>
              <w:ind w:left="380"/>
              <w:spacing w:after="0"/>
              <w:rPr>
                <w:sz w:val="20"/>
                <w:szCs w:val="20"/>
                <w:color w:val="auto"/>
              </w:rPr>
            </w:pPr>
            <w:r>
              <w:rPr>
                <w:rFonts w:ascii="Arial" w:cs="Arial" w:eastAsia="Arial" w:hAnsi="Arial"/>
                <w:sz w:val="18"/>
                <w:szCs w:val="18"/>
                <w:color w:val="auto"/>
              </w:rPr>
              <w:t>(b)</w:t>
            </w:r>
          </w:p>
        </w:tc>
        <w:tc>
          <w:tcPr>
            <w:tcW w:w="4460" w:type="dxa"/>
            <w:vAlign w:val="bottom"/>
          </w:tcPr>
          <w:p>
            <w:pPr>
              <w:ind w:left="100"/>
              <w:spacing w:after="0"/>
              <w:rPr>
                <w:sz w:val="20"/>
                <w:szCs w:val="20"/>
                <w:color w:val="auto"/>
              </w:rPr>
            </w:pPr>
            <w:r>
              <w:rPr>
                <w:rFonts w:ascii="Arial" w:cs="Arial" w:eastAsia="Arial" w:hAnsi="Arial"/>
                <w:sz w:val="18"/>
                <w:szCs w:val="18"/>
                <w:color w:val="auto"/>
              </w:rPr>
              <w:t>Address of Issuer’s Principal Executive Offices</w:t>
            </w:r>
          </w:p>
        </w:tc>
        <w:tc>
          <w:tcPr>
            <w:tcW w:w="3520" w:type="dxa"/>
            <w:vAlign w:val="bottom"/>
          </w:tcPr>
          <w:p>
            <w:pPr>
              <w:ind w:left="960"/>
              <w:spacing w:after="0"/>
              <w:rPr>
                <w:sz w:val="20"/>
                <w:szCs w:val="20"/>
                <w:color w:val="auto"/>
              </w:rPr>
            </w:pPr>
            <w:r>
              <w:rPr>
                <w:rFonts w:ascii="Arial" w:cs="Arial" w:eastAsia="Arial" w:hAnsi="Arial"/>
                <w:sz w:val="18"/>
                <w:szCs w:val="18"/>
                <w:color w:val="auto"/>
                <w:w w:val="96"/>
              </w:rPr>
              <w:t>400 N. Sam Houston Parkway E.</w:t>
            </w:r>
          </w:p>
        </w:tc>
      </w:tr>
      <w:tr>
        <w:trPr>
          <w:trHeight w:val="216"/>
        </w:trPr>
        <w:tc>
          <w:tcPr>
            <w:tcW w:w="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520" w:type="dxa"/>
            <w:vAlign w:val="bottom"/>
          </w:tcPr>
          <w:p>
            <w:pPr>
              <w:ind w:left="960"/>
              <w:spacing w:after="0"/>
              <w:rPr>
                <w:sz w:val="20"/>
                <w:szCs w:val="20"/>
                <w:color w:val="auto"/>
              </w:rPr>
            </w:pPr>
            <w:r>
              <w:rPr>
                <w:rFonts w:ascii="Arial" w:cs="Arial" w:eastAsia="Arial" w:hAnsi="Arial"/>
                <w:sz w:val="18"/>
                <w:szCs w:val="18"/>
                <w:color w:val="auto"/>
              </w:rPr>
              <w:t>Suite 400</w:t>
            </w:r>
          </w:p>
        </w:tc>
      </w:tr>
      <w:tr>
        <w:trPr>
          <w:trHeight w:val="230"/>
        </w:trPr>
        <w:tc>
          <w:tcPr>
            <w:tcW w:w="6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520" w:type="dxa"/>
            <w:vAlign w:val="bottom"/>
          </w:tcPr>
          <w:p>
            <w:pPr>
              <w:ind w:left="960"/>
              <w:spacing w:after="0"/>
              <w:rPr>
                <w:sz w:val="20"/>
                <w:szCs w:val="20"/>
                <w:color w:val="auto"/>
              </w:rPr>
            </w:pPr>
            <w:r>
              <w:rPr>
                <w:rFonts w:ascii="Arial" w:cs="Arial" w:eastAsia="Arial" w:hAnsi="Arial"/>
                <w:sz w:val="18"/>
                <w:szCs w:val="18"/>
                <w:color w:val="auto"/>
              </w:rPr>
              <w:t>Houston, Texas 77060</w:t>
            </w:r>
          </w:p>
        </w:tc>
      </w:tr>
      <w:tr>
        <w:trPr>
          <w:trHeight w:val="405"/>
        </w:trPr>
        <w:tc>
          <w:tcPr>
            <w:tcW w:w="6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2"/>
        </w:trPr>
        <w:tc>
          <w:tcPr>
            <w:tcW w:w="680" w:type="dxa"/>
            <w:vAlign w:val="bottom"/>
          </w:tcPr>
          <w:p>
            <w:pPr>
              <w:ind w:left="380"/>
              <w:spacing w:after="0"/>
              <w:rPr>
                <w:sz w:val="20"/>
                <w:szCs w:val="20"/>
                <w:color w:val="auto"/>
              </w:rPr>
            </w:pPr>
            <w:r>
              <w:rPr>
                <w:rFonts w:ascii="Arial" w:cs="Arial" w:eastAsia="Arial" w:hAnsi="Arial"/>
                <w:sz w:val="18"/>
                <w:szCs w:val="18"/>
                <w:color w:val="auto"/>
              </w:rPr>
              <w:t>(a)</w:t>
            </w:r>
          </w:p>
        </w:tc>
        <w:tc>
          <w:tcPr>
            <w:tcW w:w="4460" w:type="dxa"/>
            <w:vAlign w:val="bottom"/>
          </w:tcPr>
          <w:p>
            <w:pPr>
              <w:ind w:left="100"/>
              <w:spacing w:after="0"/>
              <w:rPr>
                <w:sz w:val="20"/>
                <w:szCs w:val="20"/>
                <w:color w:val="auto"/>
              </w:rPr>
            </w:pPr>
            <w:r>
              <w:rPr>
                <w:rFonts w:ascii="Arial" w:cs="Arial" w:eastAsia="Arial" w:hAnsi="Arial"/>
                <w:sz w:val="18"/>
                <w:szCs w:val="18"/>
                <w:color w:val="auto"/>
              </w:rPr>
              <w:t>Name of Person Filing</w:t>
            </w:r>
          </w:p>
        </w:tc>
        <w:tc>
          <w:tcPr>
            <w:tcW w:w="3520" w:type="dxa"/>
            <w:vAlign w:val="bottom"/>
          </w:tcPr>
          <w:p>
            <w:pPr>
              <w:ind w:left="960"/>
              <w:spacing w:after="0"/>
              <w:rPr>
                <w:sz w:val="20"/>
                <w:szCs w:val="20"/>
                <w:color w:val="auto"/>
              </w:rPr>
            </w:pPr>
            <w:r>
              <w:rPr>
                <w:rFonts w:ascii="Arial" w:cs="Arial" w:eastAsia="Arial" w:hAnsi="Arial"/>
                <w:sz w:val="18"/>
                <w:szCs w:val="18"/>
                <w:color w:val="auto"/>
              </w:rPr>
              <w:t>Owen Kratz</w:t>
            </w:r>
          </w:p>
        </w:tc>
      </w:tr>
      <w:tr>
        <w:trPr>
          <w:trHeight w:val="418"/>
        </w:trPr>
        <w:tc>
          <w:tcPr>
            <w:tcW w:w="680" w:type="dxa"/>
            <w:vAlign w:val="bottom"/>
          </w:tcPr>
          <w:p>
            <w:pPr>
              <w:ind w:left="380"/>
              <w:spacing w:after="0"/>
              <w:rPr>
                <w:sz w:val="20"/>
                <w:szCs w:val="20"/>
                <w:color w:val="auto"/>
              </w:rPr>
            </w:pPr>
            <w:r>
              <w:rPr>
                <w:rFonts w:ascii="Arial" w:cs="Arial" w:eastAsia="Arial" w:hAnsi="Arial"/>
                <w:sz w:val="18"/>
                <w:szCs w:val="18"/>
                <w:color w:val="auto"/>
              </w:rPr>
              <w:t>(b)</w:t>
            </w:r>
          </w:p>
        </w:tc>
        <w:tc>
          <w:tcPr>
            <w:tcW w:w="4460" w:type="dxa"/>
            <w:vAlign w:val="bottom"/>
          </w:tcPr>
          <w:p>
            <w:pPr>
              <w:ind w:left="100"/>
              <w:spacing w:after="0"/>
              <w:rPr>
                <w:sz w:val="20"/>
                <w:szCs w:val="20"/>
                <w:color w:val="auto"/>
              </w:rPr>
            </w:pPr>
            <w:r>
              <w:rPr>
                <w:rFonts w:ascii="Arial" w:cs="Arial" w:eastAsia="Arial" w:hAnsi="Arial"/>
                <w:sz w:val="18"/>
                <w:szCs w:val="18"/>
                <w:color w:val="auto"/>
              </w:rPr>
              <w:t>Address of Principal Business Offices</w:t>
            </w:r>
          </w:p>
        </w:tc>
        <w:tc>
          <w:tcPr>
            <w:tcW w:w="3520" w:type="dxa"/>
            <w:vAlign w:val="bottom"/>
          </w:tcPr>
          <w:p>
            <w:pPr>
              <w:ind w:left="960"/>
              <w:spacing w:after="0"/>
              <w:rPr>
                <w:sz w:val="20"/>
                <w:szCs w:val="20"/>
                <w:color w:val="auto"/>
              </w:rPr>
            </w:pPr>
            <w:r>
              <w:rPr>
                <w:rFonts w:ascii="Arial" w:cs="Arial" w:eastAsia="Arial" w:hAnsi="Arial"/>
                <w:sz w:val="18"/>
                <w:szCs w:val="18"/>
                <w:color w:val="auto"/>
                <w:w w:val="96"/>
              </w:rPr>
              <w:t>400 N. Sam Houston Parkway E.</w:t>
            </w:r>
          </w:p>
        </w:tc>
      </w:tr>
      <w:tr>
        <w:trPr>
          <w:trHeight w:val="216"/>
        </w:trPr>
        <w:tc>
          <w:tcPr>
            <w:tcW w:w="6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520" w:type="dxa"/>
            <w:vAlign w:val="bottom"/>
          </w:tcPr>
          <w:p>
            <w:pPr>
              <w:ind w:left="960"/>
              <w:spacing w:after="0"/>
              <w:rPr>
                <w:sz w:val="20"/>
                <w:szCs w:val="20"/>
                <w:color w:val="auto"/>
              </w:rPr>
            </w:pPr>
            <w:r>
              <w:rPr>
                <w:rFonts w:ascii="Arial" w:cs="Arial" w:eastAsia="Arial" w:hAnsi="Arial"/>
                <w:sz w:val="18"/>
                <w:szCs w:val="18"/>
                <w:color w:val="auto"/>
              </w:rPr>
              <w:t>Suite 400</w:t>
            </w:r>
          </w:p>
        </w:tc>
      </w:tr>
      <w:tr>
        <w:trPr>
          <w:trHeight w:val="230"/>
        </w:trPr>
        <w:tc>
          <w:tcPr>
            <w:tcW w:w="6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520" w:type="dxa"/>
            <w:vAlign w:val="bottom"/>
          </w:tcPr>
          <w:p>
            <w:pPr>
              <w:ind w:left="960"/>
              <w:spacing w:after="0"/>
              <w:rPr>
                <w:sz w:val="20"/>
                <w:szCs w:val="20"/>
                <w:color w:val="auto"/>
              </w:rPr>
            </w:pPr>
            <w:r>
              <w:rPr>
                <w:rFonts w:ascii="Arial" w:cs="Arial" w:eastAsia="Arial" w:hAnsi="Arial"/>
                <w:sz w:val="18"/>
                <w:szCs w:val="18"/>
                <w:color w:val="auto"/>
              </w:rPr>
              <w:t>Houston, Texas 77060</w:t>
            </w:r>
          </w:p>
        </w:tc>
      </w:tr>
      <w:tr>
        <w:trPr>
          <w:trHeight w:val="432"/>
        </w:trPr>
        <w:tc>
          <w:tcPr>
            <w:tcW w:w="680" w:type="dxa"/>
            <w:vAlign w:val="bottom"/>
          </w:tcPr>
          <w:p>
            <w:pPr>
              <w:ind w:left="380"/>
              <w:spacing w:after="0"/>
              <w:rPr>
                <w:sz w:val="20"/>
                <w:szCs w:val="20"/>
                <w:color w:val="auto"/>
              </w:rPr>
            </w:pPr>
            <w:r>
              <w:rPr>
                <w:rFonts w:ascii="Arial" w:cs="Arial" w:eastAsia="Arial" w:hAnsi="Arial"/>
                <w:sz w:val="18"/>
                <w:szCs w:val="18"/>
                <w:color w:val="auto"/>
              </w:rPr>
              <w:t>(c)</w:t>
            </w:r>
          </w:p>
        </w:tc>
        <w:tc>
          <w:tcPr>
            <w:tcW w:w="4460" w:type="dxa"/>
            <w:vAlign w:val="bottom"/>
          </w:tcPr>
          <w:p>
            <w:pPr>
              <w:ind w:left="100"/>
              <w:spacing w:after="0"/>
              <w:rPr>
                <w:sz w:val="20"/>
                <w:szCs w:val="20"/>
                <w:color w:val="auto"/>
              </w:rPr>
            </w:pPr>
            <w:r>
              <w:rPr>
                <w:rFonts w:ascii="Arial" w:cs="Arial" w:eastAsia="Arial" w:hAnsi="Arial"/>
                <w:sz w:val="18"/>
                <w:szCs w:val="18"/>
                <w:color w:val="auto"/>
              </w:rPr>
              <w:t>Citizenship</w:t>
            </w:r>
          </w:p>
        </w:tc>
        <w:tc>
          <w:tcPr>
            <w:tcW w:w="3520" w:type="dxa"/>
            <w:vAlign w:val="bottom"/>
          </w:tcPr>
          <w:p>
            <w:pPr>
              <w:ind w:left="960"/>
              <w:spacing w:after="0"/>
              <w:rPr>
                <w:sz w:val="20"/>
                <w:szCs w:val="20"/>
                <w:color w:val="auto"/>
              </w:rPr>
            </w:pPr>
            <w:r>
              <w:rPr>
                <w:rFonts w:ascii="Arial" w:cs="Arial" w:eastAsia="Arial" w:hAnsi="Arial"/>
                <w:sz w:val="18"/>
                <w:szCs w:val="18"/>
                <w:color w:val="auto"/>
              </w:rPr>
              <w:t>United States</w:t>
            </w:r>
          </w:p>
        </w:tc>
      </w:tr>
      <w:tr>
        <w:trPr>
          <w:trHeight w:val="432"/>
        </w:trPr>
        <w:tc>
          <w:tcPr>
            <w:tcW w:w="680" w:type="dxa"/>
            <w:vAlign w:val="bottom"/>
          </w:tcPr>
          <w:p>
            <w:pPr>
              <w:ind w:left="380"/>
              <w:spacing w:after="0"/>
              <w:rPr>
                <w:sz w:val="20"/>
                <w:szCs w:val="20"/>
                <w:color w:val="auto"/>
              </w:rPr>
            </w:pPr>
            <w:r>
              <w:rPr>
                <w:rFonts w:ascii="Arial" w:cs="Arial" w:eastAsia="Arial" w:hAnsi="Arial"/>
                <w:sz w:val="18"/>
                <w:szCs w:val="18"/>
                <w:color w:val="auto"/>
              </w:rPr>
              <w:t>(d)</w:t>
            </w:r>
          </w:p>
        </w:tc>
        <w:tc>
          <w:tcPr>
            <w:tcW w:w="4460" w:type="dxa"/>
            <w:vAlign w:val="bottom"/>
          </w:tcPr>
          <w:p>
            <w:pPr>
              <w:ind w:left="100"/>
              <w:spacing w:after="0"/>
              <w:rPr>
                <w:sz w:val="20"/>
                <w:szCs w:val="20"/>
                <w:color w:val="auto"/>
              </w:rPr>
            </w:pPr>
            <w:r>
              <w:rPr>
                <w:rFonts w:ascii="Arial" w:cs="Arial" w:eastAsia="Arial" w:hAnsi="Arial"/>
                <w:sz w:val="18"/>
                <w:szCs w:val="18"/>
                <w:color w:val="auto"/>
              </w:rPr>
              <w:t>Title of Class of Securities</w:t>
            </w:r>
          </w:p>
        </w:tc>
        <w:tc>
          <w:tcPr>
            <w:tcW w:w="3520" w:type="dxa"/>
            <w:vAlign w:val="bottom"/>
          </w:tcPr>
          <w:p>
            <w:pPr>
              <w:ind w:left="960"/>
              <w:spacing w:after="0"/>
              <w:rPr>
                <w:sz w:val="20"/>
                <w:szCs w:val="20"/>
                <w:color w:val="auto"/>
              </w:rPr>
            </w:pPr>
            <w:r>
              <w:rPr>
                <w:rFonts w:ascii="Arial" w:cs="Arial" w:eastAsia="Arial" w:hAnsi="Arial"/>
                <w:sz w:val="18"/>
                <w:szCs w:val="18"/>
                <w:color w:val="auto"/>
              </w:rPr>
              <w:t>Common Stock</w:t>
            </w:r>
          </w:p>
        </w:tc>
      </w:tr>
      <w:tr>
        <w:trPr>
          <w:trHeight w:val="432"/>
        </w:trPr>
        <w:tc>
          <w:tcPr>
            <w:tcW w:w="680" w:type="dxa"/>
            <w:vAlign w:val="bottom"/>
          </w:tcPr>
          <w:p>
            <w:pPr>
              <w:ind w:left="380"/>
              <w:spacing w:after="0"/>
              <w:rPr>
                <w:sz w:val="20"/>
                <w:szCs w:val="20"/>
                <w:color w:val="auto"/>
              </w:rPr>
            </w:pPr>
            <w:r>
              <w:rPr>
                <w:rFonts w:ascii="Arial" w:cs="Arial" w:eastAsia="Arial" w:hAnsi="Arial"/>
                <w:sz w:val="18"/>
                <w:szCs w:val="18"/>
                <w:color w:val="auto"/>
              </w:rPr>
              <w:t>(e)</w:t>
            </w:r>
          </w:p>
        </w:tc>
        <w:tc>
          <w:tcPr>
            <w:tcW w:w="4460" w:type="dxa"/>
            <w:vAlign w:val="bottom"/>
          </w:tcPr>
          <w:p>
            <w:pPr>
              <w:ind w:left="100"/>
              <w:spacing w:after="0"/>
              <w:rPr>
                <w:sz w:val="20"/>
                <w:szCs w:val="20"/>
                <w:color w:val="auto"/>
              </w:rPr>
            </w:pPr>
            <w:r>
              <w:rPr>
                <w:rFonts w:ascii="Arial" w:cs="Arial" w:eastAsia="Arial" w:hAnsi="Arial"/>
                <w:sz w:val="18"/>
                <w:szCs w:val="18"/>
                <w:color w:val="auto"/>
              </w:rPr>
              <w:t>CUSIP Number</w:t>
            </w:r>
          </w:p>
        </w:tc>
        <w:tc>
          <w:tcPr>
            <w:tcW w:w="3520" w:type="dxa"/>
            <w:vAlign w:val="bottom"/>
          </w:tcPr>
          <w:p>
            <w:pPr>
              <w:ind w:left="960"/>
              <w:spacing w:after="0"/>
              <w:rPr>
                <w:sz w:val="20"/>
                <w:szCs w:val="20"/>
                <w:color w:val="auto"/>
              </w:rPr>
            </w:pPr>
            <w:r>
              <w:rPr>
                <w:rFonts w:ascii="Arial" w:cs="Arial" w:eastAsia="Arial" w:hAnsi="Arial"/>
                <w:sz w:val="18"/>
                <w:szCs w:val="18"/>
                <w:color w:val="auto"/>
              </w:rPr>
              <w:t>42330P107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This statement on Schedule 13G is not being filed pursuant to Rule 13d-1(b), 13d-2(b) or 13d-2(c).</w:t>
      </w:r>
    </w:p>
    <w:p>
      <w:pPr>
        <w:spacing w:after="0" w:line="225" w:lineRule="exact"/>
        <w:rPr>
          <w:sz w:val="20"/>
          <w:szCs w:val="20"/>
          <w:color w:val="auto"/>
        </w:rPr>
      </w:pPr>
    </w:p>
    <w:p>
      <w:pPr>
        <w:ind w:left="1360" w:hanging="395"/>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25" w:lineRule="exact"/>
        <w:rPr>
          <w:rFonts w:ascii="Arial" w:cs="Arial" w:eastAsia="Arial" w:hAnsi="Arial"/>
          <w:sz w:val="18"/>
          <w:szCs w:val="18"/>
          <w:color w:val="auto"/>
        </w:rPr>
      </w:pPr>
    </w:p>
    <w:p>
      <w:pPr>
        <w:ind w:left="1360" w:hanging="395"/>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25" w:lineRule="exact"/>
        <w:rPr>
          <w:rFonts w:ascii="Arial" w:cs="Arial" w:eastAsia="Arial" w:hAnsi="Arial"/>
          <w:sz w:val="18"/>
          <w:szCs w:val="18"/>
          <w:color w:val="auto"/>
        </w:rPr>
      </w:pPr>
    </w:p>
    <w:p>
      <w:pPr>
        <w:ind w:left="1360" w:hanging="395"/>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25" w:lineRule="exact"/>
        <w:rPr>
          <w:rFonts w:ascii="Arial" w:cs="Arial" w:eastAsia="Arial" w:hAnsi="Arial"/>
          <w:sz w:val="18"/>
          <w:szCs w:val="18"/>
          <w:color w:val="auto"/>
        </w:rPr>
      </w:pPr>
    </w:p>
    <w:p>
      <w:pPr>
        <w:ind w:left="1360" w:hanging="395"/>
        <w:spacing w:after="0"/>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   Investment company registered under section 8 of the Investment Company Act of 1940 (15 U.S.C 80a-8).</w:t>
      </w:r>
    </w:p>
    <w:p>
      <w:pPr>
        <w:spacing w:after="0" w:line="248" w:lineRule="exact"/>
        <w:rPr>
          <w:rFonts w:ascii="Arial" w:cs="Arial" w:eastAsia="Arial" w:hAnsi="Arial"/>
          <w:sz w:val="16"/>
          <w:szCs w:val="16"/>
          <w:color w:val="auto"/>
        </w:rPr>
      </w:pPr>
    </w:p>
    <w:p>
      <w:pPr>
        <w:ind w:left="1360" w:hanging="395"/>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225" w:lineRule="exact"/>
        <w:rPr>
          <w:rFonts w:ascii="Arial" w:cs="Arial" w:eastAsia="Arial" w:hAnsi="Arial"/>
          <w:sz w:val="18"/>
          <w:szCs w:val="18"/>
          <w:color w:val="auto"/>
        </w:rPr>
      </w:pPr>
    </w:p>
    <w:p>
      <w:pPr>
        <w:ind w:left="1360" w:hanging="395"/>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25" w:lineRule="exact"/>
        <w:rPr>
          <w:rFonts w:ascii="Arial" w:cs="Arial" w:eastAsia="Arial" w:hAnsi="Arial"/>
          <w:sz w:val="18"/>
          <w:szCs w:val="18"/>
          <w:color w:val="auto"/>
        </w:rPr>
      </w:pPr>
    </w:p>
    <w:p>
      <w:pPr>
        <w:ind w:left="1360" w:hanging="395"/>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225" w:lineRule="exact"/>
        <w:rPr>
          <w:rFonts w:ascii="Arial" w:cs="Arial" w:eastAsia="Arial" w:hAnsi="Arial"/>
          <w:sz w:val="18"/>
          <w:szCs w:val="18"/>
          <w:color w:val="auto"/>
        </w:rPr>
      </w:pPr>
    </w:p>
    <w:p>
      <w:pPr>
        <w:ind w:left="1360" w:hanging="395"/>
        <w:spacing w:after="0"/>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   A savings associations as defined in Section 3(b) of the Federal Deposit Insurance Act (12 U.S.C. 1813);</w:t>
      </w:r>
    </w:p>
    <w:p>
      <w:pPr>
        <w:spacing w:after="0" w:line="248" w:lineRule="exact"/>
        <w:rPr>
          <w:rFonts w:ascii="Arial" w:cs="Arial" w:eastAsia="Arial" w:hAnsi="Arial"/>
          <w:sz w:val="16"/>
          <w:szCs w:val="16"/>
          <w:color w:val="auto"/>
        </w:rPr>
      </w:pPr>
    </w:p>
    <w:p>
      <w:pPr>
        <w:ind w:left="1740" w:right="479" w:hanging="775"/>
        <w:spacing w:after="0" w:line="277" w:lineRule="auto"/>
        <w:tabs>
          <w:tab w:leader="none" w:pos="1362"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60" w:hanging="395"/>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ind w:left="8"/>
        <w:spacing w:after="0"/>
        <w:rPr>
          <w:sz w:val="20"/>
          <w:szCs w:val="20"/>
          <w:color w:val="auto"/>
        </w:rPr>
      </w:pPr>
      <w:r>
        <w:rPr>
          <w:rFonts w:ascii="Arial" w:cs="Arial" w:eastAsia="Arial" w:hAnsi="Arial"/>
          <w:sz w:val="18"/>
          <w:szCs w:val="18"/>
          <w:b w:val="1"/>
          <w:bCs w:val="1"/>
          <w:color w:val="auto"/>
        </w:rPr>
        <w:t>Item 4. Ownership</w:t>
      </w:r>
    </w:p>
    <w:p>
      <w:pPr>
        <w:spacing w:after="0" w:line="202" w:lineRule="exact"/>
        <w:rPr>
          <w:sz w:val="20"/>
          <w:szCs w:val="20"/>
          <w:color w:val="auto"/>
        </w:rPr>
      </w:pPr>
    </w:p>
    <w:p>
      <w:pPr>
        <w:ind w:left="8" w:right="319" w:firstLine="194"/>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0" w:lineRule="exact"/>
        <w:rPr>
          <w:sz w:val="20"/>
          <w:szCs w:val="20"/>
          <w:color w:val="auto"/>
        </w:rPr>
      </w:pPr>
    </w:p>
    <w:p>
      <w:pPr>
        <w:ind w:left="388"/>
        <w:spacing w:after="0"/>
        <w:tabs>
          <w:tab w:leader="none" w:pos="727" w:val="left"/>
          <w:tab w:leader="none" w:pos="3187" w:val="left"/>
        </w:tabs>
        <w:rPr>
          <w:sz w:val="20"/>
          <w:szCs w:val="20"/>
          <w:color w:val="auto"/>
        </w:rPr>
      </w:pPr>
      <w:r>
        <w:rPr>
          <w:rFonts w:ascii="Arial" w:cs="Arial" w:eastAsia="Arial" w:hAnsi="Arial"/>
          <w:sz w:val="18"/>
          <w:szCs w:val="18"/>
          <w:color w:val="auto"/>
        </w:rPr>
        <w:t>(a)</w:t>
        <w:tab/>
        <w:t>Amount Beneficially Owned:</w:t>
      </w:r>
      <w:r>
        <w:rPr>
          <w:sz w:val="20"/>
          <w:szCs w:val="20"/>
          <w:color w:val="auto"/>
        </w:rPr>
        <w:tab/>
      </w:r>
      <w:r>
        <w:rPr>
          <w:rFonts w:ascii="Arial" w:cs="Arial" w:eastAsia="Arial" w:hAnsi="Arial"/>
          <w:sz w:val="16"/>
          <w:szCs w:val="16"/>
          <w:color w:val="auto"/>
        </w:rPr>
        <w:t>5,384,342</w:t>
      </w:r>
    </w:p>
    <w:p>
      <w:pPr>
        <w:spacing w:after="0" w:line="104" w:lineRule="exact"/>
        <w:rPr>
          <w:sz w:val="20"/>
          <w:szCs w:val="20"/>
          <w:color w:val="auto"/>
        </w:rPr>
      </w:pPr>
    </w:p>
    <w:p>
      <w:pPr>
        <w:ind w:left="388"/>
        <w:spacing w:after="0"/>
        <w:tabs>
          <w:tab w:leader="none" w:pos="727" w:val="left"/>
          <w:tab w:leader="none" w:pos="2907" w:val="left"/>
        </w:tabs>
        <w:rPr>
          <w:sz w:val="20"/>
          <w:szCs w:val="20"/>
          <w:color w:val="auto"/>
        </w:rPr>
      </w:pPr>
      <w:r>
        <w:rPr>
          <w:rFonts w:ascii="Arial" w:cs="Arial" w:eastAsia="Arial" w:hAnsi="Arial"/>
          <w:sz w:val="18"/>
          <w:szCs w:val="18"/>
          <w:color w:val="auto"/>
        </w:rPr>
        <w:t>(b)</w:t>
        <w:tab/>
        <w:t xml:space="preserve">Percent of Class: </w:t>
      </w:r>
      <w:r>
        <w:rPr>
          <w:rFonts w:ascii="Arial" w:cs="Arial" w:eastAsia="Arial" w:hAnsi="Arial"/>
          <w:sz w:val="18"/>
          <w:szCs w:val="18"/>
          <w:u w:val="single" w:color="auto"/>
          <w:color w:val="auto"/>
        </w:rPr>
        <w:t>5.9%</w:t>
      </w:r>
      <w:r>
        <w:rPr>
          <w:rFonts w:ascii="Arial" w:cs="Arial" w:eastAsia="Arial" w:hAnsi="Arial"/>
          <w:sz w:val="15"/>
          <w:szCs w:val="15"/>
          <w:u w:val="single" w:color="auto"/>
          <w:color w:val="auto"/>
        </w:rPr>
        <w:t>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-10160</wp:posOffset>
            </wp:positionV>
            <wp:extent cx="285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84" w:lineRule="exact"/>
        <w:rPr>
          <w:sz w:val="20"/>
          <w:szCs w:val="20"/>
          <w:color w:val="auto"/>
        </w:rPr>
      </w:pPr>
    </w:p>
    <w:p>
      <w:pPr>
        <w:ind w:left="388"/>
        <w:spacing w:after="0"/>
        <w:tabs>
          <w:tab w:leader="none" w:pos="727"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Number of shares as to which such person has:</w:t>
      </w:r>
    </w:p>
    <w:p>
      <w:pPr>
        <w:spacing w:after="0" w:line="168" w:lineRule="exact"/>
        <w:rPr>
          <w:sz w:val="20"/>
          <w:szCs w:val="20"/>
          <w:color w:val="auto"/>
        </w:rPr>
      </w:pPr>
    </w:p>
    <w:tbl>
      <w:tblPr>
        <w:tblLayout w:type="fixed"/>
        <w:tblInd w:w="768"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3860" w:type="dxa"/>
            <w:vAlign w:val="bottom"/>
            <w:gridSpan w:val="3"/>
          </w:tcPr>
          <w:p>
            <w:pPr>
              <w:ind w:left="60"/>
              <w:spacing w:after="0"/>
              <w:rPr>
                <w:sz w:val="20"/>
                <w:szCs w:val="20"/>
                <w:color w:val="auto"/>
              </w:rPr>
            </w:pPr>
            <w:r>
              <w:rPr>
                <w:rFonts w:ascii="Arial" w:cs="Arial" w:eastAsia="Arial" w:hAnsi="Arial"/>
                <w:sz w:val="18"/>
                <w:szCs w:val="18"/>
                <w:color w:val="auto"/>
                <w:w w:val="94"/>
              </w:rPr>
              <w:t>Sole power to vote or to direct the vote: 4,384,342</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3860" w:type="dxa"/>
            <w:vAlign w:val="bottom"/>
            <w:gridSpan w:val="3"/>
          </w:tcPr>
          <w:p>
            <w:pPr>
              <w:ind w:left="60"/>
              <w:spacing w:after="0"/>
              <w:rPr>
                <w:sz w:val="20"/>
                <w:szCs w:val="20"/>
                <w:color w:val="auto"/>
              </w:rPr>
            </w:pPr>
            <w:r>
              <w:rPr>
                <w:rFonts w:ascii="Arial" w:cs="Arial" w:eastAsia="Arial" w:hAnsi="Arial"/>
                <w:sz w:val="18"/>
                <w:szCs w:val="18"/>
                <w:color w:val="auto"/>
                <w:w w:val="89"/>
              </w:rPr>
              <w:t>Shared power to vote or to direct the vote: 1,000,000</w:t>
            </w:r>
          </w:p>
        </w:tc>
        <w:tc>
          <w:tcPr>
            <w:tcW w:w="118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5040" w:type="dxa"/>
            <w:vAlign w:val="bottom"/>
            <w:gridSpan w:val="7"/>
          </w:tcPr>
          <w:p>
            <w:pPr>
              <w:ind w:left="60"/>
              <w:spacing w:after="0"/>
              <w:rPr>
                <w:sz w:val="20"/>
                <w:szCs w:val="20"/>
                <w:color w:val="auto"/>
              </w:rPr>
            </w:pPr>
            <w:r>
              <w:rPr>
                <w:rFonts w:ascii="Arial" w:cs="Arial" w:eastAsia="Arial" w:hAnsi="Arial"/>
                <w:sz w:val="18"/>
                <w:szCs w:val="18"/>
                <w:color w:val="auto"/>
                <w:w w:val="99"/>
              </w:rPr>
              <w:t>Sole power to dispose or to direct the disposition of: 4,384,342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0"/>
              </w:rPr>
              <w:t>.</w:t>
            </w:r>
          </w:p>
        </w:tc>
        <w:tc>
          <w:tcPr>
            <w:tcW w:w="4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20" w:type="dxa"/>
            <w:vAlign w:val="bottom"/>
          </w:tcPr>
          <w:p>
            <w:pPr>
              <w:spacing w:after="0"/>
              <w:rPr>
                <w:sz w:val="20"/>
                <w:szCs w:val="20"/>
                <w:color w:val="auto"/>
              </w:rPr>
            </w:pPr>
            <w:r>
              <w:rPr>
                <w:rFonts w:ascii="Arial" w:cs="Arial" w:eastAsia="Arial" w:hAnsi="Arial"/>
                <w:sz w:val="18"/>
                <w:szCs w:val="18"/>
                <w:color w:val="auto"/>
              </w:rPr>
              <w:t>(iv)</w:t>
            </w:r>
          </w:p>
        </w:tc>
        <w:tc>
          <w:tcPr>
            <w:tcW w:w="5040" w:type="dxa"/>
            <w:vAlign w:val="bottom"/>
            <w:gridSpan w:val="7"/>
          </w:tcPr>
          <w:p>
            <w:pPr>
              <w:ind w:left="60"/>
              <w:spacing w:after="0"/>
              <w:rPr>
                <w:sz w:val="20"/>
                <w:szCs w:val="20"/>
                <w:color w:val="auto"/>
              </w:rPr>
            </w:pPr>
            <w:r>
              <w:rPr>
                <w:rFonts w:ascii="Arial" w:cs="Arial" w:eastAsia="Arial" w:hAnsi="Arial"/>
                <w:sz w:val="18"/>
                <w:szCs w:val="18"/>
                <w:color w:val="auto"/>
                <w:w w:val="95"/>
              </w:rPr>
              <w:t>Shared power to dispose or to direct the disposition of: 1,000,000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8" w:right="199"/>
        <w:spacing w:after="0" w:line="255" w:lineRule="auto"/>
        <w:rPr>
          <w:sz w:val="20"/>
          <w:szCs w:val="20"/>
          <w:color w:val="auto"/>
        </w:rPr>
      </w:pPr>
      <w:r>
        <w:rPr>
          <w:rFonts w:ascii="Arial" w:cs="Arial" w:eastAsia="Arial" w:hAnsi="Arial"/>
          <w:sz w:val="18"/>
          <w:szCs w:val="18"/>
          <w:color w:val="auto"/>
        </w:rPr>
        <w:t>The foregoing stock ownership figures include 1,000,000 shares of common stock held by Joss Investments Limited Partnership, an entity of which Mr. Kratz is a general partner. Mr Kratz disclaims beneficial ownership of the shares held by Joss Investments Limited Partnership for purposes of Sections 13(d) and 13(g) of the Securities Exchange Act. Voting and dispositive power over the shares held by Joss Investments Limited Partnership are held by the two general partners who must each approve all such actions. The foregoing stock ownership also includes 29,232 shares purchasable pursuant to options that will vest within 60 days of December 31, 2007.</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89" w:lineRule="exact"/>
        <w:rPr>
          <w:sz w:val="20"/>
          <w:szCs w:val="20"/>
          <w:color w:val="auto"/>
        </w:rPr>
      </w:pPr>
    </w:p>
    <w:p>
      <w:pPr>
        <w:ind w:left="388" w:right="459"/>
        <w:spacing w:after="0" w:line="277" w:lineRule="auto"/>
        <w:rPr>
          <w:sz w:val="20"/>
          <w:szCs w:val="20"/>
          <w:color w:val="auto"/>
        </w:rPr>
      </w:pPr>
      <w:r>
        <w:rPr>
          <w:rFonts w:ascii="Arial" w:cs="Arial" w:eastAsia="Arial" w:hAnsi="Arial"/>
          <w:sz w:val="18"/>
          <w:szCs w:val="18"/>
          <w:color w:val="auto"/>
        </w:rPr>
        <w:t>If this statement is being filed to report that as of the date hereof the reporting person has ceased to be the beneficial owner of more than five percent of the class of securities, check the following. o</w:t>
      </w:r>
    </w:p>
    <w:p>
      <w:pPr>
        <w:spacing w:after="0" w:line="143" w:lineRule="exact"/>
        <w:rPr>
          <w:sz w:val="20"/>
          <w:szCs w:val="20"/>
          <w:color w:val="auto"/>
        </w:rPr>
      </w:pPr>
    </w:p>
    <w:p>
      <w:pPr>
        <w:ind w:left="388"/>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89" w:lineRule="exact"/>
        <w:rPr>
          <w:sz w:val="20"/>
          <w:szCs w:val="20"/>
          <w:color w:val="auto"/>
        </w:rPr>
      </w:pPr>
    </w:p>
    <w:p>
      <w:pPr>
        <w:ind w:left="388"/>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8" w:right="639"/>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2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2" w:lineRule="exact"/>
        <w:rPr>
          <w:sz w:val="20"/>
          <w:szCs w:val="20"/>
          <w:color w:val="auto"/>
        </w:rPr>
      </w:pPr>
    </w:p>
    <w:p>
      <w:pPr>
        <w:ind w:left="388"/>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89" w:lineRule="exact"/>
        <w:rPr>
          <w:sz w:val="20"/>
          <w:szCs w:val="20"/>
          <w:color w:val="auto"/>
        </w:rPr>
      </w:pPr>
    </w:p>
    <w:p>
      <w:pPr>
        <w:ind w:left="388"/>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10. Certification</w:t>
      </w:r>
    </w:p>
    <w:p>
      <w:pPr>
        <w:spacing w:after="0" w:line="189" w:lineRule="exact"/>
        <w:rPr>
          <w:sz w:val="20"/>
          <w:szCs w:val="20"/>
          <w:color w:val="auto"/>
        </w:rPr>
      </w:pPr>
    </w:p>
    <w:p>
      <w:pPr>
        <w:ind w:left="388" w:right="179"/>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1115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4228" w:right="4399" w:hanging="4228"/>
        <w:spacing w:after="0" w:line="1170" w:lineRule="auto"/>
        <w:tabs>
          <w:tab w:leader="none" w:pos="122" w:val="left"/>
        </w:tabs>
        <w:numPr>
          <w:ilvl w:val="0"/>
          <w:numId w:val="3"/>
        </w:numPr>
        <w:rPr>
          <w:rFonts w:ascii="Arial" w:cs="Arial" w:eastAsia="Arial" w:hAnsi="Arial"/>
          <w:sz w:val="13"/>
          <w:szCs w:val="13"/>
          <w:color w:val="auto"/>
        </w:rPr>
      </w:pPr>
      <w:r>
        <w:rPr>
          <w:rFonts w:ascii="Arial" w:cs="Arial" w:eastAsia="Arial" w:hAnsi="Arial"/>
          <w:sz w:val="15"/>
          <w:szCs w:val="15"/>
          <w:color w:val="auto"/>
        </w:rPr>
        <w:t>Based upon 91,385,336 shares outstanding as of December 31, 2007. 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-288290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359" w:firstLine="38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that information set forth in this statement is true, complete and correct.</w:t>
      </w:r>
    </w:p>
    <w:p>
      <w:pPr>
        <w:spacing w:after="0" w:line="170"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February 18,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941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941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941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Name/Title</w:t>
      </w:r>
    </w:p>
    <w:p>
      <w:pPr>
        <w:spacing w:after="0" w:line="185" w:lineRule="exact"/>
        <w:rPr>
          <w:sz w:val="20"/>
          <w:szCs w:val="20"/>
          <w:color w:val="auto"/>
        </w:rPr>
      </w:pPr>
    </w:p>
    <w:p>
      <w:pPr>
        <w:ind w:right="319" w:firstLine="389"/>
        <w:spacing w:after="0" w:line="297" w:lineRule="auto"/>
        <w:rPr>
          <w:sz w:val="20"/>
          <w:szCs w:val="20"/>
          <w:color w:val="auto"/>
        </w:rPr>
      </w:pPr>
      <w:r>
        <w:rPr>
          <w:rFonts w:ascii="Arial" w:cs="Arial" w:eastAsia="Arial" w:hAnsi="Arial"/>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2019-12-13T19:52:21Z</dcterms:created>
  <dcterms:modified xsi:type="dcterms:W3CDTF">2019-12-13T19:52:21Z</dcterms:modified>
</cp:coreProperties>
</file>