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85" w:lineRule="exact"/>
        <w:rPr>
          <w:sz w:val="24"/>
          <w:szCs w:val="24"/>
          <w:color w:val="auto"/>
        </w:rPr>
      </w:pPr>
    </w:p>
    <w:p>
      <w:pPr>
        <w:ind w:left="1820" w:hanging="630"/>
        <w:spacing w:after="0"/>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3580" w:right="1300" w:hanging="2390"/>
        <w:spacing w:after="0" w:line="374" w:lineRule="auto"/>
        <w:tabs>
          <w:tab w:leader="none" w:pos="1816"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from__________ to__________</w:t>
      </w:r>
    </w:p>
    <w:p>
      <w:pPr>
        <w:ind w:left="432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14605</wp:posOffset>
            </wp:positionV>
            <wp:extent cx="121793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93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HELIX ENERGY SOLUTIONS GROUP,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7" w:lineRule="exact"/>
        <w:rPr>
          <w:sz w:val="24"/>
          <w:szCs w:val="24"/>
          <w:color w:val="auto"/>
        </w:rPr>
      </w:pPr>
    </w:p>
    <w:tbl>
      <w:tblPr>
        <w:tblLayout w:type="fixed"/>
        <w:tblInd w:w="840" w:type="dxa"/>
        <w:tblCellMar>
          <w:top w:w="0" w:type="dxa"/>
          <w:left w:w="0" w:type="dxa"/>
          <w:bottom w:w="0" w:type="dxa"/>
          <w:right w:w="0" w:type="dxa"/>
        </w:tblCellMar>
      </w:tblPr>
      <w:tr>
        <w:trPr>
          <w:trHeight w:val="193"/>
        </w:trPr>
        <w:tc>
          <w:tcPr>
            <w:tcW w:w="7000" w:type="dxa"/>
            <w:vAlign w:val="bottom"/>
          </w:tcPr>
          <w:p>
            <w:pPr>
              <w:jc w:val="center"/>
              <w:ind w:right="3099"/>
              <w:spacing w:after="0"/>
              <w:rPr>
                <w:sz w:val="20"/>
                <w:szCs w:val="20"/>
                <w:color w:val="auto"/>
              </w:rPr>
            </w:pPr>
            <w:r>
              <w:rPr>
                <w:rFonts w:ascii="Arial" w:cs="Arial" w:eastAsia="Arial" w:hAnsi="Arial"/>
                <w:sz w:val="16"/>
                <w:szCs w:val="16"/>
                <w:b w:val="1"/>
                <w:bCs w:val="1"/>
                <w:color w:val="auto"/>
              </w:rPr>
              <w:t>Minnesota</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rPr>
              <w:t>95–3409686</w:t>
            </w:r>
          </w:p>
        </w:tc>
      </w:tr>
      <w:tr>
        <w:trPr>
          <w:trHeight w:val="189"/>
        </w:trPr>
        <w:tc>
          <w:tcPr>
            <w:tcW w:w="7000" w:type="dxa"/>
            <w:vAlign w:val="bottom"/>
          </w:tcPr>
          <w:p>
            <w:pPr>
              <w:jc w:val="center"/>
              <w:ind w:right="3099"/>
              <w:spacing w:after="0"/>
              <w:rPr>
                <w:sz w:val="20"/>
                <w:szCs w:val="20"/>
                <w:color w:val="auto"/>
              </w:rPr>
            </w:pPr>
            <w:r>
              <w:rPr>
                <w:rFonts w:ascii="Arial" w:cs="Arial" w:eastAsia="Arial" w:hAnsi="Arial"/>
                <w:sz w:val="16"/>
                <w:szCs w:val="16"/>
                <w:i w:val="1"/>
                <w:iCs w:val="1"/>
                <w:color w:val="auto"/>
              </w:rPr>
              <w:t>(State or other jurisdiction</w:t>
            </w:r>
          </w:p>
        </w:tc>
        <w:tc>
          <w:tcPr>
            <w:tcW w:w="1480" w:type="dxa"/>
            <w:vAlign w:val="bottom"/>
          </w:tcPr>
          <w:p>
            <w:pPr>
              <w:jc w:val="center"/>
              <w:ind w:left="13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7000" w:type="dxa"/>
            <w:vAlign w:val="bottom"/>
          </w:tcPr>
          <w:p>
            <w:pPr>
              <w:jc w:val="center"/>
              <w:ind w:right="3099"/>
              <w:spacing w:after="0"/>
              <w:rPr>
                <w:sz w:val="20"/>
                <w:szCs w:val="20"/>
                <w:color w:val="auto"/>
              </w:rPr>
            </w:pPr>
            <w:r>
              <w:rPr>
                <w:rFonts w:ascii="Arial" w:cs="Arial" w:eastAsia="Arial" w:hAnsi="Arial"/>
                <w:sz w:val="16"/>
                <w:szCs w:val="16"/>
                <w:i w:val="1"/>
                <w:iCs w:val="1"/>
                <w:color w:val="auto"/>
              </w:rPr>
              <w:t>of incorporation or organization)</w:t>
            </w:r>
          </w:p>
        </w:tc>
        <w:tc>
          <w:tcPr>
            <w:tcW w:w="1480" w:type="dxa"/>
            <w:vAlign w:val="bottom"/>
          </w:tcPr>
          <w:p>
            <w:pPr>
              <w:jc w:val="center"/>
              <w:ind w:left="139"/>
              <w:spacing w:after="0"/>
              <w:rPr>
                <w:sz w:val="20"/>
                <w:szCs w:val="20"/>
                <w:color w:val="auto"/>
              </w:rPr>
            </w:pPr>
            <w:r>
              <w:rPr>
                <w:rFonts w:ascii="Arial" w:cs="Arial" w:eastAsia="Arial" w:hAnsi="Arial"/>
                <w:sz w:val="16"/>
                <w:szCs w:val="16"/>
                <w:i w:val="1"/>
                <w:iCs w:val="1"/>
                <w:color w:val="auto"/>
              </w:rPr>
              <w:t>Identification No.)</w:t>
            </w:r>
          </w:p>
        </w:tc>
      </w:tr>
      <w:tr>
        <w:trPr>
          <w:trHeight w:val="515"/>
        </w:trPr>
        <w:tc>
          <w:tcPr>
            <w:tcW w:w="7000" w:type="dxa"/>
            <w:vAlign w:val="bottom"/>
          </w:tcPr>
          <w:p>
            <w:pPr>
              <w:jc w:val="center"/>
              <w:ind w:right="3099"/>
              <w:spacing w:after="0"/>
              <w:rPr>
                <w:sz w:val="20"/>
                <w:szCs w:val="20"/>
                <w:color w:val="auto"/>
              </w:rPr>
            </w:pPr>
            <w:r>
              <w:rPr>
                <w:rFonts w:ascii="Arial" w:cs="Arial" w:eastAsia="Arial" w:hAnsi="Arial"/>
                <w:sz w:val="16"/>
                <w:szCs w:val="16"/>
                <w:b w:val="1"/>
                <w:bCs w:val="1"/>
                <w:color w:val="auto"/>
              </w:rPr>
              <w:t>3505 West Sam Houston Parkway North Suite 400</w:t>
            </w:r>
          </w:p>
        </w:tc>
        <w:tc>
          <w:tcPr>
            <w:tcW w:w="1480" w:type="dxa"/>
            <w:vAlign w:val="bottom"/>
          </w:tcPr>
          <w:p>
            <w:pPr>
              <w:spacing w:after="0"/>
              <w:rPr>
                <w:sz w:val="24"/>
                <w:szCs w:val="24"/>
                <w:color w:val="auto"/>
              </w:rPr>
            </w:pPr>
          </w:p>
        </w:tc>
      </w:tr>
      <w:tr>
        <w:trPr>
          <w:trHeight w:val="193"/>
        </w:trPr>
        <w:tc>
          <w:tcPr>
            <w:tcW w:w="7000" w:type="dxa"/>
            <w:vAlign w:val="bottom"/>
          </w:tcPr>
          <w:p>
            <w:pPr>
              <w:jc w:val="center"/>
              <w:ind w:right="3099"/>
              <w:spacing w:after="0"/>
              <w:rPr>
                <w:sz w:val="20"/>
                <w:szCs w:val="20"/>
                <w:color w:val="auto"/>
              </w:rPr>
            </w:pPr>
            <w:r>
              <w:rPr>
                <w:rFonts w:ascii="Arial" w:cs="Arial" w:eastAsia="Arial" w:hAnsi="Arial"/>
                <w:sz w:val="16"/>
                <w:szCs w:val="16"/>
                <w:b w:val="1"/>
                <w:bCs w:val="1"/>
                <w:color w:val="auto"/>
                <w:w w:val="99"/>
              </w:rPr>
              <w:t>Houston, Texas</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77043</w:t>
            </w:r>
          </w:p>
        </w:tc>
      </w:tr>
      <w:tr>
        <w:trPr>
          <w:trHeight w:val="211"/>
        </w:trPr>
        <w:tc>
          <w:tcPr>
            <w:tcW w:w="7000" w:type="dxa"/>
            <w:vAlign w:val="bottom"/>
          </w:tcPr>
          <w:p>
            <w:pPr>
              <w:jc w:val="center"/>
              <w:ind w:right="3099"/>
              <w:spacing w:after="0"/>
              <w:rPr>
                <w:sz w:val="20"/>
                <w:szCs w:val="20"/>
                <w:color w:val="auto"/>
              </w:rPr>
            </w:pPr>
            <w:r>
              <w:rPr>
                <w:rFonts w:ascii="Arial" w:cs="Arial" w:eastAsia="Arial" w:hAnsi="Arial"/>
                <w:sz w:val="16"/>
                <w:szCs w:val="16"/>
                <w:i w:val="1"/>
                <w:iCs w:val="1"/>
                <w:color w:val="auto"/>
              </w:rPr>
              <w:t>(Address of principal executive offices)</w:t>
            </w:r>
          </w:p>
        </w:tc>
        <w:tc>
          <w:tcPr>
            <w:tcW w:w="1480" w:type="dxa"/>
            <w:vAlign w:val="bottom"/>
          </w:tcPr>
          <w:p>
            <w:pPr>
              <w:jc w:val="center"/>
              <w:ind w:left="119"/>
              <w:spacing w:after="0"/>
              <w:rPr>
                <w:sz w:val="20"/>
                <w:szCs w:val="20"/>
                <w:color w:val="auto"/>
              </w:rPr>
            </w:pPr>
            <w:r>
              <w:rPr>
                <w:rFonts w:ascii="Arial" w:cs="Arial" w:eastAsia="Arial" w:hAnsi="Arial"/>
                <w:sz w:val="16"/>
                <w:szCs w:val="16"/>
                <w:i w:val="1"/>
                <w:iCs w:val="1"/>
                <w:color w:val="auto"/>
              </w:rPr>
              <w:t>(Zip Code)</w:t>
            </w:r>
          </w:p>
        </w:tc>
      </w:tr>
      <w:tr>
        <w:trPr>
          <w:trHeight w:val="249"/>
        </w:trPr>
        <w:tc>
          <w:tcPr>
            <w:tcW w:w="7000" w:type="dxa"/>
            <w:vAlign w:val="bottom"/>
          </w:tcPr>
          <w:p>
            <w:pPr>
              <w:jc w:val="right"/>
              <w:ind w:right="1499"/>
              <w:spacing w:after="0"/>
              <w:rPr>
                <w:sz w:val="20"/>
                <w:szCs w:val="20"/>
                <w:color w:val="auto"/>
              </w:rPr>
            </w:pPr>
            <w:r>
              <w:rPr>
                <w:rFonts w:ascii="Arial" w:cs="Arial" w:eastAsia="Arial" w:hAnsi="Arial"/>
                <w:sz w:val="16"/>
                <w:szCs w:val="16"/>
                <w:b w:val="1"/>
                <w:bCs w:val="1"/>
                <w:color w:val="auto"/>
              </w:rPr>
              <w:t>(281) 618-0400</w:t>
            </w:r>
          </w:p>
        </w:tc>
        <w:tc>
          <w:tcPr>
            <w:tcW w:w="1480" w:type="dxa"/>
            <w:vAlign w:val="bottom"/>
          </w:tcPr>
          <w:p>
            <w:pPr>
              <w:spacing w:after="0"/>
              <w:rPr>
                <w:sz w:val="21"/>
                <w:szCs w:val="21"/>
                <w:color w:val="auto"/>
              </w:rPr>
            </w:pPr>
          </w:p>
        </w:tc>
      </w:tr>
      <w:tr>
        <w:trPr>
          <w:trHeight w:val="211"/>
        </w:trPr>
        <w:tc>
          <w:tcPr>
            <w:tcW w:w="7000" w:type="dxa"/>
            <w:vAlign w:val="bottom"/>
          </w:tcPr>
          <w:p>
            <w:pPr>
              <w:jc w:val="center"/>
              <w:ind w:left="2679"/>
              <w:spacing w:after="0"/>
              <w:rPr>
                <w:sz w:val="20"/>
                <w:szCs w:val="20"/>
                <w:color w:val="auto"/>
              </w:rPr>
            </w:pPr>
            <w:r>
              <w:rPr>
                <w:rFonts w:ascii="Arial" w:cs="Arial" w:eastAsia="Arial" w:hAnsi="Arial"/>
                <w:sz w:val="16"/>
                <w:szCs w:val="16"/>
                <w:i w:val="1"/>
                <w:iCs w:val="1"/>
                <w:color w:val="auto"/>
              </w:rPr>
              <w:t>(Registrant’s telephone number, including area code)</w:t>
            </w:r>
          </w:p>
        </w:tc>
        <w:tc>
          <w:tcPr>
            <w:tcW w:w="1480" w:type="dxa"/>
            <w:vAlign w:val="bottom"/>
          </w:tcPr>
          <w:p>
            <w:pPr>
              <w:spacing w:after="0"/>
              <w:rPr>
                <w:sz w:val="18"/>
                <w:szCs w:val="18"/>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14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4"/>
        </w:trPr>
        <w:tc>
          <w:tcPr>
            <w:tcW w:w="6280" w:type="dxa"/>
            <w:vAlign w:val="bottom"/>
            <w:gridSpan w:val="2"/>
          </w:tcPr>
          <w:p>
            <w:pPr>
              <w:jc w:val="center"/>
              <w:ind w:right="1120"/>
              <w:spacing w:after="0"/>
              <w:rPr>
                <w:sz w:val="20"/>
                <w:szCs w:val="20"/>
                <w:color w:val="auto"/>
              </w:rPr>
            </w:pPr>
            <w:r>
              <w:rPr>
                <w:rFonts w:ascii="Arial" w:cs="Arial" w:eastAsia="Arial" w:hAnsi="Arial"/>
                <w:sz w:val="16"/>
                <w:szCs w:val="16"/>
                <w:color w:val="auto"/>
              </w:rPr>
              <w:t>Common Stock (no par value)</w:t>
            </w:r>
          </w:p>
        </w:tc>
        <w:tc>
          <w:tcPr>
            <w:tcW w:w="51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5" w:lineRule="exact"/>
        <w:rPr>
          <w:sz w:val="24"/>
          <w:szCs w:val="24"/>
          <w:color w:val="auto"/>
        </w:rPr>
      </w:pPr>
    </w:p>
    <w:p>
      <w:pPr>
        <w:ind w:left="5520"/>
        <w:spacing w:after="0"/>
        <w:rPr>
          <w:sz w:val="20"/>
          <w:szCs w:val="20"/>
          <w:color w:val="auto"/>
        </w:rPr>
      </w:pPr>
      <w:r>
        <w:rPr>
          <w:rFonts w:ascii="Arial" w:cs="Arial" w:eastAsia="Arial" w:hAnsi="Arial"/>
          <w:sz w:val="16"/>
          <w:szCs w:val="16"/>
          <w:b w:val="1"/>
          <w:bCs w:val="1"/>
          <w:color w:val="auto"/>
        </w:rPr>
        <w:t>None</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87"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0" w:lineRule="exact"/>
        <w:rPr>
          <w:sz w:val="24"/>
          <w:szCs w:val="24"/>
          <w:color w:val="auto"/>
        </w:rPr>
      </w:pPr>
    </w:p>
    <w:p>
      <w:pPr>
        <w:ind w:left="40"/>
        <w:spacing w:after="0" w:line="184" w:lineRule="exact"/>
        <w:tabs>
          <w:tab w:leader="none" w:pos="3040" w:val="left"/>
          <w:tab w:leader="none" w:pos="5820" w:val="left"/>
          <w:tab w:leader="none" w:pos="92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7"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5"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last reported sales price of the Registrant’s Common Stock on June 30, 2015 was approximately $1.2 billion.</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25, 2016 was 107,543,215.</w:t>
      </w:r>
    </w:p>
    <w:p>
      <w:pPr>
        <w:spacing w:after="0" w:line="9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definitive Proxy Statement for the Annual Meeting of Shareholders to be held on May 12, 2016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60" w:type="dxa"/>
            <w:vAlign w:val="bottom"/>
            <w:gridSpan w:val="27"/>
          </w:tcPr>
          <w:p>
            <w:pPr>
              <w:jc w:val="center"/>
              <w:ind w:right="2140"/>
              <w:spacing w:after="0"/>
              <w:rPr>
                <w:sz w:val="20"/>
                <w:szCs w:val="20"/>
                <w:color w:val="auto"/>
              </w:rPr>
            </w:pPr>
            <w:r>
              <w:rPr>
                <w:rFonts w:ascii="Arial" w:cs="Arial" w:eastAsia="Arial" w:hAnsi="Arial"/>
                <w:sz w:val="18"/>
                <w:szCs w:val="18"/>
                <w:b w:val="1"/>
                <w:bCs w:val="1"/>
                <w:color w:val="auto"/>
                <w:w w:val="99"/>
              </w:rPr>
              <w:t>HELIX ENERGY SOLUTIONS GROUP, INC. INDEX — FORM 10-K</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Page</w:t>
            </w:r>
          </w:p>
        </w:tc>
      </w:tr>
      <w:tr>
        <w:trPr>
          <w:trHeight w:val="230"/>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60" w:type="dxa"/>
            <w:vAlign w:val="bottom"/>
            <w:gridSpan w:val="17"/>
          </w:tcPr>
          <w:p>
            <w:pPr>
              <w:jc w:val="center"/>
              <w:ind w:right="4560"/>
              <w:spacing w:after="0"/>
              <w:rPr>
                <w:sz w:val="20"/>
                <w:szCs w:val="20"/>
                <w:color w:val="auto"/>
              </w:rPr>
            </w:pPr>
            <w:r>
              <w:rPr>
                <w:rFonts w:ascii="Arial" w:cs="Arial" w:eastAsia="Arial" w:hAnsi="Arial"/>
                <w:sz w:val="18"/>
                <w:szCs w:val="18"/>
                <w:b w:val="1"/>
                <w:bCs w:val="1"/>
                <w:color w:val="auto"/>
                <w:w w:val="98"/>
              </w:rPr>
              <w:t>PART I</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80" w:type="dxa"/>
            <w:vAlign w:val="bottom"/>
            <w:gridSpan w:val="3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Item 1A.</w:t>
              </w:r>
            </w:hyperlink>
          </w:p>
        </w:tc>
        <w:tc>
          <w:tcPr>
            <w:tcW w:w="960" w:type="dxa"/>
            <w:vAlign w:val="bottom"/>
            <w:gridSpan w:val="2"/>
          </w:tcPr>
          <w:p>
            <w:pPr>
              <w:spacing w:after="0"/>
              <w:rPr>
                <w:sz w:val="20"/>
                <w:szCs w:val="20"/>
                <w:color w:val="auto"/>
              </w:rPr>
            </w:pPr>
          </w:p>
        </w:tc>
        <w:tc>
          <w:tcPr>
            <w:tcW w:w="8980" w:type="dxa"/>
            <w:vAlign w:val="bottom"/>
            <w:gridSpan w:val="3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1B.</w:t>
              </w:r>
            </w:hyperlink>
          </w:p>
        </w:tc>
        <w:tc>
          <w:tcPr>
            <w:tcW w:w="960" w:type="dxa"/>
            <w:vAlign w:val="bottom"/>
            <w:gridSpan w:val="2"/>
          </w:tcPr>
          <w:p>
            <w:pPr>
              <w:spacing w:after="0"/>
              <w:rPr>
                <w:sz w:val="20"/>
                <w:szCs w:val="20"/>
                <w:color w:val="auto"/>
              </w:rPr>
            </w:pPr>
          </w:p>
        </w:tc>
        <w:tc>
          <w:tcPr>
            <w:tcW w:w="8980" w:type="dxa"/>
            <w:vAlign w:val="bottom"/>
            <w:gridSpan w:val="3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60" w:type="dxa"/>
            <w:vAlign w:val="bottom"/>
            <w:gridSpan w:val="2"/>
          </w:tcPr>
          <w:p>
            <w:pPr>
              <w:spacing w:after="0"/>
              <w:rPr>
                <w:sz w:val="20"/>
                <w:szCs w:val="20"/>
                <w:color w:val="auto"/>
              </w:rPr>
            </w:pPr>
          </w:p>
        </w:tc>
        <w:tc>
          <w:tcPr>
            <w:tcW w:w="2240" w:type="dxa"/>
            <w:vAlign w:val="bottom"/>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6740" w:type="dxa"/>
            <w:vAlign w:val="bottom"/>
            <w:gridSpan w:val="2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98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98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Unnumbered Item</w:t>
              </w:r>
            </w:hyperlink>
          </w:p>
        </w:tc>
        <w:tc>
          <w:tcPr>
            <w:tcW w:w="898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 of the Company</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r>
      <w:tr>
        <w:trPr>
          <w:trHeight w:val="277"/>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7"/>
          </w:tcPr>
          <w:p>
            <w:pPr>
              <w:jc w:val="center"/>
              <w:ind w:right="4560"/>
              <w:spacing w:after="0"/>
              <w:rPr>
                <w:sz w:val="20"/>
                <w:szCs w:val="20"/>
                <w:color w:val="auto"/>
              </w:rPr>
            </w:pPr>
            <w:r>
              <w:rPr>
                <w:rFonts w:ascii="Arial" w:cs="Arial" w:eastAsia="Arial" w:hAnsi="Arial"/>
                <w:sz w:val="18"/>
                <w:szCs w:val="18"/>
                <w:b w:val="1"/>
                <w:bCs w:val="1"/>
                <w:color w:val="auto"/>
                <w:w w:val="96"/>
              </w:rPr>
              <w:t>PART II</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980" w:type="dxa"/>
            <w:vAlign w:val="bottom"/>
            <w:gridSpan w:val="3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the Registrant’s Common Equity, Related Stockholder Matters and Issuer Purchases of Equity</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0000EE"/>
            </w:tcBorders>
            <w:gridSpan w:val="3"/>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Securities</w:t>
              </w:r>
            </w:hyperlink>
          </w:p>
        </w:tc>
        <w:tc>
          <w:tcPr>
            <w:tcW w:w="7540" w:type="dxa"/>
            <w:vAlign w:val="bottom"/>
            <w:tcBorders>
              <w:top w:val="single" w:sz="8" w:color="0000EE"/>
            </w:tcBorders>
            <w:gridSpan w:val="27"/>
          </w:tcPr>
          <w:p>
            <w:pPr>
              <w:spacing w:after="0"/>
              <w:rPr>
                <w:sz w:val="15"/>
                <w:szCs w:val="15"/>
                <w:color w:val="auto"/>
              </w:rPr>
            </w:pPr>
          </w:p>
        </w:tc>
        <w:tc>
          <w:tcPr>
            <w:tcW w:w="640" w:type="dxa"/>
            <w:vAlign w:val="bottom"/>
            <w:gridSpan w:val="3"/>
          </w:tcPr>
          <w:p>
            <w:pPr>
              <w:spacing w:after="0"/>
              <w:rPr>
                <w:sz w:val="15"/>
                <w:szCs w:val="15"/>
                <w:color w:val="auto"/>
              </w:rPr>
            </w:pPr>
          </w:p>
        </w:tc>
        <w:tc>
          <w:tcPr>
            <w:tcW w:w="800" w:type="dxa"/>
            <w:vAlign w:val="bottom"/>
            <w:gridSpan w:val="4"/>
          </w:tcPr>
          <w:p>
            <w:pPr>
              <w:jc w:val="right"/>
              <w:ind w:right="20"/>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6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980" w:type="dxa"/>
            <w:vAlign w:val="bottom"/>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8980" w:type="dxa"/>
            <w:vAlign w:val="bottom"/>
            <w:gridSpan w:val="3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7A.</w:t>
              </w:r>
            </w:hyperlink>
          </w:p>
        </w:tc>
        <w:tc>
          <w:tcPr>
            <w:tcW w:w="8980" w:type="dxa"/>
            <w:vAlign w:val="bottom"/>
            <w:gridSpan w:val="3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960" w:type="dxa"/>
            <w:vAlign w:val="bottom"/>
            <w:gridSpan w:val="2"/>
          </w:tcPr>
          <w:p>
            <w:pPr>
              <w:spacing w:after="0"/>
              <w:rPr>
                <w:sz w:val="20"/>
                <w:szCs w:val="20"/>
                <w:color w:val="auto"/>
              </w:rPr>
            </w:pPr>
          </w:p>
        </w:tc>
        <w:tc>
          <w:tcPr>
            <w:tcW w:w="472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4260" w:type="dxa"/>
            <w:vAlign w:val="bottom"/>
            <w:gridSpan w:val="1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80" w:type="dxa"/>
            <w:vAlign w:val="bottom"/>
            <w:gridSpan w:val="3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80" w:type="dxa"/>
            <w:vAlign w:val="bottom"/>
            <w:gridSpan w:val="29"/>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Report of Independent Registered Public Accounting Firm on Internal Control Over Financial Reporting</w:t>
              </w:r>
            </w:hyperlink>
          </w:p>
        </w:tc>
        <w:tc>
          <w:tcPr>
            <w:tcW w:w="80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49</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2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Report of Independent Registered Public Accounting Firm — Deepwater Gateway</w:t>
              </w:r>
            </w:hyperlink>
          </w:p>
        </w:tc>
        <w:tc>
          <w:tcPr>
            <w:tcW w:w="1660" w:type="dxa"/>
            <w:vAlign w:val="bottom"/>
            <w:gridSpan w:val="6"/>
          </w:tcPr>
          <w:p>
            <w:pPr>
              <w:spacing w:after="0"/>
              <w:rPr>
                <w:sz w:val="21"/>
                <w:szCs w:val="21"/>
                <w:color w:val="auto"/>
              </w:rPr>
            </w:pPr>
          </w:p>
        </w:tc>
        <w:tc>
          <w:tcPr>
            <w:tcW w:w="800" w:type="dxa"/>
            <w:vAlign w:val="bottom"/>
            <w:gridSpan w:val="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50</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 — Independence Hub</w:t>
              </w:r>
            </w:hyperlink>
          </w:p>
        </w:tc>
        <w:tc>
          <w:tcPr>
            <w:tcW w:w="2460" w:type="dxa"/>
            <w:vAlign w:val="bottom"/>
            <w:gridSpan w:val="1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40" w:type="dxa"/>
            <w:vAlign w:val="bottom"/>
            <w:gridSpan w:val="20"/>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Consolidated Balance Sheets as of December 31, 2015 and 2014</w:t>
              </w:r>
            </w:hyperlink>
          </w:p>
        </w:tc>
        <w:tc>
          <w:tcPr>
            <w:tcW w:w="1160" w:type="dxa"/>
            <w:vAlign w:val="bottom"/>
            <w:gridSpan w:val="2"/>
          </w:tcPr>
          <w:p>
            <w:pPr>
              <w:spacing w:after="0"/>
              <w:rPr>
                <w:sz w:val="21"/>
                <w:szCs w:val="21"/>
                <w:color w:val="auto"/>
              </w:rPr>
            </w:pPr>
          </w:p>
        </w:tc>
        <w:tc>
          <w:tcPr>
            <w:tcW w:w="2580" w:type="dxa"/>
            <w:vAlign w:val="bottom"/>
            <w:gridSpan w:val="11"/>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52</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20" w:type="dxa"/>
            <w:vAlign w:val="bottom"/>
            <w:gridSpan w:val="26"/>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Consolidated Statements of Operations for the Years Ended December 31, 2015, 2014 and 2013</w:t>
              </w:r>
            </w:hyperlink>
          </w:p>
        </w:tc>
        <w:tc>
          <w:tcPr>
            <w:tcW w:w="126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53</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80" w:type="dxa"/>
            <w:vAlign w:val="bottom"/>
            <w:gridSpan w:val="3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Income (Loss) for the Years Ended December 31, 2015, 2014 and</w:t>
              </w:r>
            </w:hyperlink>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0000EE"/>
            </w:tcBorders>
          </w:tcPr>
          <w:p>
            <w:pPr>
              <w:spacing w:after="0" w:line="182"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2013</w:t>
              </w:r>
            </w:hyperlink>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2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500" w:type="dxa"/>
            <w:vAlign w:val="bottom"/>
            <w:gridSpan w:val="31"/>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Statements of Shareholders’ Equity for the Years Ended December 31, 2015, 2014 and 2013</w:t>
              </w:r>
            </w:hyperlink>
          </w:p>
        </w:tc>
        <w:tc>
          <w:tcPr>
            <w:tcW w:w="4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gridSpan w:val="27"/>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Statements of Cash Flows for the Years Ended December 31, 2015, 2014 and 2013</w:t>
              </w:r>
            </w:hyperlink>
          </w:p>
        </w:tc>
        <w:tc>
          <w:tcPr>
            <w:tcW w:w="720" w:type="dxa"/>
            <w:vAlign w:val="bottom"/>
            <w:gridSpan w:val="4"/>
          </w:tcPr>
          <w:p>
            <w:pPr>
              <w:spacing w:after="0"/>
              <w:rPr>
                <w:sz w:val="21"/>
                <w:szCs w:val="21"/>
                <w:color w:val="auto"/>
              </w:rPr>
            </w:pPr>
          </w:p>
        </w:tc>
        <w:tc>
          <w:tcPr>
            <w:tcW w:w="4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56</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780" w:type="dxa"/>
            <w:vAlign w:val="bottom"/>
            <w:gridSpan w:val="2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120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6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9.</w:t>
              </w:r>
            </w:hyperlink>
          </w:p>
        </w:tc>
        <w:tc>
          <w:tcPr>
            <w:tcW w:w="8980" w:type="dxa"/>
            <w:vAlign w:val="bottom"/>
            <w:gridSpan w:val="3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9A.</w:t>
              </w:r>
            </w:hyperlink>
          </w:p>
        </w:tc>
        <w:tc>
          <w:tcPr>
            <w:tcW w:w="960" w:type="dxa"/>
            <w:vAlign w:val="bottom"/>
            <w:gridSpan w:val="2"/>
          </w:tcPr>
          <w:p>
            <w:pPr>
              <w:spacing w:after="0"/>
              <w:rPr>
                <w:sz w:val="20"/>
                <w:szCs w:val="20"/>
                <w:color w:val="auto"/>
              </w:rPr>
            </w:pPr>
          </w:p>
        </w:tc>
        <w:tc>
          <w:tcPr>
            <w:tcW w:w="2000" w:type="dxa"/>
            <w:vAlign w:val="bottom"/>
            <w:gridSpan w:val="10"/>
          </w:tcPr>
          <w:p>
            <w:pPr>
              <w:spacing w:after="0"/>
              <w:rPr>
                <w:rFonts w:ascii="Arial" w:cs="Arial" w:eastAsia="Arial" w:hAnsi="Arial"/>
                <w:sz w:val="18"/>
                <w:szCs w:val="18"/>
                <w:color w:val="0000EE"/>
                <w:w w:val="99"/>
              </w:rPr>
            </w:pPr>
            <w:hyperlink w:anchor="page92">
              <w:r>
                <w:rPr>
                  <w:rFonts w:ascii="Arial" w:cs="Arial" w:eastAsia="Arial" w:hAnsi="Arial"/>
                  <w:sz w:val="18"/>
                  <w:szCs w:val="18"/>
                  <w:color w:val="0000EE"/>
                  <w:w w:val="99"/>
                </w:rPr>
                <w:t>Controls and Procedures</w:t>
              </w:r>
            </w:hyperlink>
          </w:p>
        </w:tc>
        <w:tc>
          <w:tcPr>
            <w:tcW w:w="6980" w:type="dxa"/>
            <w:vAlign w:val="bottom"/>
            <w:gridSpan w:val="2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9B.</w:t>
              </w:r>
            </w:hyperlink>
          </w:p>
        </w:tc>
        <w:tc>
          <w:tcPr>
            <w:tcW w:w="960" w:type="dxa"/>
            <w:vAlign w:val="bottom"/>
            <w:gridSpan w:val="2"/>
          </w:tcPr>
          <w:p>
            <w:pPr>
              <w:spacing w:after="0"/>
              <w:rPr>
                <w:sz w:val="20"/>
                <w:szCs w:val="20"/>
                <w:color w:val="auto"/>
              </w:rPr>
            </w:pPr>
          </w:p>
        </w:tc>
        <w:tc>
          <w:tcPr>
            <w:tcW w:w="200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6980" w:type="dxa"/>
            <w:vAlign w:val="bottom"/>
            <w:gridSpan w:val="2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r>
      <w:tr>
        <w:trPr>
          <w:trHeight w:val="277"/>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7"/>
          </w:tcPr>
          <w:p>
            <w:pPr>
              <w:jc w:val="center"/>
              <w:ind w:right="4540"/>
              <w:spacing w:after="0"/>
              <w:rPr>
                <w:sz w:val="20"/>
                <w:szCs w:val="20"/>
                <w:color w:val="auto"/>
              </w:rPr>
            </w:pPr>
            <w:r>
              <w:rPr>
                <w:rFonts w:ascii="Arial" w:cs="Arial" w:eastAsia="Arial" w:hAnsi="Arial"/>
                <w:sz w:val="18"/>
                <w:szCs w:val="18"/>
                <w:b w:val="1"/>
                <w:bCs w:val="1"/>
                <w:color w:val="auto"/>
                <w:w w:val="98"/>
              </w:rPr>
              <w:t>PART III</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10.</w:t>
              </w:r>
            </w:hyperlink>
          </w:p>
        </w:tc>
        <w:tc>
          <w:tcPr>
            <w:tcW w:w="8980" w:type="dxa"/>
            <w:vAlign w:val="bottom"/>
            <w:gridSpan w:val="3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11.</w:t>
              </w:r>
            </w:hyperlink>
          </w:p>
        </w:tc>
        <w:tc>
          <w:tcPr>
            <w:tcW w:w="8980" w:type="dxa"/>
            <w:vAlign w:val="bottom"/>
            <w:gridSpan w:val="3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Executive Compensation</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12.</w:t>
              </w:r>
            </w:hyperlink>
          </w:p>
        </w:tc>
        <w:tc>
          <w:tcPr>
            <w:tcW w:w="8980" w:type="dxa"/>
            <w:vAlign w:val="bottom"/>
            <w:gridSpan w:val="3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13.</w:t>
              </w:r>
            </w:hyperlink>
          </w:p>
        </w:tc>
        <w:tc>
          <w:tcPr>
            <w:tcW w:w="8980" w:type="dxa"/>
            <w:vAlign w:val="bottom"/>
            <w:gridSpan w:val="3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14.</w:t>
              </w:r>
            </w:hyperlink>
          </w:p>
        </w:tc>
        <w:tc>
          <w:tcPr>
            <w:tcW w:w="8980" w:type="dxa"/>
            <w:vAlign w:val="bottom"/>
            <w:gridSpan w:val="3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r>
      <w:tr>
        <w:trPr>
          <w:trHeight w:val="277"/>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7"/>
          </w:tcPr>
          <w:p>
            <w:pPr>
              <w:jc w:val="center"/>
              <w:ind w:right="4560"/>
              <w:spacing w:after="0"/>
              <w:rPr>
                <w:sz w:val="20"/>
                <w:szCs w:val="20"/>
                <w:color w:val="auto"/>
              </w:rPr>
            </w:pPr>
            <w:r>
              <w:rPr>
                <w:rFonts w:ascii="Arial" w:cs="Arial" w:eastAsia="Arial" w:hAnsi="Arial"/>
                <w:sz w:val="18"/>
                <w:szCs w:val="18"/>
                <w:b w:val="1"/>
                <w:bCs w:val="1"/>
                <w:color w:val="auto"/>
                <w:w w:val="98"/>
              </w:rPr>
              <w:t>PART IV</w:t>
            </w: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00" w:type="dxa"/>
            <w:vAlign w:val="bottom"/>
            <w:gridSpan w:val="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15.</w:t>
              </w:r>
            </w:hyperlink>
          </w:p>
        </w:tc>
        <w:tc>
          <w:tcPr>
            <w:tcW w:w="8980" w:type="dxa"/>
            <w:vAlign w:val="bottom"/>
            <w:gridSpan w:val="3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576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gridSpan w:val="1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5760" w:type="dxa"/>
            <w:vAlign w:val="bottom"/>
            <w:gridSpan w:val="1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60" w:type="dxa"/>
            <w:vAlign w:val="bottom"/>
            <w:gridSpan w:val="2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80" w:type="dxa"/>
            <w:vAlign w:val="bottom"/>
            <w:gridSpan w:val="3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Index to Exhibits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r>
      <w:tr>
        <w:trPr>
          <w:trHeight w:val="493"/>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top w:val="single" w:sz="8" w:color="0000EE"/>
            </w:tcBorders>
            <w:gridSpan w:val="6"/>
          </w:tcPr>
          <w:p>
            <w:pPr>
              <w:spacing w:after="0"/>
              <w:rPr>
                <w:sz w:val="24"/>
                <w:szCs w:val="24"/>
                <w:color w:val="auto"/>
              </w:rPr>
            </w:pPr>
          </w:p>
        </w:tc>
        <w:tc>
          <w:tcPr>
            <w:tcW w:w="3180" w:type="dxa"/>
            <w:vAlign w:val="bottom"/>
            <w:gridSpan w:val="11"/>
          </w:tcPr>
          <w:p>
            <w:pPr>
              <w:jc w:val="center"/>
              <w:ind w:left="22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This Annual Report on Form 10-K (“Annual Report”) contains various statements that contain forward-looking information regarding Helix Energy Solutions Group, Inc. and represent our expectations and beliefs concerning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All statements included herein or incorporated herein by reference that are predictive in nature, that depend upon or refer to future events or conditions, or that use terms and phrases such as “achieve,” “anticipate,” “believe,” “estimate,” “expect,” “forecast,” “plan,” “project,” “propose,” “strategy,” “predict,” “envision,” “hope,” “intend,” “will,” “continue,” “may,” “potential,” “should,” “could” and similar terms and phrases are forward-looking statements. Included in forward-looking statements are, among other things:</w:t>
      </w:r>
    </w:p>
    <w:p>
      <w:pPr>
        <w:spacing w:after="0" w:line="206" w:lineRule="exact"/>
        <w:rPr>
          <w:sz w:val="20"/>
          <w:szCs w:val="20"/>
          <w:color w:val="auto"/>
        </w:rPr>
      </w:pPr>
    </w:p>
    <w:p>
      <w:pPr>
        <w:ind w:left="660" w:right="5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business strategy or any other business plans, forecasts or objectives, any or all of which are subject to change;</w:t>
      </w:r>
    </w:p>
    <w:p>
      <w:pPr>
        <w:spacing w:after="0" w:line="34"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statements relating to the construction, upgrades or acquisition of vessels or equipment and any anticipated costs related thereto, including the construction of our </w:t>
      </w:r>
      <w:r>
        <w:rPr>
          <w:rFonts w:ascii="Arial" w:cs="Arial" w:eastAsia="Arial" w:hAnsi="Arial"/>
          <w:sz w:val="18"/>
          <w:szCs w:val="18"/>
          <w:i w:val="1"/>
          <w:iCs w:val="1"/>
          <w:color w:val="auto"/>
        </w:rPr>
        <w:t>Q7000</w:t>
      </w:r>
      <w:r>
        <w:rPr>
          <w:rFonts w:ascii="Arial" w:cs="Arial" w:eastAsia="Arial" w:hAnsi="Arial"/>
          <w:sz w:val="18"/>
          <w:szCs w:val="18"/>
          <w:color w:val="auto"/>
        </w:rPr>
        <w:t xml:space="preserve"> vessel and the construction of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chartered vessels to be used in connection with our contracts to provide well intervention services offshore Brazil (Note 14);</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 expenses, earnings or losses, working capital, debt and liquidity, and other financial items;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backlog and long-term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ability to enter into such transactions;</w:t>
      </w:r>
    </w:p>
    <w:p>
      <w:pPr>
        <w:spacing w:after="0" w:line="63"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anticipated legislative, governmental, regulatory, administrative or other public body actions, requirements, permits or decisions;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anticipated developments, industry trends, performance or industry ranking;</w:t>
      </w:r>
    </w:p>
    <w:p>
      <w:pPr>
        <w:spacing w:after="0" w:line="6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and local market areas in which we do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our ability to retain key members of our senior management and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25"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be materially different from those in the forward-looking statements. These factors include:</w:t>
      </w:r>
    </w:p>
    <w:p>
      <w:pPr>
        <w:spacing w:after="0" w:line="256" w:lineRule="exact"/>
        <w:rPr>
          <w:sz w:val="20"/>
          <w:szCs w:val="20"/>
          <w:color w:val="auto"/>
        </w:rPr>
      </w:pPr>
    </w:p>
    <w:p>
      <w:pPr>
        <w:ind w:left="460" w:right="560" w:hanging="330"/>
        <w:spacing w:after="0" w:line="26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domestic and global economic conditions and the future impact of such conditions on the oil and gas industry and the demand for our services;</w:t>
      </w:r>
    </w:p>
    <w:p>
      <w:pPr>
        <w:spacing w:after="0" w:line="34"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oil and gas price fluctuations and the cyclical nature of the oil and gas industry;</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potential cancellation, deferral or modification of our work or contracts by our customers;</w:t>
      </w:r>
    </w:p>
    <w:p>
      <w:pPr>
        <w:spacing w:after="0" w:line="45" w:lineRule="exact"/>
        <w:rPr>
          <w:rFonts w:ascii="Arial" w:cs="Arial" w:eastAsia="Arial" w:hAnsi="Arial"/>
          <w:sz w:val="18"/>
          <w:szCs w:val="18"/>
          <w:color w:val="auto"/>
        </w:rPr>
      </w:pPr>
    </w:p>
    <w:p>
      <w:pPr>
        <w:ind w:left="460" w:right="80" w:hanging="330"/>
        <w:spacing w:after="0" w:line="28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unexpected delays in the delivery or chartering of new vessels for our well intervention and robotics fleet, including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Helix I </w:t>
      </w:r>
      <w:r>
        <w:rPr>
          <w:rFonts w:ascii="Arial" w:cs="Arial" w:eastAsia="Arial" w:hAnsi="Arial"/>
          <w:sz w:val="18"/>
          <w:szCs w:val="18"/>
          <w:color w:val="auto"/>
        </w:rPr>
        <w:t>and</w:t>
      </w:r>
      <w:r>
        <w:rPr>
          <w:rFonts w:ascii="Arial" w:cs="Arial" w:eastAsia="Arial" w:hAnsi="Arial"/>
          <w:sz w:val="18"/>
          <w:szCs w:val="18"/>
          <w:i w:val="1"/>
          <w:iCs w:val="1"/>
          <w:color w:val="auto"/>
        </w:rPr>
        <w:t xml:space="preserve"> Siem Helix II </w:t>
      </w:r>
      <w:r>
        <w:rPr>
          <w:rFonts w:ascii="Arial" w:cs="Arial" w:eastAsia="Arial" w:hAnsi="Arial"/>
          <w:sz w:val="18"/>
          <w:szCs w:val="18"/>
          <w:color w:val="auto"/>
        </w:rPr>
        <w:t>vessels to be used to perform contracted well intervention work offshore Brazil;</w:t>
      </w:r>
    </w:p>
    <w:p>
      <w:pPr>
        <w:spacing w:after="0" w:line="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future capital expenditures, including the amount and nature thereof;</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and timing of completion of our vessel upgrades and major maintenance items;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our indebtedness and our ability to reduce capital commitments;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(or lack thereof) of capital (including any financing) to fund our business strategy and/or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current and future laws and governmental regulations, including tax and accounting developments;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current and future hedging activities;</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a loss of one or more key employees; and</w:t>
      </w:r>
    </w:p>
    <w:p>
      <w:pPr>
        <w:spacing w:after="0" w:line="6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w:t>
      </w:r>
    </w:p>
    <w:p>
      <w:pPr>
        <w:spacing w:after="0" w:line="225"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Our actual results could differ materially from those anticipated in any forward-looking statements as a result of a variety of factors, including those discussed in “Risk Factors” beginning on page 15 of this Annual Report. All forward-looking statements attributable to us or persons acting on our behalf are expressly qualified in their entirety by these risk factors. Forward-looking statements are only as of the date they are made, and other than as required under the securities laws, we assume no obligation to update or revise these forward-looking statements or provide reasons why actual results may differ.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 xml:space="preserve">Helix Energy Solutions Group, Inc. (together with its subsidiaries, unless context requires otherwise, “Helix,” the “Company,” “we,” “us” or “our”) was incorporated in the state of Minnesota in 1979. We are an international offshore energy services company that provides specialty services to the offshore energy industry, with a focus on well intervention and robotics operations. We seek to provide services and methodologies that we believe are critical to developing offshore reservoirs and maximizing production economics. We provide services primarily in deepwater in the U.S. Gulf of Mexico, North Sea, Asia Pacific and West Africa regions, and are expanding our operations offshore Brazil. Our “life of field” services are segregated into three reportable business segments: Well Intervention, Robotics and Production Facilities. For additional information regarding our strategy and business operations, see sections titled “Our Strategy” and “Our Operations” included elsewhere within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Annual Report.</w:t>
      </w:r>
    </w:p>
    <w:p>
      <w:pPr>
        <w:spacing w:after="0" w:line="20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principal executive offices are located at 3505 West Sam Houston Parkway North, Suite 400, Houston, Texas 77043; our phone number is 281-618-0400. Our common stock trades on the New York Stock Exchange (“NYSE”) under the ticker symbol “HLX.” Our Chief Executive Officer submitted the annual CEO certification to the NYSE as required under its Listed Company Manual in May 2015. Our principal executive officer and our principal financial officer have made the certifications required under Section 302 of the Sarbanes-Oxley Act, which are included as exhibits to this Annual Report.</w:t>
      </w:r>
    </w:p>
    <w:p>
      <w:pPr>
        <w:spacing w:after="0" w:line="206" w:lineRule="exact"/>
        <w:rPr>
          <w:sz w:val="20"/>
          <w:szCs w:val="20"/>
          <w:color w:val="auto"/>
        </w:rPr>
      </w:pPr>
    </w:p>
    <w:p>
      <w:pPr>
        <w:jc w:val="both"/>
        <w:ind w:right="340" w:firstLine="648"/>
        <w:spacing w:after="0" w:line="256" w:lineRule="auto"/>
        <w:rPr>
          <w:sz w:val="20"/>
          <w:szCs w:val="20"/>
          <w:color w:val="auto"/>
        </w:rPr>
      </w:pPr>
      <w:r>
        <w:rPr>
          <w:rFonts w:ascii="Arial" w:cs="Arial" w:eastAsia="Arial" w:hAnsi="Arial"/>
          <w:sz w:val="18"/>
          <w:szCs w:val="18"/>
          <w:color w:val="auto"/>
        </w:rPr>
        <w:t xml:space="preserve">Please refer to the subsection “— Certain Definitions” on page 13 for definitions of additional terms commonly used in this Annual Report. Unless otherwise indicated any reference to Notes herein refers to Notes to Consolidated Financial Statements in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w:t>
      </w:r>
      <w:r>
        <w:rPr>
          <w:rFonts w:ascii="Arial" w:cs="Arial" w:eastAsia="Arial" w:hAnsi="Arial"/>
          <w:sz w:val="18"/>
          <w:szCs w:val="18"/>
          <w:color w:val="auto"/>
        </w:rPr>
        <w:t>located elsewhere in this Annual Report.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Our focus is on growing our well intervention and robotics businesses. We believe that focusing on these services will deliver favorable long-term financial returns. From time to time, we make strategic investments that expand our service capabilities or add capacity to existing services in our key operating regions. Our well intervention capacity expanded when we took delivery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in April 2015. Our well intervention fleet is expected to further expand following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a newbuild semi-submersible vessel, and its delivery in late 2017 or in 2018, and the delivery in 2016 of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vessels, which we will charter in connection with the well intervention agreements with Petróleo Brasileiro S.A. (“Petrobras”). With respect to our robotics business, we took delivery of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 </w:t>
      </w:r>
      <w:r>
        <w:rPr>
          <w:rFonts w:ascii="Arial" w:cs="Arial" w:eastAsia="Arial" w:hAnsi="Arial"/>
          <w:sz w:val="18"/>
          <w:szCs w:val="18"/>
          <w:color w:val="auto"/>
        </w:rPr>
        <w:t>in April 2015 and we expect to take delivery of the</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in May 2016. In order to accommodate the addition of these two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chartered vessels to our robotics fleet, and as a response to the decline in industry market conditions, we returned the </w:t>
      </w:r>
      <w:r>
        <w:rPr>
          <w:rFonts w:ascii="Arial" w:cs="Arial" w:eastAsia="Arial" w:hAnsi="Arial"/>
          <w:sz w:val="18"/>
          <w:szCs w:val="18"/>
          <w:i w:val="1"/>
          <w:iCs w:val="1"/>
          <w:color w:val="auto"/>
        </w:rPr>
        <w:t>Olympic Canyon</w:t>
      </w:r>
      <w:r>
        <w:rPr>
          <w:rFonts w:ascii="Arial" w:cs="Arial" w:eastAsia="Arial" w:hAnsi="Arial"/>
          <w:sz w:val="18"/>
          <w:szCs w:val="18"/>
          <w:color w:val="auto"/>
        </w:rPr>
        <w:t xml:space="preserve">, a chartered vessel, to its owner early in November 2015, and intend to return a second chartered vessel, the </w:t>
      </w:r>
      <w:r>
        <w:rPr>
          <w:rFonts w:ascii="Arial" w:cs="Arial" w:eastAsia="Arial" w:hAnsi="Arial"/>
          <w:sz w:val="18"/>
          <w:szCs w:val="18"/>
          <w:i w:val="1"/>
          <w:iCs w:val="1"/>
          <w:color w:val="auto"/>
        </w:rPr>
        <w:t>Rem Installer</w:t>
      </w:r>
      <w:r>
        <w:rPr>
          <w:rFonts w:ascii="Arial" w:cs="Arial" w:eastAsia="Arial" w:hAnsi="Arial"/>
          <w:sz w:val="18"/>
          <w:szCs w:val="18"/>
          <w:color w:val="auto"/>
        </w:rPr>
        <w:t>, to its owner when the charter ends in July 2016.</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41" w:right="27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January 2015, Helix, OneSubsea LLC, OneSubsea B.V., Schlumberger Technology Corporation, Schlumberger B.V. and Schlumberger Oilfield Holdings Ltd. (collectively, the “Parties”) entered into a Strategic Alliance Agreement and related agreements for the Parties’ strategic alliance to design, develop, manufacture, promote, market and sell on a global basis integrated equipment and services for subsea well intervention. The alliance is expected to leverage the Parties’ capabilities to provide a unique, fully integrated offering to clients, combining marine support with well access and control technologies. In April 2015, we and OneSubsea jointly ordered a 15,000 working p.s.i. intervention riser system (“IRS”), which is expected to be completed by July 2017 for a total cost of approximately $27.5 million (approximately $13.8 million for our 50% interest).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OPERATIONS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have three reportable business segments: Well Intervention, Robotics and Production Facilities. We provide a full range of services primarily in deepwater in the U.S. Gulf of Mexico, North Sea, Asia Pacific and West Africa regions, and are expanding our operations offshore Brazil. Our Well Intervention segment includes our vessels and equipment used to perform well intervention services primarily in the Gulf of Mexico and North Sea regions.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Skandi Constructor</w:t>
      </w:r>
      <w:r>
        <w:rPr>
          <w:rFonts w:ascii="Arial" w:cs="Arial" w:eastAsia="Arial" w:hAnsi="Arial"/>
          <w:sz w:val="18"/>
          <w:szCs w:val="18"/>
          <w:color w:val="auto"/>
        </w:rPr>
        <w:t xml:space="preserve">, which is a chartered vessel. Our Well Intervention segment also includes IRSs, some of which we rent out on a stand-alone basis, and subsea intervention lubricators (“SILs”). Our Robotics segment includes remotely operated vehicles (“ROVs”), trenchers and ROVDrills designed to complement offshore construction and well intervention services, and currently operates four chartered ROV support vessels. 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a dynamic positioning floating production vessel, the Helix Fast Response System (the “HFRS”), and our ownership interest in Independence Hub, LLC (“Independence Hub”). All of our production facilities activities are located in the Gulf of Mexico. We previously had an ownership interest in Deepwater Gateway, L.L.C. (“Deepwater Gateway”). In February 2016, we sold our ownership interest in Deepwater Gateway for $25 million. Our Subsea Construction results diminished following the sale in 2013 and early 2014 of essentially all of our assets related to this previously reported business segment. See Note 13 for financial results associated with our business segments. Previously, we had another reported business segment, Oil and Gas, which was sold in February 2013 (see “Discontinued Operations” below). Our current services include:</w:t>
      </w:r>
    </w:p>
    <w:p>
      <w:pPr>
        <w:spacing w:after="0" w:line="139" w:lineRule="exact"/>
        <w:rPr>
          <w:sz w:val="20"/>
          <w:szCs w:val="20"/>
          <w:color w:val="auto"/>
        </w:rPr>
      </w:pPr>
    </w:p>
    <w:p>
      <w:pPr>
        <w:ind w:left="660" w:right="32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Production. </w:t>
      </w:r>
      <w:r>
        <w:rPr>
          <w:rFonts w:ascii="Arial" w:cs="Arial" w:eastAsia="Arial" w:hAnsi="Arial"/>
          <w:sz w:val="18"/>
          <w:szCs w:val="18"/>
          <w:color w:val="auto"/>
        </w:rPr>
        <w:t>Well intervention; intervention engineering; production enhancement; inspection, repair and maintenance of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structures, trees, jumpers, risers, pipelines and subsea equipment; and life of field support.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Reclamation. </w:t>
      </w:r>
      <w:r>
        <w:rPr>
          <w:rFonts w:ascii="Arial" w:cs="Arial" w:eastAsia="Arial" w:hAnsi="Arial"/>
          <w:sz w:val="18"/>
          <w:szCs w:val="18"/>
          <w:color w:val="auto"/>
        </w:rPr>
        <w:t>Reclamation and remediation services; well plugging and abandonment services; pipeline abandonment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site inspections.</w:t>
      </w: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Installation of subsea pipelines, flowlines, control umbilicals, manifold assemblies and risers; burial of pipelines;</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and tie-in of riser and manifold assembly; commissioning, testing and inspection; and cable and umbilical lay and connection. We have experienced increased demand for our services from the alternative energy industry. Some of the services we provide to these alternative energy businesses include subsea power cable installation, trenching and burial, along with seabed coring and preparation for construction of wind turbine foundations.</w:t>
      </w:r>
    </w:p>
    <w:p>
      <w:pPr>
        <w:spacing w:after="0" w:line="2"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Production facilities. </w:t>
      </w:r>
      <w:r>
        <w:rPr>
          <w:rFonts w:ascii="Arial" w:cs="Arial" w:eastAsia="Arial" w:hAnsi="Arial"/>
          <w:sz w:val="18"/>
          <w:szCs w:val="18"/>
          <w:color w:val="auto"/>
        </w:rPr>
        <w:t>Provision of oil and natural gas processing facilities and services to oil and gas companies operating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deepwater of the Gulf of Mexico, using our </w:t>
      </w:r>
      <w:r>
        <w:rPr>
          <w:rFonts w:ascii="Arial" w:cs="Arial" w:eastAsia="Arial" w:hAnsi="Arial"/>
          <w:sz w:val="18"/>
          <w:szCs w:val="18"/>
          <w:i w:val="1"/>
          <w:iCs w:val="1"/>
          <w:color w:val="auto"/>
        </w:rPr>
        <w:t>HP I</w:t>
      </w:r>
      <w:r>
        <w:rPr>
          <w:rFonts w:ascii="Arial" w:cs="Arial" w:eastAsia="Arial" w:hAnsi="Arial"/>
          <w:sz w:val="18"/>
          <w:szCs w:val="18"/>
          <w:color w:val="auto"/>
        </w:rPr>
        <w:t xml:space="preserve"> vessel. Currently,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is being utilized to process production from the Phoenix field.</w:t>
      </w:r>
    </w:p>
    <w:p>
      <w:pPr>
        <w:spacing w:after="0" w:line="1"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Fast Response System. </w:t>
      </w:r>
      <w:r>
        <w:rPr>
          <w:rFonts w:ascii="Arial" w:cs="Arial" w:eastAsia="Arial" w:hAnsi="Arial"/>
          <w:sz w:val="18"/>
          <w:szCs w:val="18"/>
          <w:color w:val="auto"/>
        </w:rPr>
        <w:t>Provision of the HFRS as a response resource that can be identified in permit applications to federal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state agencies and respond in the event of a well control incident.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Intervention</w:t>
      </w:r>
    </w:p>
    <w:p>
      <w:pPr>
        <w:spacing w:after="0" w:line="19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engineer, manage and conduct well construction, intervention and abandonment operations in water depths ranging from 200 to 10,000 feet. As major and independent oil and gas companies expand operations in the deepwater basins of the world, development of these reserves will often require the installation of subsea trees. Historically, drilling rigs were typically necessary for subsea well intervention to troubleshoot or enhance production, shift sleeves, log wells or perform recompletions. Our vessels serve as work platforms for well intervention services at costs that historically have been less than offshore drilling rigs. Competitive advantages of our vessels are derived from their lower operating costs, together with an ability to mobilize quickly and to maximize operational time by performing a broad range of tasks related to intervention, construction, inspection, repair and maintenance. These services provide a cost advantage in the development and management of subsea reservoirs. Over time, we expect long-term demand for well intervention services to increase due to the growing number of subsea tree installations and the efficiency gains from specialized intervention assets and equipment.</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1"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the Gulf of Mexico, our multi-service semi-submersible vessel,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has set a series of well intervention “firsts” in increasingly deeper water without the use of a traditional drilling rig. In 2010,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served as a significant component in the Macondo well control and containment efforts.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also serves an important role in the HFRS that was established in 2011. In August 2012, we acquired a drillship and performed upgrades and modifications to render it suitable for use as a well intervention vessel. We renamed the vessel the </w:t>
      </w:r>
      <w:r>
        <w:rPr>
          <w:rFonts w:ascii="Arial" w:cs="Arial" w:eastAsia="Arial" w:hAnsi="Arial"/>
          <w:sz w:val="18"/>
          <w:szCs w:val="18"/>
          <w:i w:val="1"/>
          <w:iCs w:val="1"/>
          <w:color w:val="auto"/>
        </w:rPr>
        <w:t xml:space="preserve">Helix 534 </w:t>
      </w:r>
      <w:r>
        <w:rPr>
          <w:rFonts w:ascii="Arial" w:cs="Arial" w:eastAsia="Arial" w:hAnsi="Arial"/>
          <w:sz w:val="18"/>
          <w:szCs w:val="18"/>
          <w:color w:val="auto"/>
        </w:rPr>
        <w:t>and it commenced well intervention operations in February 2014. We currently plan to cold stack the</w:t>
      </w:r>
      <w:r>
        <w:rPr>
          <w:rFonts w:ascii="Arial" w:cs="Arial" w:eastAsia="Arial" w:hAnsi="Arial"/>
          <w:sz w:val="18"/>
          <w:szCs w:val="18"/>
          <w:i w:val="1"/>
          <w:iCs w:val="1"/>
          <w:color w:val="auto"/>
        </w:rPr>
        <w:t xml:space="preserve"> Helix 534 </w:t>
      </w:r>
      <w:r>
        <w:rPr>
          <w:rFonts w:ascii="Arial" w:cs="Arial" w:eastAsia="Arial" w:hAnsi="Arial"/>
          <w:sz w:val="18"/>
          <w:szCs w:val="18"/>
          <w:color w:val="auto"/>
        </w:rPr>
        <w:t>in 2016 due to low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levels of activity. In April 2015, we took delivery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 newbuild semi-submersible well intervention vessel.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commenced operations in the Gulf of Mexico during the fourth quarter of 2015. The vessel is expected to commence services in April 2016 under our five-year contract with BP.</w:t>
      </w:r>
    </w:p>
    <w:p>
      <w:pPr>
        <w:spacing w:after="0" w:line="18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In the North Sea,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has performed well intervention, abandonment and coil tubing services since it joined our fleet in the North Sea region in 2009.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has provided well intervention and abandonment services since 1987. The vessel is currently warm stacked after undergoing major capital upgrades that extended its estimated useful economic life by approximately 15 years. The chartered </w:t>
      </w:r>
      <w:r>
        <w:rPr>
          <w:rFonts w:ascii="Arial" w:cs="Arial" w:eastAsia="Arial" w:hAnsi="Arial"/>
          <w:sz w:val="18"/>
          <w:szCs w:val="18"/>
          <w:i w:val="1"/>
          <w:iCs w:val="1"/>
          <w:color w:val="auto"/>
        </w:rPr>
        <w:t xml:space="preserve">Skandi Constructor </w:t>
      </w:r>
      <w:r>
        <w:rPr>
          <w:rFonts w:ascii="Arial" w:cs="Arial" w:eastAsia="Arial" w:hAnsi="Arial"/>
          <w:sz w:val="18"/>
          <w:szCs w:val="18"/>
          <w:color w:val="auto"/>
        </w:rPr>
        <w:t>has been performing well intervention services for us in the North Sea since September 2013. In September 2015, we</w:t>
      </w:r>
      <w:r>
        <w:rPr>
          <w:rFonts w:ascii="Arial" w:cs="Arial" w:eastAsia="Arial" w:hAnsi="Arial"/>
          <w:sz w:val="18"/>
          <w:szCs w:val="18"/>
          <w:i w:val="1"/>
          <w:iCs w:val="1"/>
          <w:color w:val="auto"/>
        </w:rPr>
        <w:t xml:space="preserve"> </w:t>
      </w:r>
      <w:r>
        <w:rPr>
          <w:rFonts w:ascii="Arial" w:cs="Arial" w:eastAsia="Arial" w:hAnsi="Arial"/>
          <w:sz w:val="18"/>
          <w:szCs w:val="18"/>
          <w:color w:val="auto"/>
        </w:rPr>
        <w:t>extended the charter through April 1, 2017. The vessel has been warm stacked at reduced rates since November 2015.</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September 2013, we executed a contract for the construction of a newbuild semi-submersible well intervention vessel,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which is being built to North Sea standards. The contract is with the same shipyard in Singapore that constructed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This $346.0 million shipyard contract represents the majority of the expected costs associated with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Pursuant to the terms of this contract and subsequent amendments, 20% of the contract price was paid upon the signing of the contract. The remaining 80% will be paid in three installments, with 20% due on June 25, 2016, 20% due upon issuance of the Completion Certificate, which is to be issued on or before December 31, 2017, and 40% due upon the delivery of the vessel, which at our option can be deferred until December 30, 2018.</w:t>
      </w:r>
    </w:p>
    <w:p>
      <w:pPr>
        <w:spacing w:after="0" w:line="20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In February 2014, we entered into agreements with Petrobras to provide well intervention services offshore Brazil. The initial term of the agreements with Petrobras is for four years with options to extend. In connection with the Petrobras agreements, we entered into charter agreements with Siem Offshore AS for two newbuild monohull vessels,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which is expected to be in service for Petrobras in the second half of 2016, and the </w:t>
      </w:r>
      <w:r>
        <w:rPr>
          <w:rFonts w:ascii="Arial" w:cs="Arial" w:eastAsia="Arial" w:hAnsi="Arial"/>
          <w:sz w:val="18"/>
          <w:szCs w:val="18"/>
          <w:i w:val="1"/>
          <w:iCs w:val="1"/>
          <w:color w:val="auto"/>
        </w:rPr>
        <w:t>Siem Helix II</w:t>
      </w:r>
      <w:r>
        <w:rPr>
          <w:rFonts w:ascii="Arial" w:cs="Arial" w:eastAsia="Arial" w:hAnsi="Arial"/>
          <w:sz w:val="18"/>
          <w:szCs w:val="18"/>
          <w:color w:val="auto"/>
        </w:rPr>
        <w:t>, which is expected to be in service in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Robotics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have been actively engaged in robotics for over three decades. We operate ROVs, trenchers and ROVDrills designed for offshore construction, maintenance and well intervention services. As global marine construction support moves to deeper waters, the use of ROV systems has increased and the scope of ROV services has become essential to deep water operations. Our chartered vessels add value by supporting deployment of our ROVs and trenchers. We provide our customers with vessel availability and schedule flexibility to meet the technological challenges of their subsea activities worldwide. Our robotics assets include 52 ROVs, five trenching systems and two ROVDrills. Our robotics business unit primarily operates in the Gulf of Mexico, North Sea, West Africa and Asia Pacific regions. We currently charter vessels on a long-term basis to support our robotics operations and we have historically engaged spot vessels on short-term charter agreements as needed. Vessels currently under long-term charter agreements include the </w:t>
      </w:r>
      <w:r>
        <w:rPr>
          <w:rFonts w:ascii="Arial" w:cs="Arial" w:eastAsia="Arial" w:hAnsi="Arial"/>
          <w:sz w:val="18"/>
          <w:szCs w:val="18"/>
          <w:i w:val="1"/>
          <w:iCs w:val="1"/>
          <w:color w:val="auto"/>
        </w:rPr>
        <w:t>Deep Cygnus</w:t>
      </w:r>
      <w:r>
        <w:rPr>
          <w:rFonts w:ascii="Arial" w:cs="Arial" w:eastAsia="Arial" w:hAnsi="Arial"/>
          <w:sz w:val="18"/>
          <w:szCs w:val="18"/>
          <w:color w:val="auto"/>
        </w:rPr>
        <w:t xml:space="preserve">, the </w:t>
      </w:r>
      <w:r>
        <w:rPr>
          <w:rFonts w:ascii="Arial" w:cs="Arial" w:eastAsia="Arial" w:hAnsi="Arial"/>
          <w:sz w:val="18"/>
          <w:szCs w:val="18"/>
          <w:i w:val="1"/>
          <w:iCs w:val="1"/>
          <w:color w:val="auto"/>
        </w:rPr>
        <w:t>Rem Installer</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We also have entered into a long-term charter agreement for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which is scheduled for delivery in May 2016. We returned the </w:t>
      </w:r>
      <w:r>
        <w:rPr>
          <w:rFonts w:ascii="Arial" w:cs="Arial" w:eastAsia="Arial" w:hAnsi="Arial"/>
          <w:sz w:val="18"/>
          <w:szCs w:val="18"/>
          <w:i w:val="1"/>
          <w:iCs w:val="1"/>
          <w:color w:val="auto"/>
        </w:rPr>
        <w:t>Olympic Canyon</w:t>
      </w:r>
      <w:r>
        <w:rPr>
          <w:rFonts w:ascii="Arial" w:cs="Arial" w:eastAsia="Arial" w:hAnsi="Arial"/>
          <w:sz w:val="18"/>
          <w:szCs w:val="18"/>
          <w:color w:val="auto"/>
        </w:rPr>
        <w:t xml:space="preserve"> to the vessel’s owner early in November 2015. The </w:t>
      </w:r>
      <w:r>
        <w:rPr>
          <w:rFonts w:ascii="Arial" w:cs="Arial" w:eastAsia="Arial" w:hAnsi="Arial"/>
          <w:sz w:val="18"/>
          <w:szCs w:val="18"/>
          <w:i w:val="1"/>
          <w:iCs w:val="1"/>
          <w:color w:val="auto"/>
        </w:rPr>
        <w:t>Rem Installer</w:t>
      </w:r>
      <w:r>
        <w:rPr>
          <w:rFonts w:ascii="Arial" w:cs="Arial" w:eastAsia="Arial" w:hAnsi="Arial"/>
          <w:sz w:val="18"/>
          <w:szCs w:val="18"/>
          <w:color w:val="auto"/>
        </w:rPr>
        <w:t>’s charter will end in July 2016, at which time we intend to return the vessel to its owner.</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 xml:space="preserve">Over the last decade there has been an increase in offshore activity associated with the growing alternative (renewable) energy industry. Specifically there has been an increase in services performed for the offshore wind farm industry. As the level of activity for offshore alternative energy projects has increased, so has the need for reliable services and related equipment. Historically, this work was performed with the use of barges and other similar vessels, but these types of services are now being contracted to vessels such as our </w:t>
      </w:r>
      <w:r>
        <w:rPr>
          <w:rFonts w:ascii="Arial" w:cs="Arial" w:eastAsia="Arial" w:hAnsi="Arial"/>
          <w:sz w:val="18"/>
          <w:szCs w:val="18"/>
          <w:i w:val="1"/>
          <w:iCs w:val="1"/>
          <w:color w:val="auto"/>
        </w:rPr>
        <w:t>Deep Cygnus</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chartered vessels that are suitable for harsh weather conditions that can occur offshore, especially in northern Europe where offshore wind farming is currently concentrated. In 2015, revenues derived from offshore renewables contracts accounted for 14% of our global robotics revenues. We believe that over the long term our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robotics business unit is positioned to continue the services it provides to a range of clients in the alternative energy business. This is expected to include the use of our chartered vessels, ROVs and trenchers to provide burial services relating to subsea power cable installations on key wind farm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Facilities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own 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 positioning floating production unit capable of processing up to 45,000 barrels of oil and</w:t>
      </w:r>
    </w:p>
    <w:p>
      <w:pPr>
        <w:spacing w:after="0" w:line="2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80 million cubic feet (“MMcf”) of natural gas per day.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is currently being used to process production from the Phoenix field. Our existing contract for service to the Phoenix field will not expire until at least December 31, 2016.</w:t>
      </w:r>
    </w:p>
    <w:p>
      <w:pPr>
        <w:spacing w:after="0" w:line="14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own a 20% interest in Independence Hub, which owns the Independence Hub platform located in 8,000 feet of water in the eastern Gulf of Mexico. We previously owned a 50% interest in Deepwater Gateway, which owns the Marco Polo TLP located in 4,300 feet of water in the Gulf of Mexico. In February 2016, we sold our ownership interest in Deepwater Gateway for $25 million.</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developed the HFRS as a culmination of our experience as a responder in the 2010 Macondo well control and containment efforts. The HFRS centers on two of our vessels,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Q4000</w:t>
      </w:r>
      <w:r>
        <w:rPr>
          <w:rFonts w:ascii="Arial" w:cs="Arial" w:eastAsia="Arial" w:hAnsi="Arial"/>
          <w:sz w:val="18"/>
          <w:szCs w:val="18"/>
          <w:color w:val="auto"/>
        </w:rPr>
        <w:t>, both of which played a key role in the Macondo well control and containment efforts and are currently operating in the Gulf of Mexico. In 2011, we signed an agreement with Clean Gulf Associates (“CGA”), a non-profit industry group, allowing, in exchange for a retainer fee, the HFRS to be named as a response resource in permit applications to federal and state agencies and making the HFRS available to certain CGA participants who executed utilization agreements with us that specified the day rates to be charged should the HFRS be deployed in connection with a well control incident. The original set of agreements expired on March 31, 2013, and we entered into a new set of substantially similar agreements, effective April 1, 2013, with the operators who formed HWCG LLC, a Delaware limited liability company comprised of some of the original CGA members as well as other industry participants, to perform the same functions as CGA with respect to the HFRS. In March 2015, HWCG LLC exercised an option to extend the agreement with us through March 31, 2018.</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DISCONTINUED OPERATIONS</w:t>
      </w:r>
    </w:p>
    <w:p>
      <w:pPr>
        <w:spacing w:after="0" w:line="19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former Oil and Gas segment was engaged in prospect generation, exploration, development and production activities. We exited our oil and gas business in February 2013 upon the sale of our former domestic oil and gas subsidiary, Energy Resource Technology GOM, Inc. (“ERT”), for $624 million plus additional consideration in the form of overriding royalty interests in ERT’s Wang well and certain exploration prospects.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GEOGRAPHIC AREAS</w:t>
      </w:r>
    </w:p>
    <w:p>
      <w:pPr>
        <w:spacing w:after="0" w:line="193" w:lineRule="exact"/>
        <w:rPr>
          <w:sz w:val="20"/>
          <w:szCs w:val="20"/>
          <w:color w:val="auto"/>
        </w:rPr>
      </w:pPr>
    </w:p>
    <w:p>
      <w:pPr>
        <w:ind w:right="520" w:firstLine="648"/>
        <w:spacing w:after="0" w:line="256" w:lineRule="auto"/>
        <w:rPr>
          <w:sz w:val="20"/>
          <w:szCs w:val="20"/>
          <w:color w:val="auto"/>
        </w:rPr>
      </w:pPr>
      <w:r>
        <w:rPr>
          <w:rFonts w:ascii="Arial" w:cs="Arial" w:eastAsia="Arial" w:hAnsi="Arial"/>
          <w:sz w:val="18"/>
          <w:szCs w:val="18"/>
          <w:color w:val="auto"/>
        </w:rPr>
        <w:t>We primarily operate in the U.S. Gulf of Mexico, North Sea, Asia Pacific and West Africa regions. We are also expanding our operations offshore Brazil. See Note 13 for revenues as well as property and equipment, net of accumulated depreciation, by geographic areas.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CUSTOMERS</w:t>
      </w:r>
    </w:p>
    <w:p>
      <w:pPr>
        <w:spacing w:after="0" w:line="193" w:lineRule="exact"/>
        <w:rPr>
          <w:sz w:val="20"/>
          <w:szCs w:val="20"/>
          <w:color w:val="auto"/>
        </w:rPr>
      </w:pPr>
    </w:p>
    <w:p>
      <w:pPr>
        <w:ind w:right="300" w:firstLine="648"/>
        <w:spacing w:after="0" w:line="250" w:lineRule="auto"/>
        <w:rPr>
          <w:sz w:val="20"/>
          <w:szCs w:val="20"/>
          <w:color w:val="auto"/>
        </w:rPr>
      </w:pPr>
      <w:r>
        <w:rPr>
          <w:rFonts w:ascii="Arial" w:cs="Arial" w:eastAsia="Arial" w:hAnsi="Arial"/>
          <w:sz w:val="18"/>
          <w:szCs w:val="18"/>
          <w:color w:val="auto"/>
        </w:rPr>
        <w:t>Our customers include major and independent oil and gas producers and suppliers, pipeline transmission companies, alternative (renewable) energy companies and offshore engineering and construction firms. The level of services required by any particular customer depends, in part, on the size of that customer’s capital expenditure budget in a particular year. Consequently, customers that account for a significant portion of revenues in one fiscal year may represent an immaterial portion of revenues in subsequent fiscal years. The percent of consolidated revenues from major customers, those whose total represented 10% or more of our consolidated revenues is as follows: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Shell (16%) and Talos (11%), 2014 — Anadarko (13%) and 2013 — Shell (14%). We provided services to over 50 customers in 2015.</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oilfield services industry is highly competitive. While price is a factor, the ability to access specialized vessels, attract and retain skilled personnel, and demonstrate a good safety record is also important. Our principal competitors include Aker Solutions ASA, DeepOcean Group, DOF ASA, Edison Chouest Offshore Companies, FTO Services, Fugro N.V., Island Offshore and Oceaneering International, Inc. Our competitors in the well intervention business also include international drilling contractors. Our competitors may have significantly more financial, personnel, technological and other resources available to them.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TRAINING, SAFETY, HEALTH, ENVIRONMENT AND QUALITY ASSURANCE</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corporate vision is based on the belief that all incidents should be preventable. Helix strives to achieve this by focusing on controlling major hazard risks and managing behavior. We have established a corporate culture in which QHSE has equal priority to our other business objectives. Should QHSE be in conflict with business objectives, then QHSE will take priority. Everyone at Helix has the authority and the duty to “STOP WORK” they believe is unsafe.</w:t>
      </w:r>
    </w:p>
    <w:p>
      <w:pPr>
        <w:spacing w:after="0" w:line="20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QHSE management systems and training programs were developed by management personnel based on common industry work practices and by employees with on-site experience who understand the risk and physical challenges of the ocean work site. As a result, we believe that our QHSE programs are among the best in the industry. We maintain a company-wide effort to continuously improve our control of QHSE risks and the behavior of our employees.</w:t>
      </w:r>
    </w:p>
    <w:p>
      <w:pPr>
        <w:spacing w:after="0" w:line="204"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The process includes the assessment of risk through the use of selected risk analysis tools, control of work through management system procedures, job risk assessment of all routine and non-routine tasks, documentation of all daily observations, collection of data and data treatment to provide the mechanism for understanding our QHSE risks and at-risk behaviors. In addition, we schedule hazard hunts on each vessel and regularly audit QHSE management systems; both are completed with assigned responsibilities and action due dates.</w:t>
      </w:r>
    </w:p>
    <w:p>
      <w:pPr>
        <w:spacing w:after="0" w:line="204" w:lineRule="exact"/>
        <w:rPr>
          <w:sz w:val="20"/>
          <w:szCs w:val="20"/>
          <w:color w:val="auto"/>
        </w:rPr>
      </w:pPr>
    </w:p>
    <w:p>
      <w:pPr>
        <w:ind w:right="500" w:firstLine="648"/>
        <w:spacing w:after="0" w:line="262" w:lineRule="auto"/>
        <w:rPr>
          <w:sz w:val="20"/>
          <w:szCs w:val="20"/>
          <w:color w:val="auto"/>
        </w:rPr>
      </w:pPr>
      <w:r>
        <w:rPr>
          <w:rFonts w:ascii="Arial" w:cs="Arial" w:eastAsia="Arial" w:hAnsi="Arial"/>
          <w:sz w:val="18"/>
          <w:szCs w:val="18"/>
          <w:color w:val="auto"/>
        </w:rPr>
        <w:t>The management systems of our well intervention and robotics business units have been independently assessed and registered compliant to ISO 9001 (Quality Management Systems) and ISO 14001 (Environmental Management Systems).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Many aspects of the offshore marine construction industry are subject to extensive governmental regulations. We are subject to the jurisdiction of the U.S. Coast Guard (the “Coast Guard”), the U.S. Environmental Protection Agency (the “EPA”), three divisions of the U.S. Department of the Interior, the Bureau of Ocean Energy Management (the “BOEM”), the Bureau of Safety and Environmental Enforcement (the “BSEE”) and the Office of Natural Resource Revenue (the “ONRR”), and the U.S. Customs and Border Protection (“CBP”) as well as classification societies such as the American Bureau of Shipping (the “ABS”). We are also subject to the requirements of the federal Occupational Safety and Health Act (“OSHA”) and comparable state laws that regulate the protection of employee health and safety for our land-based operations.</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North Sea, international regulations govern working hours and a specified working environment, as well as standards for diving procedures, equipment and diver health. These North Sea standards are some of the most stringent worldwide. In the absence of any specific regulation, our North Sea operations adhere to standards set by the International Marine Contractors Association and the International Maritime Organization. In addition, we operate in other foreign jurisdictions that have various types of governmental laws and regulations to which we are subject.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Coast Guard</w:t>
      </w:r>
    </w:p>
    <w:p>
      <w:pPr>
        <w:spacing w:after="0" w:line="247"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Coast Guard sets safety standards and is authorized to investigate vessel and diving accidents as well as other marine casualty incidents and to recommend improved safety standards. The Coast Guard also is authorized to inspect vessels at will. We are required by various governmental and quasi-governmental agencies to obtain various permits, licenses and certificates with respect to our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BOEM and BSEE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development and operation of oil and gas properties located on the Outer Continental Shelf (“OCS”) of the United States is regulated primarily by the BOEM and BSEE. Among other requirements, the BOEM requires lessees of OCS properties to post bonds or provide other adequate financial assurance in connection with the plugging and abandonment of wells located offshore and the removal of all production facilities. As a service company, we are not subject to these regulations, but do depend on the demand for our services from the oil and gas industry, and therefore, our business is affected by laws and regulations, as well as changing tax laws and policies, relating to the oil and gas industry in general.</w:t>
      </w:r>
    </w:p>
    <w:p>
      <w:pPr>
        <w:spacing w:after="0" w:line="20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Deepwater Horizon incident in April 2010 resulted in enhanced standards being implemented for companies engaged in the development of offshore oil and gas wells. These standards are determined and implemented by BSEE. The applicable standards now include Notice to Lessees (NTL), NTL 2010-N06 (Environmental NTL), NTL 2010-N10 (Compliance and Evaluation NTL), NTL 2013-N02 (Significant Change to Oil Spill Response Plan Worst Case Scenario), the Final Drilling Safety Rule, and a rule regarding Production Measurement Documents.</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April 17, 2015, the BSEE announced its new proposed blowout preventer and well control requirements rule for the OCS federal waters, 30 C.F.R. Part 250. Several years in the making, the proposed rule aims to enhance well control and equipment reliability, and includes a suite of reforms in well design, well control, casing, cementing, real-time well monitoring, and subsea containment. Following the notice-and-comment period, the proposed regulations are currently undergoing BSEE’s in-house review as the agency works to produce the final version. Once completed, the proposed rule will go before the U.S. Office of Information and Regulatory Affairs in the U.S. Office of Management and Budget for finalization. Although the BSEE is unable to say at this time when the final rule will be published, the agency stated that it expects to finish its review soon. The final form of these regulations may have an impact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Jones Act</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also subject to the Merchant Marine Act (commonly known as “the Jones Act”), which regulates the kind of vessels that can carry goods between ports of the U.S. and which has been applied to offshore oil and gas work in the U.S. The Jones Act is interpreted in large part by letter rulings of the CBP. The cumulative effect of these letter rulings has been to establish a framework for offshore operators to understand when an operation can be carried out by a foreign flag vessel and when it must be carried out by a coastwise qualified U.S. flag vessel.</w:t>
      </w:r>
    </w:p>
    <w:p>
      <w:pPr>
        <w:spacing w:after="0" w:line="206" w:lineRule="exact"/>
        <w:rPr>
          <w:sz w:val="20"/>
          <w:szCs w:val="20"/>
          <w:color w:val="auto"/>
        </w:rPr>
      </w:pPr>
    </w:p>
    <w:p>
      <w:pPr>
        <w:ind w:right="420" w:firstLine="648"/>
        <w:spacing w:after="0" w:line="254" w:lineRule="auto"/>
        <w:rPr>
          <w:sz w:val="20"/>
          <w:szCs w:val="20"/>
          <w:color w:val="auto"/>
        </w:rPr>
      </w:pPr>
      <w:r>
        <w:rPr>
          <w:rFonts w:ascii="Arial" w:cs="Arial" w:eastAsia="Arial" w:hAnsi="Arial"/>
          <w:sz w:val="18"/>
          <w:szCs w:val="18"/>
          <w:color w:val="auto"/>
        </w:rPr>
        <w:t>In early 2010, the CBP and its parent agency, the Department of Homeland Security (“DHS”), initiated a proposed rulemaking that would have been subject to public comment following publication in the Federal Register. The proposed rulemaking would have largely reversed the holdings of years of letter rulings from the CBP regarding the application of the Jones Act to offshore oil and gas work. The agencies subsequently withdrew the proposed rulemaking before it was published in the Federal Register.</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DHS or CBP re-proposes a change to the application of the Jones Act similar to that originally proposed by CBP, and such proposal is adopted, or if CBP issues one or more letter rulings that interprets the Jones Act as being more restrictive to the operation of foreign flag vessels, such a development could potentially lead to operational delays or increased operating costs in instances where we would be required to hire coastwise U.S. flag qualified vessels that we currently do not own in order to transport certain merchandise to projects on the OCS. This could make it more difficult to perform our offshore services in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and State Regulatory Agencies</w:t>
      </w:r>
    </w:p>
    <w:p>
      <w:pPr>
        <w:spacing w:after="0" w:line="24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Additional proposals and proceedings before various federal and state regulatory agencies and the courts could affect the oil and gas industry. We cannot predict when or whether any such proposals may become effective.</w:t>
      </w:r>
    </w:p>
    <w:p>
      <w:pPr>
        <w:spacing w:after="0" w:line="19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These regulatory developments and legislative initiatives may curtail production and demand for fossil fuels such as oil and natural gas in areas of the world where our customers operate and thus adversely affect future demand for our services, which may in turn adversely affect our future results of operations.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ENVIRONMENTAL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operations are subject to a variety of national (including federal, state and local) and international laws and regulations governing the discharge of materials into the environment or otherwise relating to environmental protection. Numerous governmental departments issue rules and regulations to implement and enforce these laws that are often complex and costly to comply with and that carry substantial administrative, civil and possibly criminal penalties for failure to comply. Under these laws and regulations, we may be liable for remediation or removal costs, damages and other costs associated with releases of hazardous materials (including oil) into the environment, and that liability may be imposed on us even if the acts that resulted in the releases were in compliance with all applicable laws at the time such acts were performed. Some of the environmental laws and regulations that are applicable to our business operations are discussed in the following paragraphs, but the discussion does not cover all environmental laws and regulations that govern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 90</w:t>
      </w:r>
    </w:p>
    <w:p>
      <w:pPr>
        <w:spacing w:after="0" w:line="24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Oil Pollution Act of 1990, as amended (“OPA”), imposes a variety of requirements on “Responsible Parties” related to the prevention of oil spills and liability for damages resulting from such spills in waters of the United States. A “Responsible Party” includes the owner or operator of an onshore facility, a vessel or a pipeline, and the lessee or permittee of the area in which an offshore facility is located. OPA imposes liability on each Responsible Party for oil spill removal costs and for other public and private damages from oil spills. Failure to comply with OPA may result in the assessment of civil and criminal penalties. OPA establishes liability limits equal to the greater of $939,800 or $1,100 per gross ton (effective December 21, 2015) for vessels other than tankers. Liability limits are higher for other types of facilities and could apply if our operations resulted in Responsible Party status for a spill from such a facility. The liability limits are not applicable, however,</w:t>
      </w:r>
    </w:p>
    <w:p>
      <w:pPr>
        <w:spacing w:after="0" w:line="3" w:lineRule="exact"/>
        <w:rPr>
          <w:sz w:val="20"/>
          <w:szCs w:val="20"/>
          <w:color w:val="auto"/>
        </w:rPr>
      </w:pPr>
    </w:p>
    <w:p>
      <w:pPr>
        <w:ind w:right="260" w:firstLine="8"/>
        <w:spacing w:after="0" w:line="256"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spill is caused by gross negligence or willful misconduct, (ii) if the spill results from violation of a federal safety, construction or operating regulation, or (iii) if a party fails to report a spill or fails to cooperate fully in the cleanup. Few defenses exist to the liability imposed under OPA.</w:t>
      </w:r>
    </w:p>
    <w:p>
      <w:pPr>
        <w:spacing w:after="0" w:line="202"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In addition, OPA requires owners and operators of vessels over 300 gross tons to provide the Coast Guard with evidence of financial responsibility to cover the cost of cleaning up oil spills from such vessels. We currently own and operate six vessels over 300 gross tons. We have provided satisfactory evidence of financial responsibility to the Coast Guard for all of our vessels.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Water Act</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Clean Water Act imposes strict controls on the discharge of pollutants into the navigable waters of the United States and imposes potential liability for the costs of remediating releases of petroleum and other substances. The controls and restrictions imposed under the Clean Water Act have become more stringent over time, and it is possible that additional restrictions will be imposed in the future. Permits must be obtained to discharge pollutants into state and federal waters. Certain state regulations and the general permits issued under the National Pollutant Discharge Elimination System Program prohibit the discharge of produced waters and sand, drilling fluids, drill cuttings and certain other substances related to the exploration for, and production of, oil and natural gas into certain coastal and offshore waters.</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Clean Water Act provides for civil, criminal and administrative penalties for any unauthorized discharge of oil and other hazardous substances and imposes liability on Responsible Parties for the costs of cleaning up any environmental contamination caused by the release of a hazardous substance and for natural resource damages resulting from the release. Many states have laws that are analogous to the Clean Water Act and also require remediation of releases of petroleum and other hazardous substances in state waters. Our vessels carry diesel fuel for their own use. Offshore facilities and vessels operated by us have facility and vessel response plans to deal with potential spills. We believe that our operations comply in all material respects with the requirements of the Clean Water Act and state statutes enacted to control water pollution.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U.S. Supreme Court has held that greenhouse gasses are an air pollutant under the federal Clean Air Act and thus subject to regulation by the EPA. In October 2009, the EPA published a final rule requiring the reporting of greenhouse gas emissions from specified large greenhouse gas sources in the United States on an annual basis, beginning in 2011 for emissions occurring in 2010. In November 2010, the EPA expanded its greenhouse reporting rule to include onshore petroleum and natural gas production, offshore petroleum and natural gas production, onshore natural gas processing, natural gas transmission, underground natural gas storage, liquefied natural gas storage, liquefied natural gas import and export, and natural gas distribution facilities. As of 2011, reporting of greenhouse gas emissions from such facilities is required on an annual basis under this expanded rule.</w:t>
      </w:r>
    </w:p>
    <w:p>
      <w:pPr>
        <w:spacing w:after="0" w:line="15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variety of regulatory developments, proposals or requirements and legislative initiatives have been introduced in the domestic and international regions in which we operate that are focused on restricting the emissions of carbon dioxide, methane and other greenhouse gases. For example, the U.S. Congress has from time to time considered legislation to reduce greenhouse gas emissions, and almost one-half of the states already have taken legal measures to reduce greenhouse gas emissions, primarily through the planned development of greenhouse gas emission inventories and/or regional greenhouse gas cap and trade programs. More stringent regulations under the Clean Air Act or other similar federal or state law could materially impact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CERCLA</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Comprehensive Environmental Response, Compensation, and Liability Act (“CERCLA”) contains provisions requiring the remediation of releases of hazardous substances into the environment and imposes liability, without regard to fault or the legality of the original conduct, on certain classes of persons including owners and operators of contaminated sites where the release occurred and those companies that transport, dispose of or arrange for disposal of hazardous substances released at the sites. Under CERCLA, those persons may be subject to joint and several liability for the costs of cleaning up the hazardous substances that have been released into the environment, for damages to natural resources and for the costs of certain health studies. Third parties may also file claims for personal injury and property damage allegedly caused by the release of hazardous substances.</w:t>
      </w:r>
    </w:p>
    <w:p>
      <w:pPr>
        <w:spacing w:after="0" w:line="15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operate in foreign jurisdictions that have various types of governmental laws and regulations relating to the discharge of oil or hazardous substances and the protection of the environment. Pursuant to these laws and regulations, we could be held liable for remediation of some types of pollution, including the release of oil, hazardous substances and debris from production, refining or industrial facilities, as well as other assets we own or operate or that are owned or operated by our customers or our subcontractors.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OCSLA</w:t>
      </w:r>
    </w:p>
    <w:p>
      <w:pPr>
        <w:spacing w:after="0" w:line="193" w:lineRule="exact"/>
        <w:rPr>
          <w:sz w:val="20"/>
          <w:szCs w:val="20"/>
          <w:color w:val="auto"/>
        </w:rPr>
      </w:pPr>
    </w:p>
    <w:p>
      <w:pPr>
        <w:ind w:right="280" w:firstLine="648"/>
        <w:spacing w:after="0" w:line="251" w:lineRule="auto"/>
        <w:rPr>
          <w:sz w:val="20"/>
          <w:szCs w:val="20"/>
          <w:color w:val="auto"/>
        </w:rPr>
      </w:pPr>
      <w:r>
        <w:rPr>
          <w:rFonts w:ascii="Arial" w:cs="Arial" w:eastAsia="Arial" w:hAnsi="Arial"/>
          <w:sz w:val="18"/>
          <w:szCs w:val="18"/>
          <w:color w:val="auto"/>
        </w:rPr>
        <w:t>The Outer Continental Shelf Lands Act, as amended (“OCSLA”), provides the federal government with broad discretion in regulating the production of offshore resources of oil and natural gas, including authority to impose safety and environmental protection requirements applicable to lessees and permittees operating in the OCS. Specific design and operational standards may apply to OCS vessels, rigs, platforms, vehicles and structures. Violations of lease conditions or regulations issued pursuant to OCSLA can result in substantial civil and criminal penalties, as well as potential court injunctions curtailing operations and cancellation of leases. Because our operations rely on offshore oil and gas exploration and production, if the government were to exercise its authority under OCSLA to restrict the availability of offshore oil and gas leases, such action could have a material adverse effect on our financial condition and results of operations. Equally important, since August 2012, the agency has implemented policy guidelines (IPD No. 12-07) under which BSEE will issue incidents of noncompliance directly to contractors for serious violations of BSEE regulations.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MARPOL</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United States is one of approximately 170 member countries to the International Maritime Organization (“IMO”), a specialized agency of the United Nations that is responsible for developing measures to improve the safety and security of international shipping and to prevent marine pollution from ships. The IMO has negotiated the International Convention for the Prevention of Pollution from Ships (“MARPOL”). MARPOL imposes environmental standards on the shipping industry, to which we are subject. These standards relate to oil spills, management of garbage, the handling and disposal of noxious liquids, harmful substances in packaged forms, sewage and air emissions.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Compliance and Potential Material Impact</w:t>
      </w:r>
    </w:p>
    <w:p>
      <w:pPr>
        <w:spacing w:after="0" w:line="193"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We believe that we are in compliance in all material respects with the applicable environmental laws and regulations to which we are subject. We do not anticipate that compliance with existing environmental laws and regulations will have a material effect upon our capital expenditures, earnings or competitive position. However, changes in the environmental laws and regulations, or claims for damages to persons, property, natural resources or the environment, could result in substantial costs and liabilities, and thus there can be no assurance that we will not incur significant environmental compliance costs in the future. Such environmental liability could substantially reduce our net income and could have a significant impact on our financial ability to carry out our operations.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INSURANCE MATTERS</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businesses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the suspension of operations. Damages arising from such occurrences may result in lawsuits asserting large claims. Insurance may not be sufficient or effective under all circumstances or against all hazards to which we may be subject. A successful claim for which we are not fully insured could have a material adverse effect on our financial condition, results of operations and cash flows.</w:t>
      </w:r>
    </w:p>
    <w:p>
      <w:pPr>
        <w:spacing w:after="0" w:line="155" w:lineRule="exact"/>
        <w:rPr>
          <w:sz w:val="20"/>
          <w:szCs w:val="20"/>
          <w:color w:val="auto"/>
        </w:rPr>
      </w:pPr>
    </w:p>
    <w:p>
      <w:pPr>
        <w:jc w:val="both"/>
        <w:ind w:right="100" w:firstLine="648"/>
        <w:spacing w:after="0" w:line="278" w:lineRule="auto"/>
        <w:rPr>
          <w:sz w:val="20"/>
          <w:szCs w:val="20"/>
          <w:color w:val="auto"/>
        </w:rPr>
      </w:pPr>
      <w:r>
        <w:rPr>
          <w:rFonts w:ascii="Arial" w:cs="Arial" w:eastAsia="Arial" w:hAnsi="Arial"/>
          <w:sz w:val="17"/>
          <w:szCs w:val="17"/>
          <w:color w:val="auto"/>
        </w:rPr>
        <w:t>As discussed below, we maintain insurance policies to cover some of our risk of loss associated with our operations. We maintain the amount of insurance we believe is prudent based on our estimated loss potential. However, not all of our business activities can be insured at the levels we desire because of either limited market availability or unfavorable economics (limited coverage considering the underlying cost).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is renewed annually on July 1 and covers a twelve-month period from July 1 to June 30.</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We maintain Hull and Increased Value insurance, which provides coverage for physical damage up to an agreed amount for each vessel. The deductibles are $1.0 million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$500,000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Helix 534</w:t>
      </w:r>
      <w:r>
        <w:rPr>
          <w:rFonts w:ascii="Arial" w:cs="Arial" w:eastAsia="Arial" w:hAnsi="Arial"/>
          <w:sz w:val="18"/>
          <w:szCs w:val="18"/>
          <w:color w:val="auto"/>
        </w:rPr>
        <w:t>. In addition to the primary deductibles, the vessels are subject to an annual aggregate deductible of $5 million. We also carry</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and Indemnity (“P&amp;I”) insurance, which covers liabilities arising from the operation of the vessels, and General Liability insurance, which covers liabilities arising from construction operations. The deductible on both the P&amp;I and General Liability is $ 100,000 per occurrence. Onshore employees are covered by Workers’ Compensation. Offshore employees and marine crews are covered by a Maritime Employers Liability (“MEL”) insurance policy, which covers Jones Act exposures, and includes a deductible of $100,000 per occurrence plus a $1.0 million annual aggregate deductible. In addition to the liability policies described above, we currently carry various layers of Umbrella Liability for total limits of $ 500 million in excess of primary limits. Our self-insured retention on our medical and health benefits program for employees is $250,000 per participant.</w:t>
      </w:r>
    </w:p>
    <w:p>
      <w:pPr>
        <w:spacing w:after="0" w:line="158"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We also maintain Operator Extra Expense coverage that provides up to $150 million of coverage per each loss occurrence for a well control issue. Separately, we also maintain $500 million of liability insurance and $150 million of oil pollution insurance. For any given oil spill event we have up to $650 million of insurance coverage.</w:t>
      </w:r>
    </w:p>
    <w:p>
      <w:pPr>
        <w:spacing w:after="0" w:line="148"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customarily have agreements with our customers and vendors in which each contracting party is responsible for its respective personnel. Under these agreements we are indemnified against third party claims related to the injury or death of our customers’ or vendors’ personnel, and vice versa. With respect to well work contracted to us, the customer is generally contractually responsible for pollution emanating from the well. We separately maintain additional coverage for an amount up to $100 million that would cover us under certain circumstances against any such third party claims associated with well control events.</w:t>
      </w:r>
    </w:p>
    <w:p>
      <w:pPr>
        <w:spacing w:after="0" w:line="15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incur workers’ compensation, MEL and other insurance claims in the normal course of business, which we believe are covered by insurance. We analyze each claim for potential exposure and estimate the ultimate liability of each claim. At December 31, 2015, we did not have any claims exceeding our deductible limits. We have not incurred any significant losses as a result of claims denied by our insurance carriers. Our services are provided in hazardous environments where accidents involving catastrophic damage or loss of life could occur, and litigation arising from such an event may result in our being named a defendant in lawsuits asserting large claims. Although there can be no assurance the amount of insurance we carry is sufficient to protect us fully in all events, or that such insurance will continue to be available at current levels of cost or coverage, we believe that our insurance protection is adequate for our business operations.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41"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December 31, 2015, we had 1,445 employees, of which 525 were salaried personnel. As of December 31, 2015, we also contracted with third parties to utilize 15 non-U.S. citizens to crew our foreign flagged vessels. Our employees do not belong to a union nor are they employed pursuant to a collective bargaining agreement or any similar arrangement. We believe that our relationship with our employees and foreign crew members is favorable.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AND OTHER AVAILABLE INFORMATION</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 xml:space="preserve">We maintain a website on the Internet with the address of </w:t>
      </w:r>
      <w:r>
        <w:rPr>
          <w:rFonts w:ascii="Arial" w:cs="Arial" w:eastAsia="Arial" w:hAnsi="Arial"/>
          <w:sz w:val="18"/>
          <w:szCs w:val="18"/>
          <w:u w:val="single" w:color="auto"/>
          <w:color w:val="auto"/>
        </w:rPr>
        <w:t>www.HelixESG.com</w:t>
      </w:r>
      <w:r>
        <w:rPr>
          <w:rFonts w:ascii="Arial" w:cs="Arial" w:eastAsia="Arial" w:hAnsi="Arial"/>
          <w:sz w:val="18"/>
          <w:szCs w:val="18"/>
          <w:color w:val="auto"/>
        </w:rPr>
        <w:t>. From time to time, we also provide information about Helix on Twitter (</w:t>
      </w:r>
      <w:r>
        <w:rPr>
          <w:rFonts w:ascii="Arial" w:cs="Arial" w:eastAsia="Arial" w:hAnsi="Arial"/>
          <w:sz w:val="18"/>
          <w:szCs w:val="18"/>
          <w:u w:val="single" w:color="auto"/>
          <w:color w:val="auto"/>
        </w:rPr>
        <w:t>@Helix ESG</w:t>
      </w:r>
      <w:r>
        <w:rPr>
          <w:rFonts w:ascii="Arial" w:cs="Arial" w:eastAsia="Arial" w:hAnsi="Arial"/>
          <w:sz w:val="18"/>
          <w:szCs w:val="18"/>
          <w:color w:val="auto"/>
        </w:rPr>
        <w:t>) and LinkedIn (</w:t>
      </w:r>
      <w:r>
        <w:rPr>
          <w:rFonts w:ascii="Arial" w:cs="Arial" w:eastAsia="Arial" w:hAnsi="Arial"/>
          <w:sz w:val="18"/>
          <w:szCs w:val="18"/>
          <w:u w:val="single" w:color="auto"/>
          <w:color w:val="auto"/>
        </w:rPr>
        <w:t>www.linkedin.com/company/helix-energy-solutions-group</w:t>
      </w:r>
      <w:r>
        <w:rPr>
          <w:rFonts w:ascii="Arial" w:cs="Arial" w:eastAsia="Arial" w:hAnsi="Arial"/>
          <w:sz w:val="18"/>
          <w:szCs w:val="18"/>
          <w:color w:val="auto"/>
        </w:rPr>
        <w:t>). Copies of this Annual Report for the year ended December 31, 2015, and previous and subsequent copies of our Quarterly Reports on Form 10-Q and any Current Reports on Form 8-K, and any amendments thereto, are or will be available free of charge at our website as soon as reasonably practicable after they are filed with, or furnished to, the Securities and Exchange Commission (“SEC”). In addition, the Investor Relations portion of our website contains copies of our Code of Business Conduct and Ethics and our Code of Ethics for Chief Executive Officer and Senior Financial Officers. We make our website content available for informational purposes only. Information contained on our website is not part of this report and should not be relied upon for investment purposes. Please note that prior to March 6, 2006, the name of the Company was Cal Dive International, Inc.</w:t>
      </w:r>
    </w:p>
    <w:p>
      <w:pPr>
        <w:spacing w:after="0" w:line="179"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17"/>
          <w:szCs w:val="17"/>
          <w:color w:val="auto"/>
        </w:rPr>
        <w:t xml:space="preserve">The general public may read and copy any materials we file with the SEC at the SEC’s Public Reference Room at 100 F Street, N.E., Washington, D.C. 20549. The public may obtain information on the operation of the Public Reference Room by calling the SEC at 1-800-SEC-0330. We are an electronic filer, and the SEC maintains an Internet website that contains reports, proxy and information statements, and other information regarding issuers that file electronically with the SEC, including us. The Internet address of the SEC’s website is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6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We satisfy the requirement under Item 5.05 of Form 8-K to disclose any amendments to our Code of Business Conduct and Ethics and our Code of Ethics for Chief Executive Officer and Senior Financial Officers and any waiver from any provision of those codes by posting that information in the Investor Relations section of our website at </w:t>
      </w:r>
      <w:r>
        <w:rPr>
          <w:rFonts w:ascii="Arial" w:cs="Arial" w:eastAsia="Arial" w:hAnsi="Arial"/>
          <w:sz w:val="18"/>
          <w:szCs w:val="18"/>
          <w:u w:val="single" w:color="auto"/>
          <w:color w:val="auto"/>
        </w:rPr>
        <w:t>www.HelixESG.com</w:t>
      </w:r>
      <w:r>
        <w:rPr>
          <w:rFonts w:ascii="Arial" w:cs="Arial" w:eastAsia="Arial" w:hAnsi="Arial"/>
          <w:sz w:val="18"/>
          <w:szCs w:val="18"/>
          <w:color w:val="auto"/>
        </w:rPr>
        <w:t>.</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CERTAIN DEFINITIONS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Defined below are certain terms helpful to understanding our business that are located through this Annual Report:</w:t>
      </w:r>
    </w:p>
    <w:p>
      <w:pPr>
        <w:spacing w:after="0" w:line="180"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i w:val="1"/>
          <w:iCs w:val="1"/>
          <w:color w:val="auto"/>
        </w:rPr>
        <w:t xml:space="preserve">BOEM: </w:t>
      </w:r>
      <w:r>
        <w:rPr>
          <w:rFonts w:ascii="Arial" w:cs="Arial" w:eastAsia="Arial" w:hAnsi="Arial"/>
          <w:sz w:val="17"/>
          <w:szCs w:val="17"/>
          <w:color w:val="auto"/>
        </w:rPr>
        <w:t>The Bureau of Ocean Energy Management (“BOEM”) is responsible for managing environmentally and economically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the U.S. offshore resources. Its functions include offshore leasing, resource evaluation, review and administration of oil and gas exploration and development plans, renewable energy development, National Environmental Policy Act analysis and environmental studies.</w:t>
      </w:r>
    </w:p>
    <w:p>
      <w:pPr>
        <w:spacing w:after="0" w:line="13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i w:val="1"/>
          <w:iCs w:val="1"/>
          <w:color w:val="auto"/>
        </w:rPr>
        <w:t xml:space="preserve">BSEE: </w:t>
      </w:r>
      <w:r>
        <w:rPr>
          <w:rFonts w:ascii="Arial" w:cs="Arial" w:eastAsia="Arial" w:hAnsi="Arial"/>
          <w:sz w:val="18"/>
          <w:szCs w:val="18"/>
          <w:color w:val="auto"/>
        </w:rPr>
        <w:t>The Bureau of Safety and Environmental Enforcement (“BSEE”) is responsible for safety and environmental oversight of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operations, including permitting and inspections of offshore oil and gas operations. Its functions include the development and enforcement of safety and environmental regulations, permitting offshore exploration, development and production, inspections, offshore regulatory programs, oil spill response and newly formed training and environmental compliance programs.</w:t>
      </w:r>
    </w:p>
    <w:p>
      <w:pPr>
        <w:spacing w:after="0" w:line="153" w:lineRule="exact"/>
        <w:rPr>
          <w:sz w:val="20"/>
          <w:szCs w:val="20"/>
          <w:color w:val="auto"/>
        </w:rPr>
      </w:pPr>
    </w:p>
    <w:p>
      <w:pPr>
        <w:ind w:right="560" w:firstLine="324"/>
        <w:spacing w:after="0" w:line="266" w:lineRule="auto"/>
        <w:rPr>
          <w:sz w:val="20"/>
          <w:szCs w:val="20"/>
          <w:color w:val="auto"/>
        </w:rPr>
      </w:pPr>
      <w:r>
        <w:rPr>
          <w:rFonts w:ascii="Arial" w:cs="Arial" w:eastAsia="Arial" w:hAnsi="Arial"/>
          <w:sz w:val="18"/>
          <w:szCs w:val="18"/>
          <w:i w:val="1"/>
          <w:iCs w:val="1"/>
          <w:color w:val="auto"/>
        </w:rPr>
        <w:t>Cold Stack</w:t>
      </w:r>
      <w:r>
        <w:rPr>
          <w:rFonts w:ascii="Arial" w:cs="Arial" w:eastAsia="Arial" w:hAnsi="Arial"/>
          <w:sz w:val="18"/>
          <w:szCs w:val="18"/>
          <w:color w:val="auto"/>
        </w:rPr>
        <w:t>: A stored away state. A cold stacked vessel is secured in a safe location and all systems are shut down with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dehumidification equipment installed to prevent condensation. Cold stacking is a cost reduction measure that requires minimum ongoing maintenance of the hull structure and machinery. Re-commissioning may take an extended period of time and can be costly.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Deepwater: </w:t>
      </w:r>
      <w:r>
        <w:rPr>
          <w:rFonts w:ascii="Arial" w:cs="Arial" w:eastAsia="Arial" w:hAnsi="Arial"/>
          <w:sz w:val="18"/>
          <w:szCs w:val="18"/>
          <w:color w:val="auto"/>
        </w:rPr>
        <w:t>Water depths exceeding 1,000 feet.</w:t>
      </w:r>
    </w:p>
    <w:p>
      <w:pPr>
        <w:spacing w:after="0" w:line="198"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i w:val="1"/>
          <w:iCs w:val="1"/>
          <w:color w:val="auto"/>
        </w:rPr>
        <w:t xml:space="preserve">Dynamic Positioning (DP): </w:t>
      </w:r>
      <w:r>
        <w:rPr>
          <w:rFonts w:ascii="Arial" w:cs="Arial" w:eastAsia="Arial" w:hAnsi="Arial"/>
          <w:sz w:val="18"/>
          <w:szCs w:val="18"/>
          <w:color w:val="auto"/>
        </w:rPr>
        <w:t>Computer directed thruster systems that use satellite based positioning and other positioning technologies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the proper counteraction to wind, current and wave forces enabling a vessel to maintain its position without the use of anchors.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i w:val="1"/>
          <w:iCs w:val="1"/>
          <w:color w:val="auto"/>
        </w:rPr>
        <w:t xml:space="preserve">DP2: </w:t>
      </w:r>
      <w:r>
        <w:rPr>
          <w:rFonts w:ascii="Arial" w:cs="Arial" w:eastAsia="Arial" w:hAnsi="Arial"/>
          <w:sz w:val="18"/>
          <w:szCs w:val="18"/>
          <w:color w:val="auto"/>
        </w:rPr>
        <w:t>Two DP systems on a single vessel providing the redundancy that allows the vessel to maintain position even with the failure of one</w:t>
      </w:r>
      <w:r>
        <w:rPr>
          <w:rFonts w:ascii="Arial" w:cs="Arial" w:eastAsia="Arial" w:hAnsi="Arial"/>
          <w:sz w:val="18"/>
          <w:szCs w:val="18"/>
          <w:i w:val="1"/>
          <w:iCs w:val="1"/>
          <w:color w:val="auto"/>
        </w:rPr>
        <w:t xml:space="preserve"> </w:t>
      </w:r>
      <w:r>
        <w:rPr>
          <w:rFonts w:ascii="Arial" w:cs="Arial" w:eastAsia="Arial" w:hAnsi="Arial"/>
          <w:sz w:val="18"/>
          <w:szCs w:val="18"/>
          <w:color w:val="auto"/>
        </w:rPr>
        <w:t>DP system.</w:t>
      </w:r>
    </w:p>
    <w:p>
      <w:pPr>
        <w:spacing w:after="0" w:line="162" w:lineRule="exact"/>
        <w:rPr>
          <w:sz w:val="20"/>
          <w:szCs w:val="20"/>
          <w:color w:val="auto"/>
        </w:rPr>
      </w:pPr>
    </w:p>
    <w:p>
      <w:pPr>
        <w:ind w:right="300" w:firstLine="324"/>
        <w:spacing w:after="0" w:line="266" w:lineRule="auto"/>
        <w:rPr>
          <w:sz w:val="20"/>
          <w:szCs w:val="20"/>
          <w:color w:val="auto"/>
        </w:rPr>
      </w:pPr>
      <w:r>
        <w:rPr>
          <w:rFonts w:ascii="Arial" w:cs="Arial" w:eastAsia="Arial" w:hAnsi="Arial"/>
          <w:sz w:val="18"/>
          <w:szCs w:val="18"/>
          <w:i w:val="1"/>
          <w:iCs w:val="1"/>
          <w:color w:val="auto"/>
        </w:rPr>
        <w:t xml:space="preserve">DP3: </w:t>
      </w:r>
      <w:r>
        <w:rPr>
          <w:rFonts w:ascii="Arial" w:cs="Arial" w:eastAsia="Arial" w:hAnsi="Arial"/>
          <w:sz w:val="18"/>
          <w:szCs w:val="18"/>
          <w:color w:val="auto"/>
        </w:rPr>
        <w:t>Triple-redundant DP control system comprising a triple-redundant controller unit and three identical operator stations.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has to withstand fire or flood in any one compartment without the system failing. Loss of position should not occur from any single failure, including a completely burnt fire subdivision or flooded watertight compartment.</w:t>
      </w:r>
    </w:p>
    <w:p>
      <w:pPr>
        <w:spacing w:after="0" w:line="17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Intervention Riser System (IRS): </w:t>
      </w:r>
      <w:r>
        <w:rPr>
          <w:rFonts w:ascii="Arial" w:cs="Arial" w:eastAsia="Arial" w:hAnsi="Arial"/>
          <w:sz w:val="18"/>
          <w:szCs w:val="18"/>
          <w:color w:val="auto"/>
        </w:rPr>
        <w:t>A subsea system that establishes a direct connection from a well intervention vessel, through a rigid riser,</w:t>
      </w:r>
      <w:r>
        <w:rPr>
          <w:rFonts w:ascii="Arial" w:cs="Arial" w:eastAsia="Arial" w:hAnsi="Arial"/>
          <w:sz w:val="18"/>
          <w:szCs w:val="18"/>
          <w:i w:val="1"/>
          <w:iCs w:val="1"/>
          <w:color w:val="auto"/>
        </w:rPr>
        <w:t xml:space="preserve"> </w:t>
      </w:r>
      <w:r>
        <w:rPr>
          <w:rFonts w:ascii="Arial" w:cs="Arial" w:eastAsia="Arial" w:hAnsi="Arial"/>
          <w:sz w:val="18"/>
          <w:szCs w:val="18"/>
          <w:color w:val="auto"/>
        </w:rPr>
        <w:t>to a conventional or horizontal subsea tree in depths up to 3,000 meters (9,840 feet). The system can be utilized for wireline intervention, production logging, coiled-tubing operations, well stimulation, and full plug and abandonment operations. The system provides the well control in order to safely access the well bore for these activities.</w:t>
      </w:r>
    </w:p>
    <w:p>
      <w:pPr>
        <w:spacing w:after="0" w:line="18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 xml:space="preserve">Life of Field Services: </w:t>
      </w:r>
      <w:r>
        <w:rPr>
          <w:rFonts w:ascii="Arial" w:cs="Arial" w:eastAsia="Arial" w:hAnsi="Arial"/>
          <w:sz w:val="18"/>
          <w:szCs w:val="18"/>
          <w:color w:val="auto"/>
        </w:rPr>
        <w:t>Services performed on offshore facilities, trees and pipelines from the beginning to the end of the economic life of an</w:t>
      </w:r>
      <w:r>
        <w:rPr>
          <w:rFonts w:ascii="Arial" w:cs="Arial" w:eastAsia="Arial" w:hAnsi="Arial"/>
          <w:sz w:val="18"/>
          <w:szCs w:val="18"/>
          <w:i w:val="1"/>
          <w:iCs w:val="1"/>
          <w:color w:val="auto"/>
        </w:rPr>
        <w:t xml:space="preserve"> </w:t>
      </w:r>
      <w:r>
        <w:rPr>
          <w:rFonts w:ascii="Arial" w:cs="Arial" w:eastAsia="Arial" w:hAnsi="Arial"/>
          <w:sz w:val="18"/>
          <w:szCs w:val="18"/>
          <w:color w:val="auto"/>
        </w:rPr>
        <w:t>oil field, including installation, inspection, maintenance, repair, well intervention and abandonment.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QHSE: </w:t>
      </w:r>
      <w:r>
        <w:rPr>
          <w:rFonts w:ascii="Arial" w:cs="Arial" w:eastAsia="Arial" w:hAnsi="Arial"/>
          <w:sz w:val="18"/>
          <w:szCs w:val="18"/>
          <w:color w:val="auto"/>
        </w:rPr>
        <w:t>Quality, Health, Safety and Environmental programs to protect the environment, safeguard employee health and avoid injuries.</w:t>
      </w:r>
    </w:p>
    <w:p>
      <w:pPr>
        <w:spacing w:after="0" w:line="225" w:lineRule="exact"/>
        <w:rPr>
          <w:sz w:val="20"/>
          <w:szCs w:val="20"/>
          <w:color w:val="auto"/>
        </w:rPr>
      </w:pPr>
    </w:p>
    <w:p>
      <w:pPr>
        <w:jc w:val="both"/>
        <w:ind w:right="160" w:firstLine="324"/>
        <w:spacing w:after="0" w:line="282" w:lineRule="auto"/>
        <w:rPr>
          <w:sz w:val="20"/>
          <w:szCs w:val="20"/>
          <w:color w:val="auto"/>
        </w:rPr>
      </w:pPr>
      <w:r>
        <w:rPr>
          <w:rFonts w:ascii="Arial" w:cs="Arial" w:eastAsia="Arial" w:hAnsi="Arial"/>
          <w:sz w:val="18"/>
          <w:szCs w:val="18"/>
          <w:i w:val="1"/>
          <w:iCs w:val="1"/>
          <w:color w:val="auto"/>
        </w:rPr>
        <w:t xml:space="preserve">Pound Per Square Inch (p.s.i.): </w:t>
      </w:r>
      <w:r>
        <w:rPr>
          <w:rFonts w:ascii="Arial" w:cs="Arial" w:eastAsia="Arial" w:hAnsi="Arial"/>
          <w:sz w:val="18"/>
          <w:szCs w:val="18"/>
          <w:color w:val="auto"/>
        </w:rPr>
        <w:t>A unit of measurement for pressure or stress resulting from a force of one pound-force applied to an area</w:t>
      </w:r>
      <w:r>
        <w:rPr>
          <w:rFonts w:ascii="Arial" w:cs="Arial" w:eastAsia="Arial" w:hAnsi="Arial"/>
          <w:sz w:val="18"/>
          <w:szCs w:val="18"/>
          <w:i w:val="1"/>
          <w:iCs w:val="1"/>
          <w:color w:val="auto"/>
        </w:rPr>
        <w:t xml:space="preserve"> </w:t>
      </w:r>
      <w:r>
        <w:rPr>
          <w:rFonts w:ascii="Arial" w:cs="Arial" w:eastAsia="Arial" w:hAnsi="Arial"/>
          <w:sz w:val="18"/>
          <w:szCs w:val="18"/>
          <w:color w:val="auto"/>
        </w:rPr>
        <w:t>of one square inch.</w:t>
      </w:r>
    </w:p>
    <w:p>
      <w:pPr>
        <w:spacing w:after="0" w:line="162"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i w:val="1"/>
          <w:iCs w:val="1"/>
          <w:color w:val="auto"/>
        </w:rPr>
        <w:t xml:space="preserve">Remotely Operated Vehicle (ROV): </w:t>
      </w:r>
      <w:r>
        <w:rPr>
          <w:rFonts w:ascii="Arial" w:cs="Arial" w:eastAsia="Arial" w:hAnsi="Arial"/>
          <w:sz w:val="18"/>
          <w:szCs w:val="18"/>
          <w:color w:val="auto"/>
        </w:rPr>
        <w:t>A robotic vehicle used to complement, support and increase the efficiency of diving and subsea</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for tasks beyond the capability of manned diving operations.</w:t>
      </w:r>
    </w:p>
    <w:p>
      <w:pPr>
        <w:spacing w:after="0" w:line="16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 xml:space="preserve">ROVDrill: </w:t>
      </w:r>
      <w:r>
        <w:rPr>
          <w:rFonts w:ascii="Arial" w:cs="Arial" w:eastAsia="Arial" w:hAnsi="Arial"/>
          <w:sz w:val="18"/>
          <w:szCs w:val="18"/>
          <w:color w:val="auto"/>
        </w:rPr>
        <w:t>ROV deployed coring system developed to take advantage of existing ROV technology. The coring package, deployed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ROV system, is capable of taking cores from the seafloor in water depths up to 3,000 meters (9,840 feet). Because the ROV system operates from the seafloor there is no need for surface drilling strings and the larger support spreads required for conventional coring.</w:t>
      </w:r>
    </w:p>
    <w:p>
      <w:pPr>
        <w:spacing w:after="0" w:line="176"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i w:val="1"/>
          <w:iCs w:val="1"/>
          <w:color w:val="auto"/>
        </w:rPr>
        <w:t xml:space="preserve">Saturation Diving: </w:t>
      </w:r>
      <w:r>
        <w:rPr>
          <w:rFonts w:ascii="Arial" w:cs="Arial" w:eastAsia="Arial" w:hAnsi="Arial"/>
          <w:sz w:val="18"/>
          <w:szCs w:val="18"/>
          <w:color w:val="auto"/>
        </w:rPr>
        <w:t>Saturation diving, required for work in water depths between 200 and 1,000 feet, involves divers working from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chambers for extended periods at a pressure equivalent to the pressure at the work site.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Spot Vessels: </w:t>
      </w:r>
      <w:r>
        <w:rPr>
          <w:rFonts w:ascii="Arial" w:cs="Arial" w:eastAsia="Arial" w:hAnsi="Arial"/>
          <w:sz w:val="18"/>
          <w:szCs w:val="18"/>
          <w:color w:val="auto"/>
        </w:rPr>
        <w:t>Vessels not owned or under long-term charter but contracted on a short-term basis to perform specific projects.</w:t>
      </w:r>
    </w:p>
    <w:p>
      <w:pPr>
        <w:spacing w:after="0" w:line="225"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i w:val="1"/>
          <w:iCs w:val="1"/>
          <w:color w:val="auto"/>
        </w:rPr>
        <w:t xml:space="preserve">Subsea Intervention Lubricator (SIL): </w:t>
      </w:r>
      <w:r>
        <w:rPr>
          <w:rFonts w:ascii="Arial" w:cs="Arial" w:eastAsia="Arial" w:hAnsi="Arial"/>
          <w:sz w:val="18"/>
          <w:szCs w:val="18"/>
          <w:color w:val="auto"/>
        </w:rPr>
        <w:t>A riserless system that facilitates access to subsea wells from a monohull vessel to provide safe,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and cost effective riserless well intervention and abandonment solutions. The system can be utilized for wire line, logging, light perforating, zone isolation, plug setting and removal, and decommissioning. The system provides access to the well bore while providing full well control safety for activities that do not require a riser conduit.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Tension Leg Platform (TLP): </w:t>
      </w:r>
      <w:r>
        <w:rPr>
          <w:rFonts w:ascii="Arial" w:cs="Arial" w:eastAsia="Arial" w:hAnsi="Arial"/>
          <w:sz w:val="18"/>
          <w:szCs w:val="18"/>
          <w:color w:val="auto"/>
        </w:rPr>
        <w:t>A floating production facility anchored to the seabed with tendons.</w:t>
      </w:r>
    </w:p>
    <w:p>
      <w:pPr>
        <w:spacing w:after="0" w:line="225"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i w:val="1"/>
          <w:iCs w:val="1"/>
          <w:color w:val="auto"/>
        </w:rPr>
        <w:t xml:space="preserve">Trencher or Trencher System: </w:t>
      </w:r>
      <w:r>
        <w:rPr>
          <w:rFonts w:ascii="Arial" w:cs="Arial" w:eastAsia="Arial" w:hAnsi="Arial"/>
          <w:sz w:val="18"/>
          <w:szCs w:val="18"/>
          <w:color w:val="auto"/>
        </w:rPr>
        <w:t>A subsea robotics system capable of providing post lay trenching, inspection and burial (PLIB)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submarine cables and flowlines in water depths of 30 to 7,200 feet across a range of seabed and environmental conditions.</w:t>
      </w:r>
    </w:p>
    <w:p>
      <w:pPr>
        <w:spacing w:after="0" w:line="16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i w:val="1"/>
          <w:iCs w:val="1"/>
          <w:color w:val="auto"/>
        </w:rPr>
        <w:t>Warm Stack</w:t>
      </w:r>
      <w:r>
        <w:rPr>
          <w:rFonts w:ascii="Arial" w:cs="Arial" w:eastAsia="Arial" w:hAnsi="Arial"/>
          <w:sz w:val="18"/>
          <w:szCs w:val="18"/>
          <w:color w:val="auto"/>
        </w:rPr>
        <w:t>: A deployable but idle state. A warm stacked vessel is typically with reduced crew on board and some elements of the vessel</w:t>
      </w:r>
      <w:r>
        <w:rPr>
          <w:rFonts w:ascii="Arial" w:cs="Arial" w:eastAsia="Arial" w:hAnsi="Arial"/>
          <w:sz w:val="18"/>
          <w:szCs w:val="18"/>
          <w:i w:val="1"/>
          <w:iCs w:val="1"/>
          <w:color w:val="auto"/>
        </w:rPr>
        <w:t xml:space="preserve"> </w:t>
      </w:r>
      <w:r>
        <w:rPr>
          <w:rFonts w:ascii="Arial" w:cs="Arial" w:eastAsia="Arial" w:hAnsi="Arial"/>
          <w:sz w:val="18"/>
          <w:szCs w:val="18"/>
          <w:color w:val="auto"/>
        </w:rPr>
        <w:t>still operating. The vessel can be reactivated and ready for work with less cost, time and effort if a contract can be obtained.</w:t>
      </w:r>
    </w:p>
    <w:p>
      <w:pPr>
        <w:spacing w:after="0" w:line="162" w:lineRule="exact"/>
        <w:rPr>
          <w:sz w:val="20"/>
          <w:szCs w:val="20"/>
          <w:color w:val="auto"/>
        </w:rPr>
      </w:pPr>
    </w:p>
    <w:p>
      <w:pPr>
        <w:ind w:right="480" w:firstLine="324"/>
        <w:spacing w:after="0" w:line="266" w:lineRule="auto"/>
        <w:rPr>
          <w:sz w:val="20"/>
          <w:szCs w:val="20"/>
          <w:color w:val="auto"/>
        </w:rPr>
      </w:pPr>
      <w:r>
        <w:rPr>
          <w:rFonts w:ascii="Arial" w:cs="Arial" w:eastAsia="Arial" w:hAnsi="Arial"/>
          <w:sz w:val="18"/>
          <w:szCs w:val="18"/>
          <w:i w:val="1"/>
          <w:iCs w:val="1"/>
          <w:color w:val="auto"/>
        </w:rPr>
        <w:t>Well Intervention Services</w:t>
      </w:r>
      <w:r>
        <w:rPr>
          <w:rFonts w:ascii="Arial" w:cs="Arial" w:eastAsia="Arial" w:hAnsi="Arial"/>
          <w:sz w:val="18"/>
          <w:szCs w:val="18"/>
          <w:color w:val="auto"/>
        </w:rPr>
        <w:t>: Activities related to well maintenance and production management/enhancement services. Our well</w:t>
      </w:r>
      <w:r>
        <w:rPr>
          <w:rFonts w:ascii="Arial" w:cs="Arial" w:eastAsia="Arial" w:hAnsi="Arial"/>
          <w:sz w:val="18"/>
          <w:szCs w:val="18"/>
          <w:i w:val="1"/>
          <w:iCs w:val="1"/>
          <w:color w:val="auto"/>
        </w:rPr>
        <w:t xml:space="preserve"> </w:t>
      </w:r>
      <w:r>
        <w:rPr>
          <w:rFonts w:ascii="Arial" w:cs="Arial" w:eastAsia="Arial" w:hAnsi="Arial"/>
          <w:sz w:val="18"/>
          <w:szCs w:val="18"/>
          <w:color w:val="auto"/>
        </w:rPr>
        <w:t>intervention operations include the utilization of slickline and electric line services, pumping services, specialized tooling and coiled tubing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1"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Shareholders should carefully consider the following risk factors in addition to the other information contained herein. We operate globally in challenging and highly competitive markets and thus our business is subject to a variety of risks. The risks and uncertainties described below are not the only ones facing Helix. We are also subject to a variety of risks that affect many other companies generally, as well as additional risks and uncertainties not known to us or that, as of the date of this Annual Report, we believe are not as significant as the risks described below. You should be aware that the occurrence of the events described in these risk factors and elsewhere in this Annual Report could have a material adverse effect on our business, results of operations and financial position.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adversely affected by low oil and gas prices, which occur from time to time in a cyclical oil and gas industry.</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services are substantially dependent upon the condition of the oil and gas industry, and in particular, the willingness of oil and gas companies to make capital expenditures for offshore exploration, development, drilling and production operations. Although our services are used for other operations during the entire life cycle of a well, in a low price environment such as the one we are currently experiencing, oil and gas companies will likely continue to reduce their budgets for expenditures on all types of operations. The level of capital expenditures and operating expenditures generally depend on the prevailing view of future oil and gas prices, which are influenced by numerous factors, including:</w:t>
      </w:r>
    </w:p>
    <w:p>
      <w:pPr>
        <w:spacing w:after="0" w:line="20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economic activity;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and demand for oil and natural gas, especially in the United States, Europe, China and India;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regional conflicts and economic and political conditions in the Middle East and other oil-producing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taken by the Organization of Petroleum Exporting Countries (“OPEC”);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exploration and production of onshore shale oil and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6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oil and gas companies to generate funds or otherwise obtain external capital for exploration, development and production operations;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and expiration dates of offshore leases in the United States and overseas;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end-customer preferences toward fuel efficiency and the use of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governmental regulations;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laws, regulations and policies.</w:t>
      </w:r>
    </w:p>
    <w:p>
      <w:pPr>
        <w:spacing w:after="0" w:line="22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 prolonged period of low oil and gas prices may continue to adversely affect demand for and revenues from our services. Likewise, a low level of offshore activity by oil and gas operators could lead to an even greater surplus of available vessels and therefore increasingly downward pressure on the rates we can charge in the market for our services. In the short term our customers, in reaction to negative market conditions and low oil prices, may continue to seek to renegotiate their contracts with us or cancel earlier work and shift it to later years, or to cancel their contracts with us even if cancellation involves their paying a cancellation fee. The extent of the impact of low commodity prices on our results of operations and cash flows depends on the length and severity of the low price environment and the potential decreased demand for our services.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1"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current backlog for our services may not be ultimately realized, and our contracts may be terminated early.</w:t>
      </w:r>
    </w:p>
    <w:p>
      <w:pPr>
        <w:spacing w:after="0" w:line="193"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As of December 31, 2015, backlog for our services supported by written agreements or contracts totaled $1.8 billion, of which $388.4 million is expected to be performed in 2016. Although historically our service contracts were of relatively short duration, over the last several years we have been entering into longer term contracts, such as the BP contract in the Gulf of Mexico and the Petrobras contracts for offshore Brazil. As a consequence, we may incur capital costs a substantial portion of which we expect to recover over the term of the contracts, we may charter vessels over the terms of and for the purpose of performing contracts, and/or we may forgo other contracting opportunities for the term of these contracts.</w:t>
      </w:r>
    </w:p>
    <w:p>
      <w:pPr>
        <w:spacing w:after="0" w:line="155"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We may not be able to perform under our contracts due to events beyond our control. In addition, our customers may seek to cancel, terminate, suspend or renegotiate our contracts in the event of our customers’ diminished demand for our services due to industry conditions affecting our customers and their own revenues. Some of these contracts provide for a cancellation fee that is substantially less than the expected rates from the contracts. Some of our customers could experience liquidity issues or could otherwise be unable or unwilling to perform under the contract, which could lead a customer to seek to repudiate, cancel or renegotiate a contract. Our inability or the inability of our customers to perform under our or their contractual obligations, or the early cancellation or termination of our contracts by our customers, could have a material adverse effect on our financial position, results of operations and cash flows.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majority of our current backlog is concentrated in a small number of long-term contracts.</w:t>
      </w:r>
    </w:p>
    <w:p>
      <w:pPr>
        <w:spacing w:after="0" w:line="19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of December 31, 2015, a five -year contract with BP for work in the Gulf of Mexico and the Petrobras contracts for well intervention services offshore Brazil in the aggregate represent approximately 82% of our total backlog. Any cancellation, termination or breach of the BP and Petrobras contracts would have a larger impact on our operating results and our financial condition than shorter term contracts due to the value at risk. The cancellation or termination of, or unwillingness to perform, the BP or Petrobras contracts could have a material adverse effect on our financial position, results of operations and cash flows.</w:t>
      </w:r>
    </w:p>
    <w:p>
      <w:pPr>
        <w:spacing w:after="0" w:line="130"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b w:val="1"/>
          <w:bCs w:val="1"/>
          <w:i w:val="1"/>
          <w:iCs w:val="1"/>
          <w:color w:val="auto"/>
        </w:rPr>
        <w:t>Time chartering of vessels requires us to make ongoing payments regardless of utilization of and revenue generation from those vessels.</w:t>
      </w:r>
    </w:p>
    <w:p>
      <w:pPr>
        <w:spacing w:after="0" w:line="12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Typically, we charter our ROV support vessels under long-term contracts. We also have entered into long-term charter agreements for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vessels for the Petrobras contracts. Should contracts with customers be canceled, terminated or breached and/or we do not secure work for the chartered vessels, we are still required to make time charter payments. Making those payments absent revenue generation could have a material adverse effect on our financial position, results of operations and cash flows.</w:t>
      </w:r>
    </w:p>
    <w:p>
      <w:pPr>
        <w:spacing w:after="0" w:line="128"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b w:val="1"/>
          <w:bCs w:val="1"/>
          <w:i w:val="1"/>
          <w:iCs w:val="1"/>
          <w:color w:val="auto"/>
        </w:rPr>
        <w:t>Because we have certain capital, debt and other obligations, a prolonged period of low demand and rates for our services could eventually lead to a material adverse effect on our liquidity.</w:t>
      </w:r>
    </w:p>
    <w:p>
      <w:pPr>
        <w:spacing w:after="0" w:line="121"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Although we continue to seek to reduce the level of our capital and other expenses, in the event of a more prolonged period of low oil and gas prices, the failure of our customers to expend funds on our services or a longer period of lower rates for our services, coupled with certain fixed obligations that we have related to debt repayment, capital commitments, long-term time charter contracts for our vessels and certain other commitments related to ongoing operational activities, could eventually lead to a material adverse effect on our liquidity and financial position.</w:t>
      </w:r>
    </w:p>
    <w:p>
      <w:pPr>
        <w:spacing w:after="0" w:line="13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i w:val="1"/>
          <w:iCs w:val="1"/>
          <w:color w:val="auto"/>
        </w:rPr>
        <w:t>A sustained period of low oil and gas prices could jeopardize our customers’ and other counterparties’ ability to perform their obligations.</w:t>
      </w:r>
    </w:p>
    <w:p>
      <w:pPr>
        <w:spacing w:after="0" w:line="12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Continued market deterioration could also jeopardize the ability of certain of our counterparties to perform their obligations, including our customers, insurers and financial institutions. Although we assess the creditworthiness of our counterparties, prolonged business decline or disruptions as a result of even lower oil and gas prices could lead to changes in a counterparty’s liquidity and increase our exposure to credit risk and bad debts. In particular, our robotics business unit tends to do business with smaller customers that may not be capitalized to the same extent as larger operators. In addition, we may offer extended payment terms to our customers in order to secure contracts. These circumstances may lead to more frequent collection issues. Our financial results and liquidity could be adversely affected and we could incur losses.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oilfield services business in which we operate is highly competitive. In a low price oil and gas environment such as the one we are currently experiencing, the oversupply of offshore drilling rigs coupled with the significant slowdown in industry activities results in increased competition from drilling rigs as well as substantially lower rates on work that is being performed. Several of our competitors are substantially larger and have greater financial and other resources to better withstand a prolonged downturn. In order to compete for customers, these larger competitors may undercut us substantially by reducing rates to levels we are unable to withstand. If other companies relocate or acquire vessels for operations in the regions in which we operate, levels of competition may increase further and our business could be adversely affected.</w:t>
      </w:r>
    </w:p>
    <w:p>
      <w:pPr>
        <w:spacing w:after="0" w:line="20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In addition, in a few countries, the national oil companies have formed subsidiaries to provide oilfield services for them, competing with services provided by us. To the extent this practice expands, our business could be adversely impacted.</w:t>
      </w:r>
    </w:p>
    <w:p>
      <w:pPr>
        <w:spacing w:after="0" w:line="174"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b w:val="1"/>
          <w:bCs w:val="1"/>
          <w:i w:val="1"/>
          <w:iCs w:val="1"/>
          <w:color w:val="auto"/>
        </w:rPr>
        <w:t>Our indebtedness and the terms of our indebtedness could impair our financial condition and our ability to fulfill our debt obligations.</w:t>
      </w:r>
    </w:p>
    <w:p>
      <w:pPr>
        <w:spacing w:after="0" w:line="175"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As of December 31, 2015, we had $761.3 million of consolidated indebtedness outstanding. The level of indebtedness may have an adverse effect on our future operations, including:</w:t>
      </w:r>
    </w:p>
    <w:p>
      <w:pPr>
        <w:spacing w:after="0" w:line="196" w:lineRule="exact"/>
        <w:rPr>
          <w:sz w:val="20"/>
          <w:szCs w:val="20"/>
          <w:color w:val="auto"/>
        </w:rPr>
      </w:pPr>
    </w:p>
    <w:p>
      <w:pPr>
        <w:ind w:left="660" w:right="3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satisfactory terms to fund our working capital requirements, capital expenditures, acquisitions, investments, debt service requirements and other general corporate requirements;</w:t>
      </w:r>
    </w:p>
    <w:p>
      <w:pPr>
        <w:spacing w:after="0" w:line="34"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 continued general economic downturn, competition and industry conditions, which could place us at a disadvantage compared to our competitors that are less leveraged;</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exposure to potential rising interest rates because a portion of our current and potential future borrowings are at variable interest rates;</w:t>
      </w:r>
    </w:p>
    <w:p>
      <w:pPr>
        <w:spacing w:after="0" w:line="34"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our working capital requirements, capital expenditures, acquisitions, investments and other general corporate requirements because we will be required to use a substantial portion of our cash flows to service debt obligations;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63"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expand our business through capital expenditures or pursuit of acquisition opportunities due to negative covenants in senior secured credit facilities that place annual and aggregate limitations on the types and amounts of investments that we may make, and limit our ability to use proceeds from asset sales for purposes other than debt repayment (except in certain circumstances where proceeds may be reinvested under criteria set forth in our credit agreements).</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prolonged period of weak economic conditions and other events beyond our control may make it increasingly difficult to comply with our covenants and other restrictions in agreements governing our debt. If we fail to comply with these covenants and other restrictions, it could lead to reduced liquidity, an event of default, the possible acceleration of our repayment of outstanding debt and the exercise of certain remedies by the lenders, including foreclosure against our collateral. These conditions and events may limit our access to the credit markets if we need to replace our existing debt, which could lead to increased costs and less favorable terms, including shorter repayment schedules and higher fees and interest rates.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Lack of access to the credit market could negatively impact our ability to operate our business and to execute our strategy.</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Access to financing may be limited and uncertain, especially in times of economic weakness. If capital and credit markets are limited, we may incur increased costs and less favorable terms associated with any additional financing we may require for future operations. Limited access to the capital markets could adversely impact our ability to take advantage of business opportunities or react to changing economic and business conditions. Additionally, if capital and credit markets are limited, this could potentially result in our customers curtailing their capital and operating expenditure programs, which could result in a decrease in demand for our vessels and a reduction in fees and/or utilization. In addition, certain of our customers could experience an inability to pay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1"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suppliers, including us, in the event they are unable to access capital markets as needed to fund their operations. Likewise, our suppliers may be unable to sustain their current level of operations, fulfill their commitments and/or fund future operations and obligations, each of which could adversely affect our operations. Continued lower levels of economic activity and weakness in the credit markets could also adversely affect our ability to implement our strategic objectives and dispose of non-core business assets.</w:t>
      </w:r>
    </w:p>
    <w:p>
      <w:pPr>
        <w:spacing w:after="0" w:line="15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forward-looking statements assume that our lenders, insurers and other financial institutions will be able to fulfill their obligations under our various credit agreements, insurance policies and contracts. If any of our significant financial institutions were unable to perform under these agreements, and if we were unable to find suitable replacements at a reasonable cost, our results of operations, liquidity and cash flows could be adversely impacted.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further decline in the offshore energy services market could result in additional impairment charges.</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December 2015, we recorded asset impairment charges of $205.2 million related to our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vessel, $133.4 million related to our </w:t>
      </w:r>
      <w:r>
        <w:rPr>
          <w:rFonts w:ascii="Arial" w:cs="Arial" w:eastAsia="Arial" w:hAnsi="Arial"/>
          <w:sz w:val="18"/>
          <w:szCs w:val="18"/>
          <w:i w:val="1"/>
          <w:iCs w:val="1"/>
          <w:color w:val="auto"/>
        </w:rPr>
        <w:t>HP I</w:t>
      </w:r>
      <w:r>
        <w:rPr>
          <w:rFonts w:ascii="Arial" w:cs="Arial" w:eastAsia="Arial" w:hAnsi="Arial"/>
          <w:sz w:val="18"/>
          <w:szCs w:val="18"/>
          <w:color w:val="auto"/>
        </w:rPr>
        <w:t xml:space="preserve"> vessel and $6.3 million related to certain capitalized vessel project costs. We also recognized a goodwill impairment charge of $16.4 million related to our U.K. well intervention reporting unit as well as losses totaling $124.3 million primarily reflecting our share of impairment charges that Deepwater Gateway and Independence Hub recorded in December 2015. Prolonged periods of low utilization and day rates could result in the recognition of additional impairment charges for our vessels and robotics assets if future cash flow estimates, based on information available to us at the time, indicate that their carrying value may not be recoverable. We may also record additional impairment losses in the future.</w:t>
      </w:r>
    </w:p>
    <w:p>
      <w:pPr>
        <w:spacing w:after="0" w:line="131"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b w:val="1"/>
          <w:bCs w:val="1"/>
          <w:i w:val="1"/>
          <w:iCs w:val="1"/>
          <w:color w:val="auto"/>
        </w:rPr>
        <w:t>Vessel upgrade, repair and construction projects are subject to risks, including delays, cost overruns, and failure to secure contracts.</w:t>
      </w:r>
    </w:p>
    <w:p>
      <w:pPr>
        <w:spacing w:after="0" w:line="10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our newbuild semi-submersible well intervention vessel, is currently under construction. Additional ROVs and trenchers are also constructed from time to time. Depending on available opportunities and market conditions, additional vessels may be constructed for our fleet in the future without first obtaining service contracts covering those vessels. Specifically, our </w:t>
      </w:r>
      <w:r>
        <w:rPr>
          <w:rFonts w:ascii="Arial" w:cs="Arial" w:eastAsia="Arial" w:hAnsi="Arial"/>
          <w:sz w:val="18"/>
          <w:szCs w:val="18"/>
          <w:i w:val="1"/>
          <w:iCs w:val="1"/>
          <w:color w:val="auto"/>
        </w:rPr>
        <w:t>Q7000</w:t>
      </w:r>
      <w:r>
        <w:rPr>
          <w:rFonts w:ascii="Arial" w:cs="Arial" w:eastAsia="Arial" w:hAnsi="Arial"/>
          <w:sz w:val="18"/>
          <w:szCs w:val="18"/>
          <w:color w:val="auto"/>
        </w:rPr>
        <w:t xml:space="preserve"> vessel does not have any contracted backlog. Our failure to secure service contracts for vessels or other assets under construction could adversely affect our financial position, results of operations and cash flows. In addition, we incur significant upgrade, refurbishment and repair expenditures on our fleet from time to time. Some of these expenditures are unplanned. These projects are subject to risks of delay or cost overruns inherent in any large construction project resulting from numerous factors, including:</w:t>
      </w:r>
    </w:p>
    <w:p>
      <w:pPr>
        <w:spacing w:after="0" w:line="1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of equipment, materials or skilled labor;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unscheduled delays in the delivery of ordered materials and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increases in the cost of equipment, labor and raw materials, particularly steel;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interferences;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and engineering problems;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social and economic instability, war and civil disturbances;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customs clearance of critical parts or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or other difficulties or failures at shipyards and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with shipyards and suppliers;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 stoppages and other labor disputes.</w:t>
      </w:r>
    </w:p>
    <w:p>
      <w:pPr>
        <w:spacing w:after="0" w:line="171"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Delays in the delivery of vessels being constructed or undergoing upgrades, refurbishment or repair may result in delay in contract commencement, resulting in a loss of revenue and cash flow to us, and may cause our customers to seek to terminate or shorten the terms of their contract, and/or seek delay damages, under applicable late delivery clauses, if any. The contracts for our chartered vessels in Brazil have penalty provisions for late delivery of the vessels to Petrobras. Those penalties can escalate and become significant with an extended delay, and if the vessels are late in delivery to Petrobras beyond a certain date, the contracts also may be terminated. In the event of termination of these and other contracts, we may not be able to secure a replacement contract on favorable terms, if at all.</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estimated capital expenditures for vessels, upgrades, refurbishments and construction projects could materially exceed our planned capital expenditures. Moreover, our vessels undergoing upgrades, refurbishment and repair may not earn a day rate during the period they are out of service. Additionally, as vessels age, they are more likely to be subject to higher maintenance and repair activities and thus suffer lower levels of utilization. Any significant period of unplanned maintenance and repairs related to our vessels could have a material adverse effect on our financial position, results of operations and cash flows.</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b w:val="1"/>
          <w:bCs w:val="1"/>
          <w:i w:val="1"/>
          <w:iCs w:val="1"/>
          <w:color w:val="auto"/>
        </w:rPr>
        <w:t>Our contracting business typically declines in winter, and bad weather in the Gulf of Mexico or North Sea can adversely affect our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Marine operations conducted in the Gulf of Mexico and North Sea are seasonal and depend, in part, on weather conditions. Historically, we have enjoyed our highest vessel utilization rates during the summer and fall when weather conditions are favorable for offshore exploration, development and construction activities. We typically have experienced our lowest utilization rates in the first quarter. As is common in the industry, we may bear the risk of delays caused by some adverse weather conditions. Accordingly, our results in any one quarter are not necessarily indicative of annual results or continuing trends.</w:t>
      </w:r>
    </w:p>
    <w:p>
      <w:pPr>
        <w:spacing w:after="0" w:line="20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Certain areas in and near the Gulf of Mexico and North Sea experience unfavorable weather conditions including hurricanes and extreme storms on a relatively frequent basis. Substantially all of our facilities and assets offshore and along the Gulf of Mexico and the North Sea are susceptible to damage and/or total loss by these storms. Damage caused by high winds and turbulent seas could potentially cause us to curtail service operations for significant periods of time until damage can be assessed and repaired. Moreover, even if we do not experience direct damage from any of these weather events, we may experience disruptions in our operations because customers may curtail their offshore activities due to damage to their platforms, pipelines and other related facilities.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operation of marine vessels is risky, and we do not have insurance coverage for all risks.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Vessel-based offshore services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suspension of operations. Damage arising from such occurrences may result in lawsuits asserting large claims. Insurance may not be sufficient or effective under all circumstances or against all hazards to which we may be subject. A successful liability claim for which we are not fully insured could have a material adverse effect on our financial condition. Moreover, we cannot assure you that we will be able to maintain adequate insurance in the future at rates that we consider reasonable. In some instances, certain insurance could become unavailable or available only for reduced amounts of coverage. For example, insurance carriers are now requiring broad exclusions for losses due to war risk and terrorist acts, and limitations for wind storm damages. The current insurance on our vessels is in amounts approximating replacement value. In the event of property loss due to a catastrophic marine disaster, mechanical failure, collision or other event, insurance may not cover a substantial loss of revenue, increased costs and other liabilities, and therefore the loss of any of our vessels could have a material adverse effect on us.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customers may be unable or unwilling to indemnify us.</w:t>
      </w:r>
    </w:p>
    <w:p>
      <w:pPr>
        <w:spacing w:after="0" w:line="24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Consistent with standard industry practice, we typically obtain contractual indemnification from our customers whereby they agree to protect and indemnify us for liabilities resulting from various hazards associated with offshore operations. We can provide no assurance, however, that our customers will be willing or financially able to meet these indemnification obligations. Also, we may choose not to enforce these indemnities because of business reasons.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Enhanced regulations for deepwater offshore drilling may reduce the need for our services.</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Exploration and development activities and the production and sale of oil and natural gas are subject to extensive federal, state, local and international regulations. To conduct deepwater drilling in the U.S. Gulf of Mexico, an operator is required to comply with existing and newly developed regulations and enhanced safety standards. Before drilling may commence, the BSEE conducts many inspections of deepwater drilling operations for compliance with its regulations, including the testing of blowout preventers. Operators also are required to comply with the Safety and Environmental Management System regulations (SEMS) within the deadlines specified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by the regulations, and ensure that their contractors have SEMS compliant safety and environmental policies and procedures. Additionally, each operator must demonstrate that it has containment resources that are available promptly in the event of a deepwater blowout, regardless of the company or operator involved. It is expected that the BOEM and the BSEE will continue to issue further regulations regarding deepwater offshore drilling. Our business, a significant portion of which is in the Gulf of Mexico, provides development services to newly drilled wells, and therefore relies heavily on the industry’s drilling of new oil and gas wells. If the issuance of permits is significantly delayed, or if other oil and gas operations are delayed or reduced due to increased costs, demand for our services in the Gulf of Mexico may also decline. Moreover, if our vessels are not redeployed to other locations where we can provide our services at a profitable rate, our business, financial condition and results of operations would be materially adversely affected.</w:t>
      </w:r>
    </w:p>
    <w:p>
      <w:pPr>
        <w:spacing w:after="0" w:line="20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cannot predict with any certainty the substance or effect of any new or additional regulations in the United States or in other areas around the world. If the United States or other countries where our customers operate enact stricter restrictions on offshore drilling or further regulate offshore drilling and thereby increase costs and/or cause delays for our customers, and this results in decreased demand for or profitability of our services, our business, financial condition and results of operations could be materially adversely affected.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regulations may affect our business operations.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business is affected by changes in public policy and by federal, state, local and foreign laws and regulations relating to the offshore oil and gas industry. Offshore oil and gas operations are affected by tax, environmental, safety and other laws, by changes in those laws, application or interpretation of existing laws, and changes in related administrative regulations. It is also possible that these laws and regulations may in the future add significantly to our operating costs or those of our customers or otherwise directly or indirectly affect our operations.</w:t>
      </w:r>
    </w:p>
    <w:p>
      <w:pPr>
        <w:spacing w:after="0" w:line="20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Risks of substantial costs and liabilities related to environmental compliance issues are inherent in our operations. Our operations are subject to extensive federal, state, local and foreign laws and regulations relating to the generation, storage, handling, emission, transportation and discharge of materials into the environment. Permits are required for the operations of various facilities, and those permits are subject to revocation, modification and renewal. Government authorities have the power to enforce compliance with their regulations, and violations are subject to fines, injunctions or both. In some cases, those governmental requirements can impose liability for the entire cost of cleanup on any responsible party without regard to negligence or fault and impose liability on us for the conduct of others or conditions others have caused, or for our acts that complied with all applicable requirements when we performed them. It is possible that other developments, such as stricter environmental laws and regulations, and claims for damages to property or persons resulting from our operations, would result in substantial costs and liabilities. Our insurance policies and the contractual indemnity protection we seek to obtain from our customers may not be sufficient or effective to protect us under all circumstances or against all risk involving compliance with environmental laws and regulations.</w:t>
      </w:r>
    </w:p>
    <w:p>
      <w:pPr>
        <w:spacing w:after="0" w:line="190"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foreign anti-bribery legislation could have a material adverse impact on our business.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U.S. Foreign Corrupt Practices Act (the “FCPA”) and similar anti-bribery laws in other jurisdictions, including the United Kingdom Bribery Act 2010 and Brazil’s Clean Company Act, generally prohibit companies and their intermediaries from making improper payments to foreign officials for the purpose of obtaining or retaining business. We operate in many parts of the world that have experienced governmental corruption to some degree. We have a robust ethics and compliance program that is designed to deter or detect violations of applicable laws and regulations through the application of our anti-corruption policies and procedures, Code of Business Conduct and Ethics, training, internal controls, investigation and remediation activities, and other measures. However, our ethics and compliance program may not be fully effective in preventing all employees, contractors or intermediaries from violating or circumventing our compliance requirements or applicable laws and regulations. Failure to comply with the FCPA or other anti-bribery legislation could subject us to civil and criminal penalties or other sanctions, which could have a material adverse effect on our business, financial position, results of operations and cash flows, and cause reputational damage. We could also face fines, sanctions and other penalties from authorities in the relevant foreign jurisdictions, including prohibition of our participating in or curtailment of business operations in those jurisdictions and the seizure of vessels or other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operations outside of the United States subject us to additional risks.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operations outside of the United States are subject to risks inherent in foreign operations, including:</w:t>
      </w:r>
    </w:p>
    <w:p>
      <w:pPr>
        <w:spacing w:after="0" w:line="171" w:lineRule="exact"/>
        <w:rPr>
          <w:sz w:val="20"/>
          <w:szCs w:val="20"/>
          <w:color w:val="auto"/>
        </w:rPr>
      </w:pPr>
    </w:p>
    <w:p>
      <w:pPr>
        <w:ind w:left="660" w:right="2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revenue, property and equipment from expropriation, nationalization, war, insurrection, acts of terrorism and other political risks;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taxes and governmental royalties;</w:t>
      </w:r>
    </w:p>
    <w:p>
      <w:pPr>
        <w:spacing w:after="0" w:line="63"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affecting our operations, including changes in customs, assessments and procedures, and changes in similar laws and regulations that may affect our ability to move our assets in and out of foreign jurisdictions;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renegotiation or abrogation of contracts with governmental and quasi-governmental entities;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policies governing operations of foreign-based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restrictions and exchange rate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economic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or quotas on production and commodity sales;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market access;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uncertainties arising out of foreign government sovereignty over our international operations.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Certain countries have in place or are in the process of developing complex laws for foreign companies doing business in these countries, such as local content requirements. Some of these laws are difficult to interpret, making compliance uncertain, and others increase the cost of doing business, which may make it difficult for us in some cases to be competitive. In addition, laws and policies of the United States affecting foreign trade and taxation may also adversely affect our international operations.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are exposed to currency devaluation and fluctuation risk</w:t>
      </w:r>
      <w:r>
        <w:rPr>
          <w:rFonts w:ascii="Arial" w:cs="Arial" w:eastAsia="Arial" w:hAnsi="Arial"/>
          <w:sz w:val="18"/>
          <w:szCs w:val="18"/>
          <w:color w:val="auto"/>
        </w:rPr>
        <w:t>.</w:t>
      </w:r>
    </w:p>
    <w:p>
      <w:pPr>
        <w:spacing w:after="0" w:line="19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Since we are a global company, our international operations are exposed to foreign currency exchange rate risks on all contracts denominated in foreign currencies. For some of our international contracts, a portion of the revenue and local expenses is incurred in local currencies and we are at risk of changes in the exchange rates between the U.S. dollar and foreign currencies. In some instances, we receive payments in currencies which are not easily traded and may be illiquid. The reporting currency for our consolidated financial statements is the U.S. dollar. Certain of our assets, liabilities, revenues and expenses are denominated in other countries’ currencies. Those assets, liabilities, revenues and expenses are translated into U.S. dollars at the applicable exchange rates to prepare our consolidated financial statements. Therefore, increases or decreases in exchange rates between the U.S. dollar and those other currencies affect the value of those items as reflected in our consolidated financial statements, even if their value remains unchanged in their original currency.</w:t>
      </w:r>
    </w:p>
    <w:p>
      <w:pPr>
        <w:spacing w:after="0" w:line="130" w:lineRule="exact"/>
        <w:rPr>
          <w:sz w:val="20"/>
          <w:szCs w:val="20"/>
          <w:color w:val="auto"/>
        </w:rPr>
      </w:pPr>
    </w:p>
    <w:p>
      <w:pPr>
        <w:ind w:right="720" w:firstLine="648"/>
        <w:spacing w:after="0" w:line="287" w:lineRule="auto"/>
        <w:rPr>
          <w:sz w:val="20"/>
          <w:szCs w:val="20"/>
          <w:color w:val="auto"/>
        </w:rPr>
      </w:pPr>
      <w:r>
        <w:rPr>
          <w:rFonts w:ascii="Arial" w:cs="Arial" w:eastAsia="Arial" w:hAnsi="Arial"/>
          <w:sz w:val="18"/>
          <w:szCs w:val="18"/>
          <w:b w:val="1"/>
          <w:bCs w:val="1"/>
          <w:i w:val="1"/>
          <w:iCs w:val="1"/>
          <w:color w:val="auto"/>
        </w:rPr>
        <w:t>The loss of the services of one or more of our key employees, or our failure to attract and retain other highly qualified personnel in the future, could disrupt our operations and adversely affect our financial results.</w:t>
      </w:r>
    </w:p>
    <w:p>
      <w:pPr>
        <w:spacing w:after="0" w:line="12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industry has lost a significant number of experienced professionals over the years due to its cyclical nature, which is attributable, among other reasons, to the volatility in oil and gas prices. Our continued success depends on the active participation of our key employees. The loss of our key people could adversely affect our operations. The delivery of our services also requires personnel with specialized skills and experience. As a result, our ability to remain productive and profitable will depend upon our ability to employ and retain skilled workers. For certain projects we may have competition for personnel with the requisite skill set, including from drilling companies.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 breaches or business system disruptions may adversely affect our business.</w:t>
      </w:r>
    </w:p>
    <w:p>
      <w:pPr>
        <w:spacing w:after="0" w:line="19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rely on our information technology infrastructure and management information systems to operate and record aspects of our business. Although we take measures to protect against cybersecurity risks, including unauthorized access to our confidential and proprietary information, our security measures may not be able to detect or prevent every attempted breach. Similar to other companies, we may be subject to cybersecurity breaches caused by, among other things, illegal hacking, computer viruses, or acts of vandalism or terrorism. A breach could result in an interruption in our operations, unauthorized publication of our confidential business or proprietary information, unauthorized release of customer or employee data, violation of privacy or other laws, and exposure to litigation. Any such breach could materially harm our business and operating results.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b w:val="1"/>
          <w:bCs w:val="1"/>
          <w:i w:val="1"/>
          <w:iCs w:val="1"/>
          <w:color w:val="auto"/>
        </w:rPr>
        <w:t>Certain provisions of our corporate documents and Minnesota law may discourage a third party from making a takeover proposal.</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Articles of Incorporation give our Board of Directors the authority, without any action by our shareholders, to fix the rights and preferences on up to 4,994,000 shares of undesignated preferred stock, including dividend, liquidation and voting rights. In addition, our by-laws divide the Board of Directors into three classes. We are also subject to certain anti-takeover provisions of the Minnesota Business Corporation Act. We also have employment arrangements with all of our executive officers that require cash payments in the event of a “change of control.” Any or all of the provisions or factors described above may discourage a takeover proposal or tender offer not approved by management and the Board of Directors and could result in shareholders who may wish to participate in such a proposal or tender offer receiving less for their shares than otherwise might be available in the event of a takeover attempt.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OUR VESSELS</w:t>
      </w:r>
    </w:p>
    <w:p>
      <w:pPr>
        <w:spacing w:after="0" w:line="24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We own a fleet of six vessels, four IRSs, four SILs, 52 ROVs, five trenchers and two ROVDrills. We also charter five vessels. Currently all of our vessels, both owned and chartered, have DP capabilities specifically designed to meet the needs of our customers’ deepwater activities. Our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vessels have built-in saturation diving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Listing of Vessels and Other Assets Related to Operations </w:t>
      </w:r>
      <w:r>
        <w:rPr>
          <w:rFonts w:ascii="Arial" w:cs="Arial" w:eastAsia="Arial" w:hAnsi="Arial"/>
          <w:sz w:val="21"/>
          <w:szCs w:val="21"/>
          <w:b w:val="1"/>
          <w:bCs w:val="1"/>
          <w:color w:val="auto"/>
          <w:vertAlign w:val="superscript"/>
        </w:rPr>
        <w:t>(1)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Placed</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8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Flag</w:t>
            </w:r>
          </w:p>
        </w:tc>
        <w:tc>
          <w:tcPr>
            <w:tcW w:w="17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in</w:t>
            </w:r>
          </w:p>
        </w:tc>
        <w:tc>
          <w:tcPr>
            <w:tcW w:w="17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Length</w:t>
            </w:r>
          </w:p>
        </w:tc>
        <w:tc>
          <w:tcPr>
            <w:tcW w:w="18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Saturation</w:t>
            </w:r>
          </w:p>
        </w:tc>
        <w:tc>
          <w:tcPr>
            <w:tcW w:w="1240" w:type="dxa"/>
            <w:vAlign w:val="bottom"/>
          </w:tcPr>
          <w:p>
            <w:pPr>
              <w:spacing w:after="0"/>
              <w:rPr>
                <w:sz w:val="17"/>
                <w:szCs w:val="17"/>
                <w:color w:val="auto"/>
              </w:rPr>
            </w:pPr>
          </w:p>
        </w:tc>
      </w:tr>
      <w:tr>
        <w:trPr>
          <w:trHeight w:val="259"/>
        </w:trPr>
        <w:tc>
          <w:tcPr>
            <w:tcW w:w="310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State</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 xml:space="preserve">Service </w:t>
            </w:r>
            <w:r>
              <w:rPr>
                <w:rFonts w:ascii="Arial" w:cs="Arial" w:eastAsia="Arial" w:hAnsi="Arial"/>
                <w:sz w:val="21"/>
                <w:szCs w:val="21"/>
                <w:b w:val="1"/>
                <w:bCs w:val="1"/>
                <w:color w:val="auto"/>
                <w:w w:val="97"/>
                <w:vertAlign w:val="superscript"/>
              </w:rPr>
              <w:t>(2)</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(Feet)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Diving</w:t>
            </w:r>
          </w:p>
        </w:tc>
        <w:tc>
          <w:tcPr>
            <w:tcW w:w="1240" w:type="dxa"/>
            <w:vAlign w:val="bottom"/>
          </w:tcPr>
          <w:p>
            <w:pPr>
              <w:ind w:left="500"/>
              <w:spacing w:after="0"/>
              <w:rPr>
                <w:sz w:val="20"/>
                <w:szCs w:val="20"/>
                <w:color w:val="auto"/>
              </w:rPr>
            </w:pPr>
            <w:r>
              <w:rPr>
                <w:rFonts w:ascii="Arial" w:cs="Arial" w:eastAsia="Arial" w:hAnsi="Arial"/>
                <w:sz w:val="18"/>
                <w:szCs w:val="18"/>
                <w:b w:val="1"/>
                <w:bCs w:val="1"/>
                <w:color w:val="auto"/>
              </w:rPr>
              <w:t>DP</w:t>
            </w: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Floating Production Unit —</w:t>
            </w: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Helix Producer I </w:t>
            </w:r>
            <w:r>
              <w:rPr>
                <w:rFonts w:ascii="Arial" w:cs="Arial" w:eastAsia="Arial" w:hAnsi="Arial"/>
                <w:sz w:val="21"/>
                <w:szCs w:val="21"/>
                <w:color w:val="auto"/>
                <w:vertAlign w:val="superscript"/>
              </w:rPr>
              <w:t>(3)</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Bahamas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4/2009</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528</w:t>
            </w: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DP2</w:t>
            </w: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Well Intervention —</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Q4000 </w:t>
            </w:r>
            <w:r>
              <w:rPr>
                <w:rFonts w:ascii="Arial" w:cs="Arial" w:eastAsia="Arial" w:hAnsi="Arial"/>
                <w:sz w:val="21"/>
                <w:szCs w:val="21"/>
                <w:color w:val="auto"/>
                <w:vertAlign w:val="superscript"/>
              </w:rPr>
              <w:t>(4)</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U.S.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4/2002</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312</w:t>
            </w: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DP3</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 xml:space="preserve">Seawell </w:t>
            </w:r>
            <w:r>
              <w:rPr>
                <w:rFonts w:ascii="Arial" w:cs="Arial" w:eastAsia="Arial" w:hAnsi="Arial"/>
                <w:sz w:val="21"/>
                <w:szCs w:val="21"/>
                <w:color w:val="auto"/>
                <w:vertAlign w:val="superscript"/>
              </w:rPr>
              <w:t>(5)</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rPr>
              <w:t>U.K.</w:t>
            </w: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7/2002</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368</w:t>
            </w:r>
          </w:p>
        </w:tc>
        <w:tc>
          <w:tcPr>
            <w:tcW w:w="100" w:type="dxa"/>
            <w:vAlign w:val="bottom"/>
          </w:tcPr>
          <w:p>
            <w:pPr>
              <w:spacing w:after="0"/>
              <w:rPr>
                <w:sz w:val="23"/>
                <w:szCs w:val="23"/>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Capable</w:t>
            </w:r>
          </w:p>
        </w:tc>
        <w:tc>
          <w:tcPr>
            <w:tcW w:w="1240" w:type="dxa"/>
            <w:vAlign w:val="bottom"/>
          </w:tcPr>
          <w:p>
            <w:pPr>
              <w:jc w:val="center"/>
              <w:spacing w:after="0"/>
              <w:rPr>
                <w:sz w:val="20"/>
                <w:szCs w:val="20"/>
                <w:color w:val="auto"/>
              </w:rPr>
            </w:pPr>
            <w:r>
              <w:rPr>
                <w:rFonts w:ascii="Arial" w:cs="Arial" w:eastAsia="Arial" w:hAnsi="Arial"/>
                <w:sz w:val="18"/>
                <w:szCs w:val="18"/>
                <w:color w:val="auto"/>
              </w:rPr>
              <w:t>DP2</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Well Enhancer</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U.K.</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10/2009</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432</w:t>
            </w:r>
          </w:p>
        </w:tc>
        <w:tc>
          <w:tcPr>
            <w:tcW w:w="1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Capable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DP2</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 xml:space="preserve">Skandi Constructor </w:t>
            </w:r>
            <w:r>
              <w:rPr>
                <w:rFonts w:ascii="Arial" w:cs="Arial" w:eastAsia="Arial" w:hAnsi="Arial"/>
                <w:sz w:val="21"/>
                <w:szCs w:val="21"/>
                <w:color w:val="auto"/>
                <w:vertAlign w:val="superscript"/>
              </w:rPr>
              <w:t>(6)</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Bahamas</w:t>
            </w:r>
          </w:p>
        </w:tc>
        <w:tc>
          <w:tcPr>
            <w:tcW w:w="1600" w:type="dxa"/>
            <w:vAlign w:val="bottom"/>
          </w:tcPr>
          <w:p>
            <w:pPr>
              <w:jc w:val="center"/>
              <w:spacing w:after="0"/>
              <w:rPr>
                <w:sz w:val="20"/>
                <w:szCs w:val="20"/>
                <w:color w:val="auto"/>
              </w:rPr>
            </w:pPr>
            <w:r>
              <w:rPr>
                <w:rFonts w:ascii="Arial" w:cs="Arial" w:eastAsia="Arial" w:hAnsi="Arial"/>
                <w:sz w:val="18"/>
                <w:szCs w:val="18"/>
                <w:color w:val="auto"/>
              </w:rPr>
              <w:t>4/2013</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395</w:t>
            </w:r>
          </w:p>
        </w:tc>
        <w:tc>
          <w:tcPr>
            <w:tcW w:w="100" w:type="dxa"/>
            <w:vAlign w:val="bottom"/>
          </w:tcPr>
          <w:p>
            <w:pPr>
              <w:spacing w:after="0"/>
              <w:rPr>
                <w:sz w:val="23"/>
                <w:szCs w:val="2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DP3</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Helix 534</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Bahamas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2/2014</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534</w:t>
            </w:r>
          </w:p>
        </w:tc>
        <w:tc>
          <w:tcPr>
            <w:tcW w:w="1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DP2</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 xml:space="preserve">Q5000 </w:t>
            </w:r>
            <w:r>
              <w:rPr>
                <w:rFonts w:ascii="Arial" w:cs="Arial" w:eastAsia="Arial" w:hAnsi="Arial"/>
                <w:sz w:val="21"/>
                <w:szCs w:val="21"/>
                <w:color w:val="auto"/>
                <w:vertAlign w:val="superscript"/>
              </w:rPr>
              <w:t>(7)</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Bahamas</w:t>
            </w:r>
          </w:p>
        </w:tc>
        <w:tc>
          <w:tcPr>
            <w:tcW w:w="1600" w:type="dxa"/>
            <w:vAlign w:val="bottom"/>
          </w:tcPr>
          <w:p>
            <w:pPr>
              <w:jc w:val="center"/>
              <w:spacing w:after="0"/>
              <w:rPr>
                <w:sz w:val="20"/>
                <w:szCs w:val="20"/>
                <w:color w:val="auto"/>
              </w:rPr>
            </w:pPr>
            <w:r>
              <w:rPr>
                <w:rFonts w:ascii="Arial" w:cs="Arial" w:eastAsia="Arial" w:hAnsi="Arial"/>
                <w:sz w:val="18"/>
                <w:szCs w:val="18"/>
                <w:color w:val="auto"/>
              </w:rPr>
              <w:t>4/2015</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358</w:t>
            </w:r>
          </w:p>
        </w:tc>
        <w:tc>
          <w:tcPr>
            <w:tcW w:w="100" w:type="dxa"/>
            <w:vAlign w:val="bottom"/>
          </w:tcPr>
          <w:p>
            <w:pPr>
              <w:spacing w:after="0"/>
              <w:rPr>
                <w:sz w:val="23"/>
                <w:szCs w:val="2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DP3</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 IRSs and 4 SILs</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Robotics —</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52 ROVs, 5 Trenchers and 2</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3"/>
        </w:trPr>
        <w:tc>
          <w:tcPr>
            <w:tcW w:w="310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 xml:space="preserve">ROVDrills </w:t>
            </w:r>
            <w:r>
              <w:rPr>
                <w:rFonts w:ascii="Arial" w:cs="Arial" w:eastAsia="Arial" w:hAnsi="Arial"/>
                <w:sz w:val="21"/>
                <w:szCs w:val="21"/>
                <w:color w:val="auto"/>
                <w:vertAlign w:val="superscript"/>
              </w:rPr>
              <w:t>(3), (8)</w:t>
            </w:r>
          </w:p>
        </w:tc>
        <w:tc>
          <w:tcPr>
            <w:tcW w:w="1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 xml:space="preserve">Deep Cygnus </w:t>
            </w:r>
            <w:r>
              <w:rPr>
                <w:rFonts w:ascii="Arial" w:cs="Arial" w:eastAsia="Arial" w:hAnsi="Arial"/>
                <w:sz w:val="21"/>
                <w:szCs w:val="21"/>
                <w:color w:val="auto"/>
                <w:vertAlign w:val="superscript"/>
              </w:rPr>
              <w:t>(6)</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rPr>
              <w:t>Panama</w:t>
            </w:r>
          </w:p>
        </w:tc>
        <w:tc>
          <w:tcPr>
            <w:tcW w:w="1600" w:type="dxa"/>
            <w:vAlign w:val="bottom"/>
          </w:tcPr>
          <w:p>
            <w:pPr>
              <w:jc w:val="center"/>
              <w:spacing w:after="0"/>
              <w:rPr>
                <w:sz w:val="20"/>
                <w:szCs w:val="20"/>
                <w:color w:val="auto"/>
              </w:rPr>
            </w:pPr>
            <w:r>
              <w:rPr>
                <w:rFonts w:ascii="Arial" w:cs="Arial" w:eastAsia="Arial" w:hAnsi="Arial"/>
                <w:sz w:val="18"/>
                <w:szCs w:val="18"/>
                <w:color w:val="auto"/>
              </w:rPr>
              <w:t>4/2010</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tcPr>
          <w:p>
            <w:pPr>
              <w:spacing w:after="0"/>
              <w:rPr>
                <w:sz w:val="23"/>
                <w:szCs w:val="2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DP2</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Grand Canyon </w:t>
            </w:r>
            <w:r>
              <w:rPr>
                <w:rFonts w:ascii="Arial" w:cs="Arial" w:eastAsia="Arial" w:hAnsi="Arial"/>
                <w:sz w:val="21"/>
                <w:szCs w:val="21"/>
                <w:color w:val="auto"/>
                <w:vertAlign w:val="superscript"/>
              </w:rPr>
              <w:t>(6)</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Panama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10/2012</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419</w:t>
            </w:r>
          </w:p>
        </w:tc>
        <w:tc>
          <w:tcPr>
            <w:tcW w:w="1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DP3</w:t>
            </w:r>
          </w:p>
        </w:tc>
      </w:tr>
      <w:tr>
        <w:trPr>
          <w:trHeight w:val="270"/>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 xml:space="preserve">Rem Installer </w:t>
            </w:r>
            <w:r>
              <w:rPr>
                <w:rFonts w:ascii="Arial" w:cs="Arial" w:eastAsia="Arial" w:hAnsi="Arial"/>
                <w:sz w:val="21"/>
                <w:szCs w:val="21"/>
                <w:color w:val="auto"/>
                <w:vertAlign w:val="superscript"/>
              </w:rPr>
              <w:t>(6)</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Norway</w:t>
            </w:r>
          </w:p>
        </w:tc>
        <w:tc>
          <w:tcPr>
            <w:tcW w:w="1600" w:type="dxa"/>
            <w:vAlign w:val="bottom"/>
          </w:tcPr>
          <w:p>
            <w:pPr>
              <w:jc w:val="center"/>
              <w:spacing w:after="0"/>
              <w:rPr>
                <w:sz w:val="20"/>
                <w:szCs w:val="20"/>
                <w:color w:val="auto"/>
              </w:rPr>
            </w:pPr>
            <w:r>
              <w:rPr>
                <w:rFonts w:ascii="Arial" w:cs="Arial" w:eastAsia="Arial" w:hAnsi="Arial"/>
                <w:sz w:val="18"/>
                <w:szCs w:val="18"/>
                <w:color w:val="auto"/>
              </w:rPr>
              <w:t>7/2013</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353</w:t>
            </w:r>
          </w:p>
        </w:tc>
        <w:tc>
          <w:tcPr>
            <w:tcW w:w="100" w:type="dxa"/>
            <w:vAlign w:val="bottom"/>
          </w:tcPr>
          <w:p>
            <w:pPr>
              <w:spacing w:after="0"/>
              <w:rPr>
                <w:sz w:val="23"/>
                <w:szCs w:val="2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DP2</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Grand Canyon II </w:t>
            </w:r>
            <w:r>
              <w:rPr>
                <w:rFonts w:ascii="Arial" w:cs="Arial" w:eastAsia="Arial" w:hAnsi="Arial"/>
                <w:sz w:val="21"/>
                <w:szCs w:val="21"/>
                <w:color w:val="auto"/>
                <w:vertAlign w:val="superscript"/>
              </w:rPr>
              <w:t>(6)</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Panama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4/2015</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419</w:t>
            </w:r>
          </w:p>
        </w:tc>
        <w:tc>
          <w:tcPr>
            <w:tcW w:w="1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DP3</w:t>
            </w:r>
          </w:p>
        </w:tc>
      </w:tr>
      <w:tr>
        <w:trPr>
          <w:trHeight w:val="459"/>
        </w:trPr>
        <w:tc>
          <w:tcPr>
            <w:tcW w:w="3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right="100" w:hanging="652"/>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government regulations and our insurance policies, we are required to maintain our vessels in accordance with standards of seaworthiness and safety set by government regulations and classification organizations. We maintain our fleet to the standards for seaworthiness, safety and health set by the ABS, Bureau Veritas (“BV”), Det Norske Veritas (“DNV”), Lloyds Register of Shipping (“Lloyds”), and the Coast Guard. ABS, BV, DNV and Lloyds are classification societies used by ship owners to certify that their vessels meet certain structural, mechanical and safety equipment standards.</w:t>
      </w:r>
    </w:p>
    <w:p>
      <w:pPr>
        <w:spacing w:after="0" w:line="9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date we placed the vessel in service and not the date of commissioning.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security for our Credit Agreement described in Note 7.</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a vessel mortgage securing our MARAD debt described in Note 7.</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Currently warm stacked.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Chartered vessel.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as security for our Nordea Q5000 Loan described in Note 7.</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age of our fleet of ROVs, trenchers and ROVDrills is approximately 6.9 years.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incur routine dry dock, inspection, maintenance and repair costs pursuant to applicable statutory regulations in order to maintain our vessels under the rules of the applicable class society. In addition to complying with these requirements, we have our own vessel maintenance program that we believe permits us to continue to provide our customers with well-maintained, reliable vessels. In the normal course of business, we charter other vessels on a short-term basis, such as tugboats, cargo barges, utility boats and additional robotics support vessels.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FACILITIES</w:t>
      </w:r>
    </w:p>
    <w:p>
      <w:pPr>
        <w:spacing w:after="0" w:line="24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own a 20% interest in Independence Hub, which owns the Independence Hub platform that serves as a regional hub located in the eastern Gulf of Mexico. We previously owned a 50% interest in Deepwater Gateway, which owns the Marco Polo TLP located in the Gulf of Mexico. In February 2016, we sold our ownership interest in Deepwater Gateway for $25 million.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Our corporate headquarters are located at 3505 West Sam Houston Parkway North, Suite 400, Houston, Texas. We currently lease all of our facilities. The list of our facilities as of January 31, 2016 is as follows: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bottom w:val="single" w:sz="8" w:color="CCEEFF"/>
            </w:tcBorders>
          </w:tcPr>
          <w:p>
            <w:pPr>
              <w:spacing w:after="0"/>
              <w:rPr>
                <w:sz w:val="23"/>
                <w:szCs w:val="23"/>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Function</w:t>
            </w:r>
          </w:p>
        </w:tc>
        <w:tc>
          <w:tcPr>
            <w:tcW w:w="120" w:type="dxa"/>
            <w:vAlign w:val="bottom"/>
            <w:tcBorders>
              <w:bottom w:val="single" w:sz="8" w:color="CCEEFF"/>
            </w:tcBorders>
          </w:tcPr>
          <w:p>
            <w:pPr>
              <w:spacing w:after="0"/>
              <w:rPr>
                <w:sz w:val="23"/>
                <w:szCs w:val="23"/>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Size</w:t>
            </w:r>
          </w:p>
        </w:tc>
      </w:tr>
      <w:tr>
        <w:trPr>
          <w:trHeight w:val="222"/>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Texas</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Helix Energy Solutions Group, Inc.</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118,630 square feet (including 30,104 square feet</w:t>
            </w:r>
          </w:p>
        </w:tc>
      </w:tr>
      <w:tr>
        <w:trPr>
          <w:trHeight w:val="203"/>
        </w:trPr>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Corporate Headquarters, Project</w:t>
            </w:r>
          </w:p>
        </w:tc>
        <w:tc>
          <w:tcPr>
            <w:tcW w:w="4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subject to two years remaining under a sub-lease</w:t>
            </w:r>
          </w:p>
        </w:tc>
      </w:tr>
      <w:tr>
        <w:trPr>
          <w:trHeight w:val="230"/>
        </w:trPr>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Management, and Sales Office</w:t>
            </w:r>
          </w:p>
        </w:tc>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agreement)</w:t>
            </w:r>
          </w:p>
        </w:tc>
      </w:tr>
      <w:tr>
        <w:trPr>
          <w:trHeight w:val="229"/>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Helix Well Ops, Inc.</w:t>
            </w:r>
          </w:p>
        </w:tc>
        <w:tc>
          <w:tcPr>
            <w:tcW w:w="4200" w:type="dxa"/>
            <w:vAlign w:val="bottom"/>
          </w:tcPr>
          <w:p>
            <w:pPr>
              <w:spacing w:after="0"/>
              <w:rPr>
                <w:sz w:val="19"/>
                <w:szCs w:val="19"/>
                <w:color w:val="auto"/>
              </w:rPr>
            </w:pPr>
          </w:p>
        </w:tc>
      </w:t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Corporate Headquarters, Project</w:t>
            </w:r>
          </w:p>
        </w:tc>
        <w:tc>
          <w:tcPr>
            <w:tcW w:w="4200" w:type="dxa"/>
            <w:vAlign w:val="bottom"/>
          </w:tcPr>
          <w:p>
            <w:pPr>
              <w:spacing w:after="0"/>
              <w:rPr>
                <w:sz w:val="17"/>
                <w:szCs w:val="17"/>
                <w:color w:val="auto"/>
              </w:rPr>
            </w:pPr>
          </w:p>
        </w:tc>
      </w:tr>
      <w:tr>
        <w:trPr>
          <w:trHeight w:val="224"/>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Management and Sales Office</w:t>
            </w:r>
          </w:p>
        </w:tc>
        <w:tc>
          <w:tcPr>
            <w:tcW w:w="4200" w:type="dxa"/>
            <w:vAlign w:val="bottom"/>
          </w:tcPr>
          <w:p>
            <w:pPr>
              <w:spacing w:after="0"/>
              <w:rPr>
                <w:sz w:val="19"/>
                <w:szCs w:val="19"/>
                <w:color w:val="auto"/>
              </w:rPr>
            </w:pPr>
          </w:p>
        </w:tc>
      </w:tr>
      <w:tr>
        <w:trPr>
          <w:trHeight w:val="235"/>
        </w:trPr>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Canyon Offshore, Inc.</w:t>
            </w:r>
          </w:p>
        </w:tc>
        <w:tc>
          <w:tcPr>
            <w:tcW w:w="4200" w:type="dxa"/>
            <w:vAlign w:val="bottom"/>
            <w:shd w:val="clear" w:color="auto" w:fill="CCEEFF"/>
          </w:tcPr>
          <w:p>
            <w:pPr>
              <w:spacing w:after="0"/>
              <w:rPr>
                <w:sz w:val="20"/>
                <w:szCs w:val="20"/>
                <w:color w:val="auto"/>
              </w:rPr>
            </w:pPr>
          </w:p>
        </w:tc>
      </w:tr>
      <w:tr>
        <w:trPr>
          <w:trHeight w:val="230"/>
        </w:trPr>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Management and Sales Office</w:t>
            </w:r>
          </w:p>
        </w:tc>
        <w:tc>
          <w:tcPr>
            <w:tcW w:w="4200" w:type="dxa"/>
            <w:vAlign w:val="bottom"/>
            <w:shd w:val="clear" w:color="auto" w:fill="CCEEFF"/>
          </w:tcPr>
          <w:p>
            <w:pPr>
              <w:spacing w:after="0"/>
              <w:rPr>
                <w:sz w:val="20"/>
                <w:szCs w:val="20"/>
                <w:color w:val="auto"/>
              </w:rPr>
            </w:pPr>
          </w:p>
        </w:tc>
      </w:tr>
      <w:tr>
        <w:trPr>
          <w:trHeight w:val="229"/>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8"/>
                <w:szCs w:val="18"/>
                <w:color w:val="auto"/>
              </w:rPr>
              <w:t>Helix Subsea Construction, Inc.</w:t>
            </w:r>
          </w:p>
        </w:tc>
        <w:tc>
          <w:tcPr>
            <w:tcW w:w="4200" w:type="dxa"/>
            <w:vAlign w:val="bottom"/>
          </w:tcPr>
          <w:p>
            <w:pPr>
              <w:spacing w:after="0"/>
              <w:rPr>
                <w:sz w:val="19"/>
                <w:szCs w:val="19"/>
                <w:color w:val="auto"/>
              </w:rPr>
            </w:pPr>
          </w:p>
        </w:tc>
      </w:tr>
      <w:tr>
        <w:trPr>
          <w:trHeight w:val="224"/>
        </w:trPr>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Corporate Headquarters</w:t>
            </w:r>
          </w:p>
        </w:tc>
        <w:tc>
          <w:tcPr>
            <w:tcW w:w="4200" w:type="dxa"/>
            <w:vAlign w:val="bottom"/>
          </w:tcPr>
          <w:p>
            <w:pPr>
              <w:spacing w:after="0"/>
              <w:rPr>
                <w:sz w:val="19"/>
                <w:szCs w:val="19"/>
                <w:color w:val="auto"/>
              </w:rPr>
            </w:pPr>
          </w:p>
        </w:tc>
      </w:tr>
      <w:tr>
        <w:trPr>
          <w:trHeight w:val="235"/>
        </w:trPr>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Kommandor LLC</w:t>
            </w:r>
          </w:p>
        </w:tc>
        <w:tc>
          <w:tcPr>
            <w:tcW w:w="4200" w:type="dxa"/>
            <w:vAlign w:val="bottom"/>
            <w:shd w:val="clear" w:color="auto" w:fill="CCEEFF"/>
          </w:tcPr>
          <w:p>
            <w:pPr>
              <w:spacing w:after="0"/>
              <w:rPr>
                <w:sz w:val="20"/>
                <w:szCs w:val="20"/>
                <w:color w:val="auto"/>
              </w:rPr>
            </w:pPr>
          </w:p>
        </w:tc>
      </w:tr>
      <w:tr>
        <w:trPr>
          <w:trHeight w:val="230"/>
        </w:trPr>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Corporate Headquarters</w:t>
            </w:r>
          </w:p>
        </w:tc>
        <w:tc>
          <w:tcPr>
            <w:tcW w:w="42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28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655"/>
        </w:trPr>
        <w:tc>
          <w:tcPr>
            <w:tcW w:w="126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Function</w:t>
            </w:r>
          </w:p>
        </w:tc>
        <w:tc>
          <w:tcPr>
            <w:tcW w:w="10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Size</w:t>
            </w:r>
          </w:p>
        </w:tc>
      </w:tr>
      <w:tr>
        <w:trPr>
          <w:trHeight w:val="222"/>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Houston, Texas</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Helix Energy Solutions Group, Inc.</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 acres</w:t>
            </w:r>
          </w:p>
        </w:tc>
      </w:tr>
      <w:tr>
        <w:trPr>
          <w:trHeight w:val="203"/>
        </w:trPr>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Canyon Offshore, Inc.</w:t>
            </w:r>
          </w:p>
        </w:tc>
        <w:tc>
          <w:tcPr>
            <w:tcW w:w="4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(Building: 90,640 square feet)</w:t>
            </w:r>
          </w:p>
        </w:tc>
      </w:tr>
      <w:tr>
        <w:trPr>
          <w:trHeight w:val="224"/>
        </w:trPr>
        <w:tc>
          <w:tcPr>
            <w:tcW w:w="1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32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Warehouse and Storage Facility</w:t>
            </w:r>
          </w:p>
        </w:tc>
        <w:tc>
          <w:tcPr>
            <w:tcW w:w="4220" w:type="dxa"/>
            <w:vAlign w:val="bottom"/>
            <w:tcBorders>
              <w:bottom w:val="single" w:sz="8" w:color="auto"/>
            </w:tcBorders>
            <w:shd w:val="clear" w:color="auto" w:fill="CCEEFF"/>
          </w:tcPr>
          <w:p>
            <w:pPr>
              <w:spacing w:after="0"/>
              <w:rPr>
                <w:sz w:val="19"/>
                <w:szCs w:val="19"/>
                <w:color w:val="auto"/>
              </w:rPr>
            </w:pPr>
          </w:p>
        </w:tc>
      </w:tr>
      <w:tr>
        <w:trPr>
          <w:trHeight w:val="229"/>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Houston, Texas</w:t>
            </w: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Canyon Offshore, Inc.</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3.7 acres</w:t>
            </w:r>
          </w:p>
        </w:tc>
      </w:tr>
      <w:tr>
        <w:trPr>
          <w:trHeight w:val="203"/>
        </w:trPr>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Warehouse and Storage Facility</w:t>
            </w:r>
          </w:p>
        </w:tc>
        <w:tc>
          <w:tcPr>
            <w:tcW w:w="4220" w:type="dxa"/>
            <w:vAlign w:val="bottom"/>
          </w:tcPr>
          <w:p>
            <w:pPr>
              <w:jc w:val="center"/>
              <w:spacing w:after="0" w:line="202" w:lineRule="exact"/>
              <w:rPr>
                <w:sz w:val="20"/>
                <w:szCs w:val="20"/>
                <w:color w:val="auto"/>
              </w:rPr>
            </w:pPr>
            <w:r>
              <w:rPr>
                <w:rFonts w:ascii="Arial" w:cs="Arial" w:eastAsia="Arial" w:hAnsi="Arial"/>
                <w:sz w:val="18"/>
                <w:szCs w:val="18"/>
                <w:color w:val="auto"/>
                <w:w w:val="99"/>
              </w:rPr>
              <w:t>(Building: 22,000 square feet) (subject to two years</w:t>
            </w:r>
          </w:p>
        </w:tc>
      </w:tr>
      <w:tr>
        <w:trPr>
          <w:trHeight w:val="224"/>
        </w:trPr>
        <w:tc>
          <w:tcPr>
            <w:tcW w:w="1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remaining under a sub-lease agreement)</w:t>
            </w:r>
          </w:p>
        </w:tc>
      </w:tr>
      <w:tr>
        <w:trPr>
          <w:trHeight w:val="22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Aberdeen, Scotland</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Helix Well Ops (U.K.) Limited</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27,000 square feet</w:t>
            </w:r>
          </w:p>
        </w:tc>
      </w:tr>
      <w:tr>
        <w:trPr>
          <w:trHeight w:val="230"/>
        </w:trPr>
        <w:tc>
          <w:tcPr>
            <w:tcW w:w="1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Offices and Operations</w:t>
            </w:r>
          </w:p>
        </w:tc>
        <w:tc>
          <w:tcPr>
            <w:tcW w:w="4220" w:type="dxa"/>
            <w:vAlign w:val="bottom"/>
            <w:shd w:val="clear" w:color="auto" w:fill="CCEEFF"/>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Energy Resource Technology</w:t>
            </w:r>
          </w:p>
        </w:tc>
        <w:tc>
          <w:tcPr>
            <w:tcW w:w="4220" w:type="dxa"/>
            <w:vAlign w:val="bottom"/>
          </w:tcPr>
          <w:p>
            <w:pPr>
              <w:spacing w:after="0"/>
              <w:rPr>
                <w:sz w:val="19"/>
                <w:szCs w:val="19"/>
                <w:color w:val="auto"/>
              </w:rPr>
            </w:pPr>
          </w:p>
        </w:tc>
      </w:tr>
      <w:tr>
        <w:trPr>
          <w:trHeight w:val="203"/>
        </w:trPr>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(U.K). Limited</w:t>
            </w:r>
          </w:p>
        </w:tc>
        <w:tc>
          <w:tcPr>
            <w:tcW w:w="4220" w:type="dxa"/>
            <w:vAlign w:val="bottom"/>
          </w:tcPr>
          <w:p>
            <w:pPr>
              <w:spacing w:after="0"/>
              <w:rPr>
                <w:sz w:val="17"/>
                <w:szCs w:val="17"/>
                <w:color w:val="auto"/>
              </w:rPr>
            </w:pPr>
          </w:p>
        </w:tc>
      </w:tr>
      <w:tr>
        <w:trPr>
          <w:trHeight w:val="224"/>
        </w:trPr>
        <w:tc>
          <w:tcPr>
            <w:tcW w:w="1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9"/>
              </w:rPr>
              <w:t>Corporate Offices</w:t>
            </w:r>
          </w:p>
        </w:tc>
        <w:tc>
          <w:tcPr>
            <w:tcW w:w="4220" w:type="dxa"/>
            <w:vAlign w:val="bottom"/>
            <w:tcBorders>
              <w:bottom w:val="single" w:sz="8" w:color="auto"/>
            </w:tcBorders>
          </w:tcPr>
          <w:p>
            <w:pPr>
              <w:spacing w:after="0"/>
              <w:rPr>
                <w:sz w:val="19"/>
                <w:szCs w:val="19"/>
                <w:color w:val="auto"/>
              </w:rPr>
            </w:pPr>
          </w:p>
        </w:tc>
      </w:tr>
      <w:tr>
        <w:trPr>
          <w:trHeight w:val="22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Aberdeen, Scotland</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Helix Well Ops (U.K.) Limited</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14,124 square feet</w:t>
            </w:r>
          </w:p>
        </w:tc>
      </w:tr>
      <w:tr>
        <w:trPr>
          <w:trHeight w:val="224"/>
        </w:trPr>
        <w:tc>
          <w:tcPr>
            <w:tcW w:w="1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32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Warehouse and Storage Facility</w:t>
            </w:r>
          </w:p>
        </w:tc>
        <w:tc>
          <w:tcPr>
            <w:tcW w:w="4220" w:type="dxa"/>
            <w:vAlign w:val="bottom"/>
            <w:tcBorders>
              <w:bottom w:val="single" w:sz="8" w:color="auto"/>
            </w:tcBorders>
            <w:shd w:val="clear" w:color="auto" w:fill="CCEEFF"/>
          </w:tcPr>
          <w:p>
            <w:pPr>
              <w:spacing w:after="0"/>
              <w:rPr>
                <w:sz w:val="19"/>
                <w:szCs w:val="19"/>
                <w:color w:val="auto"/>
              </w:rPr>
            </w:pPr>
          </w:p>
        </w:tc>
      </w:tr>
      <w:tr>
        <w:trPr>
          <w:trHeight w:val="229"/>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Aberdeen (Dyce), Scotland</w:t>
            </w: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Canyon Offshore Limited</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3.9 acres</w:t>
            </w:r>
          </w:p>
        </w:tc>
      </w:tr>
      <w:tr>
        <w:trPr>
          <w:trHeight w:val="203"/>
        </w:trPr>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Corporate Offices, Operations and</w:t>
            </w:r>
          </w:p>
        </w:tc>
        <w:tc>
          <w:tcPr>
            <w:tcW w:w="4220" w:type="dxa"/>
            <w:vAlign w:val="bottom"/>
          </w:tcPr>
          <w:p>
            <w:pPr>
              <w:jc w:val="center"/>
              <w:spacing w:after="0" w:line="202" w:lineRule="exact"/>
              <w:rPr>
                <w:sz w:val="20"/>
                <w:szCs w:val="20"/>
                <w:color w:val="auto"/>
              </w:rPr>
            </w:pPr>
            <w:r>
              <w:rPr>
                <w:rFonts w:ascii="Arial" w:cs="Arial" w:eastAsia="Arial" w:hAnsi="Arial"/>
                <w:sz w:val="18"/>
                <w:szCs w:val="18"/>
                <w:color w:val="auto"/>
                <w:w w:val="99"/>
              </w:rPr>
              <w:t>(Building: 42,463 square feet, including</w:t>
            </w:r>
          </w:p>
        </w:tc>
      </w:tr>
      <w:tr>
        <w:trPr>
          <w:trHeight w:val="203"/>
        </w:trPr>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8"/>
              </w:rPr>
              <w:t>Sales Office</w:t>
            </w:r>
          </w:p>
        </w:tc>
        <w:tc>
          <w:tcPr>
            <w:tcW w:w="4220" w:type="dxa"/>
            <w:vAlign w:val="bottom"/>
          </w:tcPr>
          <w:p>
            <w:pPr>
              <w:jc w:val="center"/>
              <w:spacing w:after="0" w:line="202" w:lineRule="exact"/>
              <w:rPr>
                <w:sz w:val="20"/>
                <w:szCs w:val="20"/>
                <w:color w:val="auto"/>
              </w:rPr>
            </w:pPr>
            <w:r>
              <w:rPr>
                <w:rFonts w:ascii="Arial" w:cs="Arial" w:eastAsia="Arial" w:hAnsi="Arial"/>
                <w:sz w:val="18"/>
                <w:szCs w:val="18"/>
                <w:color w:val="auto"/>
              </w:rPr>
              <w:t>7,000 square feet subject to one year remaining</w:t>
            </w:r>
          </w:p>
        </w:tc>
      </w:tr>
      <w:tr>
        <w:trPr>
          <w:trHeight w:val="224"/>
        </w:trPr>
        <w:tc>
          <w:tcPr>
            <w:tcW w:w="1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under a sub-lease agreement)</w:t>
            </w:r>
          </w:p>
        </w:tc>
      </w:tr>
      <w:tr>
        <w:trPr>
          <w:trHeight w:val="22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Canyon Offshore</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22,486 square feet</w:t>
            </w:r>
          </w:p>
        </w:tc>
      </w:tr>
      <w:tr>
        <w:trPr>
          <w:trHeight w:val="203"/>
        </w:trPr>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International Corp</w:t>
            </w:r>
          </w:p>
        </w:tc>
        <w:tc>
          <w:tcPr>
            <w:tcW w:w="4220" w:type="dxa"/>
            <w:vAlign w:val="bottom"/>
            <w:shd w:val="clear" w:color="auto" w:fill="CCEEFF"/>
          </w:tcPr>
          <w:p>
            <w:pPr>
              <w:spacing w:after="0"/>
              <w:rPr>
                <w:sz w:val="17"/>
                <w:szCs w:val="17"/>
                <w:color w:val="auto"/>
              </w:rPr>
            </w:pPr>
          </w:p>
        </w:tc>
      </w:tr>
      <w:tr>
        <w:trPr>
          <w:trHeight w:val="230"/>
        </w:trPr>
        <w:tc>
          <w:tcPr>
            <w:tcW w:w="1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Corporate, Operations and Sales Office</w:t>
            </w:r>
          </w:p>
        </w:tc>
        <w:tc>
          <w:tcPr>
            <w:tcW w:w="4220" w:type="dxa"/>
            <w:vAlign w:val="bottom"/>
            <w:shd w:val="clear" w:color="auto" w:fill="CCEEFF"/>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Helix Offshore Crewing Service Pte. Ltd.</w:t>
            </w:r>
          </w:p>
        </w:tc>
        <w:tc>
          <w:tcPr>
            <w:tcW w:w="4220" w:type="dxa"/>
            <w:vAlign w:val="bottom"/>
          </w:tcPr>
          <w:p>
            <w:pPr>
              <w:spacing w:after="0"/>
              <w:rPr>
                <w:sz w:val="19"/>
                <w:szCs w:val="19"/>
                <w:color w:val="auto"/>
              </w:rPr>
            </w:pPr>
          </w:p>
        </w:tc>
      </w:tr>
      <w:tr>
        <w:trPr>
          <w:trHeight w:val="224"/>
        </w:trPr>
        <w:tc>
          <w:tcPr>
            <w:tcW w:w="1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Corporate Headquarters</w:t>
            </w:r>
          </w:p>
        </w:tc>
        <w:tc>
          <w:tcPr>
            <w:tcW w:w="4220" w:type="dxa"/>
            <w:vAlign w:val="bottom"/>
            <w:tcBorders>
              <w:bottom w:val="single" w:sz="8" w:color="auto"/>
            </w:tcBorders>
          </w:tcPr>
          <w:p>
            <w:pPr>
              <w:spacing w:after="0"/>
              <w:rPr>
                <w:sz w:val="19"/>
                <w:szCs w:val="19"/>
                <w:color w:val="auto"/>
              </w:rPr>
            </w:pPr>
          </w:p>
        </w:tc>
      </w:tr>
      <w:tr>
        <w:trPr>
          <w:trHeight w:val="22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4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Helix Offshore International S.à r.l.</w:t>
            </w:r>
          </w:p>
        </w:tc>
        <w:tc>
          <w:tcPr>
            <w:tcW w:w="4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161 square feet</w:t>
            </w:r>
          </w:p>
        </w:tc>
      </w:tr>
      <w:tr>
        <w:trPr>
          <w:trHeight w:val="203"/>
        </w:trPr>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and subsidiaries</w:t>
            </w:r>
          </w:p>
        </w:tc>
        <w:tc>
          <w:tcPr>
            <w:tcW w:w="4220" w:type="dxa"/>
            <w:vAlign w:val="bottom"/>
            <w:shd w:val="clear" w:color="auto" w:fill="CCEEFF"/>
          </w:tcPr>
          <w:p>
            <w:pPr>
              <w:spacing w:after="0"/>
              <w:rPr>
                <w:sz w:val="17"/>
                <w:szCs w:val="17"/>
                <w:color w:val="auto"/>
              </w:rPr>
            </w:pPr>
          </w:p>
        </w:tc>
      </w:tr>
      <w:tr>
        <w:trPr>
          <w:trHeight w:val="224"/>
        </w:trPr>
        <w:tc>
          <w:tcPr>
            <w:tcW w:w="1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32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Offices and Operations</w:t>
            </w:r>
          </w:p>
        </w:tc>
        <w:tc>
          <w:tcPr>
            <w:tcW w:w="4220" w:type="dxa"/>
            <w:vAlign w:val="bottom"/>
            <w:tcBorders>
              <w:bottom w:val="single" w:sz="8" w:color="auto"/>
            </w:tcBorders>
            <w:shd w:val="clear" w:color="auto" w:fill="CCEEFF"/>
          </w:tcPr>
          <w:p>
            <w:pPr>
              <w:spacing w:after="0"/>
              <w:rPr>
                <w:sz w:val="19"/>
                <w:szCs w:val="19"/>
                <w:color w:val="auto"/>
              </w:rPr>
            </w:pPr>
          </w:p>
        </w:tc>
      </w:tr>
      <w:tr>
        <w:trPr>
          <w:trHeight w:val="229"/>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Brazil</w:t>
            </w: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Helix do Brasil Serviços de Petróleo Ltda</w:t>
            </w:r>
          </w:p>
        </w:tc>
        <w:tc>
          <w:tcPr>
            <w:tcW w:w="4220" w:type="dxa"/>
            <w:vAlign w:val="bottom"/>
          </w:tcPr>
          <w:p>
            <w:pPr>
              <w:jc w:val="center"/>
              <w:spacing w:after="0"/>
              <w:rPr>
                <w:sz w:val="20"/>
                <w:szCs w:val="20"/>
                <w:color w:val="auto"/>
              </w:rPr>
            </w:pPr>
            <w:r>
              <w:rPr>
                <w:rFonts w:ascii="Arial" w:cs="Arial" w:eastAsia="Arial" w:hAnsi="Arial"/>
                <w:sz w:val="18"/>
                <w:szCs w:val="18"/>
                <w:color w:val="auto"/>
                <w:w w:val="99"/>
              </w:rPr>
              <w:t>3,168 square feet</w:t>
            </w:r>
          </w:p>
        </w:tc>
      </w:tr>
      <w:tr>
        <w:trPr>
          <w:trHeight w:val="217"/>
        </w:trPr>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Corporate, Operations and Sales Office</w:t>
            </w:r>
          </w:p>
        </w:tc>
        <w:tc>
          <w:tcPr>
            <w:tcW w:w="4220" w:type="dxa"/>
            <w:vAlign w:val="bottom"/>
          </w:tcPr>
          <w:p>
            <w:pPr>
              <w:spacing w:after="0"/>
              <w:rPr>
                <w:sz w:val="18"/>
                <w:szCs w:val="18"/>
                <w:color w:val="auto"/>
              </w:rPr>
            </w:pPr>
          </w:p>
        </w:tc>
      </w:tr>
      <w:tr>
        <w:trPr>
          <w:trHeight w:val="405"/>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On July 31, 2015, a purported stockholder, Parviz Izadjoo, filed a class action lawsuit styled </w:t>
      </w:r>
      <w:r>
        <w:rPr>
          <w:rFonts w:ascii="Arial" w:cs="Arial" w:eastAsia="Arial" w:hAnsi="Arial"/>
          <w:sz w:val="18"/>
          <w:szCs w:val="18"/>
          <w:i w:val="1"/>
          <w:iCs w:val="1"/>
          <w:color w:val="auto"/>
        </w:rPr>
        <w:t>Parviz Izadjoo v. Owen Kratz and Helix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Energy Solutions Group, Inc. </w:t>
      </w:r>
      <w:r>
        <w:rPr>
          <w:rFonts w:ascii="Arial" w:cs="Arial" w:eastAsia="Arial" w:hAnsi="Arial"/>
          <w:sz w:val="18"/>
          <w:szCs w:val="18"/>
          <w:color w:val="auto"/>
        </w:rPr>
        <w:t>against the Company and Owen Kratz, our President and Chief Executive Officer, in the United States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Court for the Southern District of Texas on behalf of a putative class of all purchasers of shares of our common stock between October 21, 2014, and July 21, 2015, inclusive. The lawsuit asserts violations of Section 10(b) of the Securities Exchange Act of 1934, as amended (the “Exchange Act”) and SEC Rule 10b-5 as to both us and Mr. Kratz, and Section 20(a) of the Exchange Act against Mr. Kratz based on alleged misrepresentations and omissions in SEC filings and other public disclosures regarding projections for 2015 dry docks of two of our vessels working in the Gulf of Mexico that allegedly caused the price at which putative class members bought stock during the proposed class period to be artificially inflated. The deadline to apply for appointment as lead plaintiff was September 29, 2015. On January 28, 2016, the judge approved a motion for the appointment of lead plaintiff and lead counsel, and the plaintiff has until March 14, 2016 to amend the complaint. We believe this lawsuit to be without merit and intend to vigorously defend against 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Helix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20" w:type="dxa"/>
            <w:vAlign w:val="bottom"/>
            <w:tcBorders>
              <w:bottom w:val="single" w:sz="8" w:color="CCEEFF"/>
            </w:tcBorders>
          </w:tcPr>
          <w:p>
            <w:pPr>
              <w:spacing w:after="0"/>
              <w:rPr>
                <w:sz w:val="23"/>
                <w:szCs w:val="23"/>
                <w:color w:val="auto"/>
              </w:rPr>
            </w:pPr>
          </w:p>
        </w:tc>
        <w:tc>
          <w:tcPr>
            <w:tcW w:w="6840" w:type="dxa"/>
            <w:vAlign w:val="bottom"/>
            <w:tcBorders>
              <w:bottom w:val="single" w:sz="8" w:color="auto"/>
            </w:tcBorders>
          </w:tcPr>
          <w:p>
            <w:pPr>
              <w:ind w:left="3060"/>
              <w:spacing w:after="0"/>
              <w:rPr>
                <w:sz w:val="20"/>
                <w:szCs w:val="20"/>
                <w:color w:val="auto"/>
              </w:rPr>
            </w:pPr>
            <w:r>
              <w:rPr>
                <w:rFonts w:ascii="Arial" w:cs="Arial" w:eastAsia="Arial" w:hAnsi="Arial"/>
                <w:sz w:val="18"/>
                <w:szCs w:val="18"/>
                <w:b w:val="1"/>
                <w:bCs w:val="1"/>
                <w:color w:val="auto"/>
              </w:rPr>
              <w:t>Position</w:t>
            </w: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Owen Kratz</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Anthony Tripodo</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Director</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Scott A. Sparks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w:t>
            </w:r>
          </w:p>
        </w:tc>
        <w:tc>
          <w:tcPr>
            <w:tcW w:w="120" w:type="dxa"/>
            <w:vAlign w:val="bottom"/>
            <w:shd w:val="clear" w:color="auto" w:fill="CCEEFF"/>
          </w:tcPr>
          <w:p>
            <w:pPr>
              <w:spacing w:after="0"/>
              <w:rPr>
                <w:sz w:val="24"/>
                <w:szCs w:val="24"/>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Alisa B. Johnson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Corporate Secretary</w:t>
            </w: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Owen Kratz </w:t>
      </w:r>
      <w:r>
        <w:rPr>
          <w:rFonts w:ascii="Arial" w:cs="Arial" w:eastAsia="Arial" w:hAnsi="Arial"/>
          <w:sz w:val="18"/>
          <w:szCs w:val="18"/>
          <w:color w:val="auto"/>
        </w:rPr>
        <w:t>is President and Chief Executive Officer of Helix. He was named Executive Chairman in October 2006 and served in that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capacity until February 2008 when he resumed the position of President and Chief Executive Officer. He was appointed Chairman in May 1998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served as Helix’s Chief Executive Officer from April 1997 until October 2006. Mr. Kratz served as President from 1993 until February 1999,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has served as a director of Helix since 1990. He served as Chief Operating Officer from 1990 through 1997. Mr. Kratz joined Helix in 1984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held various offshore positions, including saturation diving supervisor, and management responsibility for client relations, marketing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estimating. From 1982 to 1983, Mr. Kratz was the owner of an independent marine construction company operating in the Bay of Campeche.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1982, he was a superintendent for Santa Fe and various international diving companies, and a diver in the North Sea.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2006 to December 2011, Mr. Kratz was a member of the Board of Directors of Cal Dive International, Inc., a publicly-traded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was formerly a subsidiary of Helix. Mr. Kratz has a Bachelor of Science degree from State University of New York (SUNY).</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Anthony Tripodo </w:t>
      </w:r>
      <w:r>
        <w:rPr>
          <w:rFonts w:ascii="Arial" w:cs="Arial" w:eastAsia="Arial" w:hAnsi="Arial"/>
          <w:sz w:val="18"/>
          <w:szCs w:val="18"/>
          <w:color w:val="auto"/>
        </w:rPr>
        <w:t>was elected as Executive Vice President and Chief Financial Officer of Helix on June 25, 2008. Mr. Tripodo oversees</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finance, treasury, accounting, tax, information technology and corporate planning functions. Mr. Tripodo was elected as a director of Helix in May 2015, and was also a director of Helix from February 2003 until June 2008 when he joined Helix. Prior to joining Helix, Mr. Tripodo was the Executive Vice President and Chief Financial Officer of Tesco Corporation. From 2003 through the end of 2006, he was a Managing Director of Arch Creek Advisors LLC, a Houston based investment banking firm. From 1997 to 2003, Mr. Tripodo was Executive Vice President of Veritas DGC, Inc., an international oilfield service company specializing in geophysical services, including serving as Executive Vice President, Chief Financial Officer and Treasurer of Veritas from 1997 to 2001. Previously, Mr. Tripodo served 16 years in various executive capacities with Baker Hughes, including serving as Chief Financial Officer of both the Baker Performance Chemicals and Baker Oil Tools divisions. Mr. Tripodo also has served as a director of three publicly-traded companies in the oilfield services industry in addition to his current service as a director of Helix. He graduated Summa Cum Laude with a Bachelor of Arts degree from St. Thomas University (Miami).</w:t>
      </w:r>
    </w:p>
    <w:p>
      <w:pPr>
        <w:spacing w:after="0" w:line="18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i w:val="1"/>
          <w:iCs w:val="1"/>
          <w:color w:val="auto"/>
        </w:rPr>
        <w:t xml:space="preserve">Scott A. Sparks </w:t>
      </w:r>
      <w:r>
        <w:rPr>
          <w:rFonts w:ascii="Arial" w:cs="Arial" w:eastAsia="Arial" w:hAnsi="Arial"/>
          <w:sz w:val="18"/>
          <w:szCs w:val="18"/>
          <w:color w:val="auto"/>
        </w:rPr>
        <w:t>is Executive Vice President and Chief Operating Officer of Helix, having joined Helix in 2001. He served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 Operations of Helix from May 2015 until February 2016. From October 2012 until May 2015, he was Vice President — Commercial and Strategic Development of Helix. He has also served in various positions within Helix’s robotics subsidiary, Canyon Offshore, Inc., including as Senior Vice President from 2007 to September 2012. Mr. Sparks has over 25 years of experience and in the subsea industry, including Operations Manager and Vessel Superintendent at Global Marine Systems and BT Marine Systems.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Alisa B. Johnson </w:t>
      </w:r>
      <w:r>
        <w:rPr>
          <w:rFonts w:ascii="Arial" w:cs="Arial" w:eastAsia="Arial" w:hAnsi="Arial"/>
          <w:sz w:val="18"/>
          <w:szCs w:val="18"/>
          <w:color w:val="auto"/>
        </w:rPr>
        <w:t>joined Helix as Senior Vice President, General Counsel and Secretary of Helix in September 2006 and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2008 became Executive Vice President, General Counsel and Corporate Secretary of Helix. Ms. Johnson oversees the legal, human resources and contracts and insurance functions. Ms. Johnson has been involved with the energy industry for over 25 years. Prior to joining Helix, Ms. Johnson worked for Dynegy Inc. for nine years, at which company she held various legal positions of increasing responsibility, including Senior Vice President and Group General Counsel — Generation. From 1990 to 1997, Ms. Johnson held various legal positions at Destec Energy, Inc. Prior to that Ms. Johnson was in private law practice. Ms. Johnson received her Bachelor of Arts degree Cum Laude from Rice University and her law degree Cum Laude from the University of Houston.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24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Our common stock is traded on the New York Stock Exchange (“NYSE”) under the symbol “HLX.” The following table sets forth, for the periods indicated, the high and low sale prices per share of our common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Common Stock Prices</w:t>
            </w: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19.48</w:t>
            </w:r>
          </w:p>
        </w:tc>
      </w:tr>
      <w:tr>
        <w:trPr>
          <w:trHeight w:val="60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601"/>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First Quarter </w:t>
            </w:r>
            <w:r>
              <w:rPr>
                <w:rFonts w:ascii="Arial" w:cs="Arial" w:eastAsia="Arial" w:hAnsi="Arial"/>
                <w:sz w:val="21"/>
                <w:szCs w:val="21"/>
                <w:b w:val="1"/>
                <w:bCs w:val="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bl>
    <w:p>
      <w:pPr>
        <w:spacing w:after="0" w:line="1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February 25, 2016</w:t>
      </w:r>
    </w:p>
    <w:p>
      <w:pPr>
        <w:spacing w:after="0" w:line="225"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On February 25, 2016, the closing sale price of our common stock on the NYSE was $3.33 per share. As of February 25, 2016, there were 317 registered shareholders and approximately 13,500 beneficial shareholders of our common stock.</w:t>
      </w:r>
    </w:p>
    <w:p>
      <w:pPr>
        <w:spacing w:after="0" w:line="196" w:lineRule="exact"/>
        <w:rPr>
          <w:sz w:val="20"/>
          <w:szCs w:val="20"/>
          <w:color w:val="auto"/>
        </w:rPr>
      </w:pPr>
    </w:p>
    <w:p>
      <w:pPr>
        <w:ind w:right="500" w:firstLine="648"/>
        <w:spacing w:after="0" w:line="254" w:lineRule="auto"/>
        <w:rPr>
          <w:sz w:val="20"/>
          <w:szCs w:val="20"/>
          <w:color w:val="auto"/>
        </w:rPr>
      </w:pPr>
      <w:r>
        <w:rPr>
          <w:rFonts w:ascii="Arial" w:cs="Arial" w:eastAsia="Arial" w:hAnsi="Arial"/>
          <w:sz w:val="18"/>
          <w:szCs w:val="18"/>
          <w:color w:val="auto"/>
        </w:rPr>
        <w:t xml:space="preserve">We have never declared or paid cash dividends on our common stock and do not intend to pay cash dividends in the foreseeable future. We currently intend to retain earnings, if any, for the future operation and growth of our business. In addition, our financing arrangements prohibit the payment of cash dividends on our common stock. See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 Liquidity and Capital Resources.”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following graph compares the cumulative total shareholder return on our common stock for the period since December 31, 2010 to the cumulative total shareholder return for (i) the stocks of 500 large-cap corporations maintained by Standard &amp; Poor’s (“S&amp;P 500”), assuming the reinvestment of dividends; (ii) the Philadelphia Oil Service Sector index (the “OSX”), a price-weighted index of leading oil service companies, assuming the reinvestment of dividends; and (iii) a peer group selected by us (the “Peer Group”) consisting of the following companies: Atwood Oceanics, Inc., Diamond Offshore Drilling, Inc., FMC Technologies, Inc., Forum Energy Technologies, Inc., GulfMark Offshore, Inc., Hercules Offshore, Inc., Hornbeck Offshore Services, Inc., Oceaneering International, Inc., Oil States International, Inc., Rowan Companies plc, TETRA Technologies, Inc., and Tidewater Inc. The returns of each member of the Peer Group have been weighted according to each individual company’s equity market capitalization as of December 31, 2015 and have been adjusted for the reinvestment of any dividends. We believe that the members of the Peer Group provide services and products more comparable to us than those companies included in the OSX. The graph assumes $100 was invested on December 31, 2010 in our common stock at the closing price on that date price and on December 31, 2010 in the three indices presented. We paid no cash dividends during the period presented. The cumulative total percentage returns for the period presented are as follows: our stock — (56.7)%; the Peer Group — (55.9)%; the OSX — (35.6)%; and S&amp;P 500 — 80.8%. These results are not necessarily indicative of future performance.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156210</wp:posOffset>
            </wp:positionV>
            <wp:extent cx="5848985" cy="3773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 among Helix, S&amp;P 500,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OSX and Peer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As of December 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64"/>
        </w:trPr>
        <w:tc>
          <w:tcPr>
            <w:tcW w:w="2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5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Helix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Peer Group Index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44.1</w:t>
            </w:r>
          </w:p>
        </w:tc>
      </w:tr>
      <w:tr>
        <w:trPr>
          <w:trHeight w:val="277"/>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Service Index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180.8</w:t>
            </w: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ind w:left="500"/>
              <w:spacing w:after="0"/>
              <w:rPr>
                <w:sz w:val="20"/>
                <w:szCs w:val="20"/>
                <w:color w:val="auto"/>
              </w:rPr>
            </w:pPr>
            <w:r>
              <w:rPr>
                <w:rFonts w:ascii="Arial" w:cs="Arial" w:eastAsia="Arial" w:hAnsi="Arial"/>
                <w:sz w:val="18"/>
                <w:szCs w:val="18"/>
                <w:color w:val="auto"/>
              </w:rPr>
              <w:t>Source: Bloomberg</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2"/>
        </w:trPr>
        <w:tc>
          <w:tcPr>
            <w:tcW w:w="3560" w:type="dxa"/>
            <w:vAlign w:val="bottom"/>
          </w:tcPr>
          <w:p>
            <w:pPr>
              <w:spacing w:after="0"/>
              <w:rPr>
                <w:sz w:val="24"/>
                <w:szCs w:val="24"/>
                <w:color w:val="auto"/>
              </w:rPr>
            </w:pPr>
          </w:p>
        </w:tc>
        <w:tc>
          <w:tcPr>
            <w:tcW w:w="5720" w:type="dxa"/>
            <w:vAlign w:val="bottom"/>
            <w:gridSpan w:val="6"/>
          </w:tcPr>
          <w:p>
            <w:pPr>
              <w:ind w:left="540"/>
              <w:spacing w:after="0"/>
              <w:rPr>
                <w:sz w:val="20"/>
                <w:szCs w:val="20"/>
                <w:color w:val="auto"/>
              </w:rPr>
            </w:pPr>
            <w:r>
              <w:rPr>
                <w:rFonts w:ascii="Arial" w:cs="Arial" w:eastAsia="Arial" w:hAnsi="Arial"/>
                <w:sz w:val="18"/>
                <w:szCs w:val="18"/>
                <w:b w:val="1"/>
                <w:bCs w:val="1"/>
                <w:color w:val="auto"/>
              </w:rPr>
              <w:t>Issuer Purchases of Equity Securities</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42"/>
        </w:trPr>
        <w:tc>
          <w:tcPr>
            <w:tcW w:w="3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(d)</w:t>
            </w:r>
          </w:p>
        </w:tc>
      </w:tr>
      <w:tr>
        <w:trPr>
          <w:trHeight w:val="203"/>
        </w:trPr>
        <w:tc>
          <w:tcPr>
            <w:tcW w:w="3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Maximum number of</w:t>
            </w:r>
          </w:p>
        </w:tc>
      </w:tr>
      <w:tr>
        <w:trPr>
          <w:trHeight w:val="203"/>
        </w:trPr>
        <w:tc>
          <w:tcPr>
            <w:tcW w:w="3560" w:type="dxa"/>
            <w:vAlign w:val="bottom"/>
          </w:tcPr>
          <w:p>
            <w:pPr>
              <w:spacing w:after="0"/>
              <w:rPr>
                <w:sz w:val="17"/>
                <w:szCs w:val="17"/>
                <w:color w:val="auto"/>
              </w:rPr>
            </w:pPr>
          </w:p>
        </w:tc>
        <w:tc>
          <w:tcPr>
            <w:tcW w:w="18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(a)</w:t>
            </w:r>
          </w:p>
        </w:tc>
        <w:tc>
          <w:tcPr>
            <w:tcW w:w="260" w:type="dxa"/>
            <w:vAlign w:val="bottom"/>
          </w:tcPr>
          <w:p>
            <w:pPr>
              <w:spacing w:after="0"/>
              <w:rPr>
                <w:sz w:val="17"/>
                <w:szCs w:val="17"/>
                <w:color w:val="auto"/>
              </w:rPr>
            </w:pPr>
          </w:p>
        </w:tc>
        <w:tc>
          <w:tcPr>
            <w:tcW w:w="156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5"/>
              </w:rPr>
              <w:t>(b)</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 shares</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r>
      <w:tr>
        <w:trPr>
          <w:trHeight w:val="203"/>
        </w:trPr>
        <w:tc>
          <w:tcPr>
            <w:tcW w:w="3560" w:type="dxa"/>
            <w:vAlign w:val="bottom"/>
          </w:tcPr>
          <w:p>
            <w:pPr>
              <w:spacing w:after="0"/>
              <w:rPr>
                <w:sz w:val="17"/>
                <w:szCs w:val="17"/>
                <w:color w:val="auto"/>
              </w:rPr>
            </w:pPr>
          </w:p>
        </w:tc>
        <w:tc>
          <w:tcPr>
            <w:tcW w:w="18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60" w:type="dxa"/>
            <w:vAlign w:val="bottom"/>
          </w:tcPr>
          <w:p>
            <w:pPr>
              <w:spacing w:after="0"/>
              <w:rPr>
                <w:sz w:val="17"/>
                <w:szCs w:val="17"/>
                <w:color w:val="auto"/>
              </w:rPr>
            </w:pPr>
          </w:p>
        </w:tc>
        <w:tc>
          <w:tcPr>
            <w:tcW w:w="156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Average</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 part of</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that may yet be</w:t>
            </w:r>
          </w:p>
        </w:tc>
      </w:tr>
      <w:tr>
        <w:trPr>
          <w:trHeight w:val="203"/>
        </w:trPr>
        <w:tc>
          <w:tcPr>
            <w:tcW w:w="3560" w:type="dxa"/>
            <w:vAlign w:val="bottom"/>
          </w:tcPr>
          <w:p>
            <w:pPr>
              <w:spacing w:after="0"/>
              <w:rPr>
                <w:sz w:val="17"/>
                <w:szCs w:val="17"/>
                <w:color w:val="auto"/>
              </w:rPr>
            </w:pPr>
          </w:p>
        </w:tc>
        <w:tc>
          <w:tcPr>
            <w:tcW w:w="18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of shares</w:t>
            </w:r>
          </w:p>
        </w:tc>
        <w:tc>
          <w:tcPr>
            <w:tcW w:w="260" w:type="dxa"/>
            <w:vAlign w:val="bottom"/>
          </w:tcPr>
          <w:p>
            <w:pPr>
              <w:spacing w:after="0"/>
              <w:rPr>
                <w:sz w:val="17"/>
                <w:szCs w:val="17"/>
                <w:color w:val="auto"/>
              </w:rPr>
            </w:pPr>
          </w:p>
        </w:tc>
        <w:tc>
          <w:tcPr>
            <w:tcW w:w="156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price paid</w:t>
            </w: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publicly</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w:t>
            </w:r>
          </w:p>
        </w:tc>
      </w:tr>
      <w:tr>
        <w:trPr>
          <w:trHeight w:val="252"/>
        </w:trPr>
        <w:tc>
          <w:tcPr>
            <w:tcW w:w="35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Period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1"/>
                <w:szCs w:val="21"/>
                <w:b w:val="1"/>
                <w:bCs w:val="1"/>
                <w:color w:val="auto"/>
                <w:w w:val="97"/>
                <w:vertAlign w:val="superscript"/>
              </w:rPr>
              <w:t>(1)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per share</w:t>
            </w: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announced program</w:t>
            </w:r>
          </w:p>
        </w:tc>
        <w:tc>
          <w:tcPr>
            <w:tcW w:w="1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xml:space="preserve">under the program </w:t>
            </w:r>
            <w:r>
              <w:rPr>
                <w:rFonts w:ascii="Arial" w:cs="Arial" w:eastAsia="Arial" w:hAnsi="Arial"/>
                <w:sz w:val="21"/>
                <w:szCs w:val="21"/>
                <w:b w:val="1"/>
                <w:bCs w:val="1"/>
                <w:color w:val="auto"/>
                <w:w w:val="96"/>
                <w:vertAlign w:val="superscript"/>
              </w:rPr>
              <w:t>(2) (3)</w:t>
            </w:r>
          </w:p>
        </w:tc>
      </w:tr>
      <w:tr>
        <w:trPr>
          <w:trHeight w:val="25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to October 31, 2015</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707,874</w:t>
            </w:r>
          </w:p>
        </w:tc>
      </w:tr>
      <w:tr>
        <w:trPr>
          <w:trHeight w:val="263"/>
        </w:trPr>
        <w:tc>
          <w:tcPr>
            <w:tcW w:w="3560" w:type="dxa"/>
            <w:vAlign w:val="bottom"/>
          </w:tcPr>
          <w:p>
            <w:pPr>
              <w:ind w:left="40"/>
              <w:spacing w:after="0"/>
              <w:rPr>
                <w:sz w:val="20"/>
                <w:szCs w:val="20"/>
                <w:color w:val="auto"/>
              </w:rPr>
            </w:pPr>
            <w:r>
              <w:rPr>
                <w:rFonts w:ascii="Arial" w:cs="Arial" w:eastAsia="Arial" w:hAnsi="Arial"/>
                <w:sz w:val="18"/>
                <w:szCs w:val="18"/>
                <w:color w:val="auto"/>
              </w:rPr>
              <w:t>November 1 to November 30, 2015</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707,874</w:t>
            </w: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1 to December 31, 2015</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11,277</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878,328</w:t>
            </w:r>
          </w:p>
        </w:tc>
      </w:tr>
      <w:tr>
        <w:trPr>
          <w:trHeight w:val="250"/>
        </w:trPr>
        <w:tc>
          <w:tcPr>
            <w:tcW w:w="3560" w:type="dxa"/>
            <w:vAlign w:val="bottom"/>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11,277</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0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0"/>
        </w:trPr>
        <w:tc>
          <w:tcPr>
            <w:tcW w:w="35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right="340" w:hanging="652"/>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shares forfeited by certain members of our Board of Directors in satisfaction of minimum withholding taxes upon vesting of restricted shares.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right="60" w:hanging="652"/>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terms of our stock repurchase program, the issuance of shares to members of our Board of Directors and to certain employees, including shares issued to our employees under the Employee Stock Purchase Plan (the “ESPP”) (Note 12), increases the number of shares available for repurchase. For additional information regarding our stock repurchase program, see Note 10.</w:t>
      </w:r>
    </w:p>
    <w:p>
      <w:pPr>
        <w:spacing w:after="0" w:line="93" w:lineRule="exact"/>
        <w:rPr>
          <w:rFonts w:ascii="Arial" w:cs="Arial" w:eastAsia="Arial" w:hAnsi="Arial"/>
          <w:sz w:val="18"/>
          <w:szCs w:val="18"/>
          <w:color w:val="auto"/>
        </w:rPr>
      </w:pPr>
    </w:p>
    <w:p>
      <w:pPr>
        <w:ind w:left="660" w:hanging="652"/>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January 2016, we issued approximately 1.2 million shares of restricted stock to our executive officers, select management employees and certain members of our Board of Directors who have elected to take their quarterly fees in stock in lieu of cash. We also issued approximately 0.1 million shares of our common stock to our employees under the ESPP. These issuances will increase the number of shares available for repurchase by a corresponding amount (Note 10).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The financial data presented below for each of the five years ended December 31, 2015 should be read in conjunction with Item 7.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and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included elsewhere in this Annual Report. In February 2013, we sold ERT and as a result, the assets and liabilities included in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ERT and the historical operating results of our former Oil and Gas segment are presented as discontinued operations in this Annual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9"/>
              </w:rPr>
              <w:t>Year Ended December 31,</w:t>
            </w: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gridSpan w:val="8"/>
          </w:tcPr>
          <w:p>
            <w:pPr>
              <w:jc w:val="center"/>
              <w:ind w:right="280"/>
              <w:spacing w:after="0"/>
              <w:rPr>
                <w:sz w:val="20"/>
                <w:szCs w:val="20"/>
                <w:color w:val="auto"/>
              </w:rPr>
            </w:pPr>
            <w:r>
              <w:rPr>
                <w:rFonts w:ascii="Arial" w:cs="Arial" w:eastAsia="Arial" w:hAnsi="Arial"/>
                <w:sz w:val="18"/>
                <w:szCs w:val="18"/>
                <w:color w:val="auto"/>
                <w:w w:val="99"/>
              </w:rPr>
              <w:t>(in thousands, except per share amounts)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695,802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1,107,156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876,561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702,000</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Gross profit (loss)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(233,774)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344,036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260,685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49,915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149,683</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(loss) from operations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261,756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63,040</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Net income (loss) from continuing operations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111,976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37,816</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Income from discontinued operations, net of tax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95,221</w:t>
            </w:r>
          </w:p>
        </w:tc>
        <w:tc>
          <w:tcPr>
            <w:tcW w:w="0" w:type="dxa"/>
            <w:vAlign w:val="bottom"/>
          </w:tcPr>
          <w:p>
            <w:pPr>
              <w:spacing w:after="0"/>
              <w:rPr>
                <w:sz w:val="1"/>
                <w:szCs w:val="1"/>
                <w:color w:val="auto"/>
              </w:rPr>
            </w:pP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Net income (loss), including noncontrolling interests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195,550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113,049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133,037</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applicable to noncontrolling interests</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Net income (loss) applicable to common shareholders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195,047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109,922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129,939</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from continuing operations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172,736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378,010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233,612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178,953</w:t>
            </w:r>
          </w:p>
        </w:tc>
        <w:tc>
          <w:tcPr>
            <w:tcW w:w="0" w:type="dxa"/>
            <w:vAlign w:val="bottom"/>
          </w:tcPr>
          <w:p>
            <w:pPr>
              <w:spacing w:after="0"/>
              <w:rPr>
                <w:sz w:val="1"/>
                <w:szCs w:val="1"/>
                <w:color w:val="auto"/>
              </w:rPr>
            </w:pPr>
          </w:p>
        </w:tc>
      </w:tr>
      <w:tr>
        <w:trPr>
          <w:trHeight w:val="263"/>
        </w:trPr>
        <w:tc>
          <w:tcPr>
            <w:tcW w:w="5120" w:type="dxa"/>
            <w:vAlign w:val="bottom"/>
          </w:tcPr>
          <w:p>
            <w:pPr>
              <w:ind w:left="40"/>
              <w:spacing w:after="0"/>
              <w:rPr>
                <w:sz w:val="20"/>
                <w:szCs w:val="20"/>
                <w:color w:val="auto"/>
              </w:rPr>
            </w:pPr>
            <w:r>
              <w:rPr>
                <w:rFonts w:ascii="Arial" w:cs="Arial" w:eastAsia="Arial" w:hAnsi="Arial"/>
                <w:sz w:val="18"/>
                <w:szCs w:val="18"/>
                <w:color w:val="auto"/>
              </w:rPr>
              <w:t>Basic earnings (loss) per share of common stock:</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Diluted earnings (loss) per share of common stock:</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104,528</w:t>
            </w: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105,416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105,045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105,184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104,449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104,953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right="40" w:hanging="652"/>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Amount in 2015 includes impairment charges of $205.2 million for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$133.4 million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and $6.3 million for certain capitalized vessel project costs (Note 4). Amount in 2012 includes impairment charges of approximately $177.1 million, including $14.6 million for the </w:t>
      </w:r>
      <w:r>
        <w:rPr>
          <w:rFonts w:ascii="Arial" w:cs="Arial" w:eastAsia="Arial" w:hAnsi="Arial"/>
          <w:sz w:val="18"/>
          <w:szCs w:val="18"/>
          <w:i w:val="1"/>
          <w:iCs w:val="1"/>
          <w:color w:val="auto"/>
        </w:rPr>
        <w:t>Intrepid</w:t>
      </w:r>
      <w:r>
        <w:rPr>
          <w:rFonts w:ascii="Arial" w:cs="Arial" w:eastAsia="Arial" w:hAnsi="Arial"/>
          <w:sz w:val="18"/>
          <w:szCs w:val="18"/>
          <w:color w:val="auto"/>
        </w:rPr>
        <w:t xml:space="preserve">, $157.8 million for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and related mobile pipelay equipment, and $4.6 million for well intervention assets associated with our former well intervention business in Australia. Amount in 2011 includes a $6.6 million impairment charge related to our well intervention equipment in Australia.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right="60" w:hanging="65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in 2015 includes a $16.4 million impairment charge on goodwill related to our U.K. well intervention reporting unit (Notes 2 and 6)</w:t>
      </w:r>
    </w:p>
    <w:p>
      <w:pPr>
        <w:spacing w:after="0" w:line="88" w:lineRule="exact"/>
        <w:rPr>
          <w:rFonts w:ascii="Arial" w:cs="Arial" w:eastAsia="Arial" w:hAnsi="Arial"/>
          <w:sz w:val="18"/>
          <w:szCs w:val="18"/>
          <w:color w:val="auto"/>
        </w:rPr>
      </w:pPr>
    </w:p>
    <w:p>
      <w:pPr>
        <w:ind w:left="660" w:right="100" w:hanging="652"/>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Amount in 2015 includes losses totaling $124.3 million related to our investments in Deepwater Gateway and Independence Hub (Note 5). Amount in 2015 also includes unrealized losses totaling $18.3 million on our foreign currency exchange contracts associated with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chartered vessels (Note 18). Amount in 2011 includes $10.6 million of other than temporary loss on the investment in our former Australian joint venture.</w:t>
      </w:r>
    </w:p>
    <w:p>
      <w:pPr>
        <w:spacing w:after="0" w:line="96" w:lineRule="exact"/>
        <w:rPr>
          <w:rFonts w:ascii="Arial" w:cs="Arial" w:eastAsia="Arial" w:hAnsi="Arial"/>
          <w:sz w:val="18"/>
          <w:szCs w:val="18"/>
          <w:color w:val="auto"/>
        </w:rPr>
      </w:pPr>
    </w:p>
    <w:p>
      <w:pPr>
        <w:ind w:left="660" w:right="280" w:hanging="652"/>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Oil and gas property impairment charges and asset retirement obligation overruns totaled $144.3 million in 2012 (including a $138.6 million charge to reduce the value of ERT’s properties to their estimated fair value in connection with the announcement in December 2012 of the sale of ERT) and $112.6 million in 2011.</w:t>
      </w:r>
    </w:p>
    <w:p>
      <w:pPr>
        <w:spacing w:after="0" w:line="93" w:lineRule="exact"/>
        <w:rPr>
          <w:rFonts w:ascii="Arial" w:cs="Arial" w:eastAsia="Arial" w:hAnsi="Arial"/>
          <w:sz w:val="18"/>
          <w:szCs w:val="18"/>
          <w:color w:val="auto"/>
        </w:rPr>
      </w:pPr>
    </w:p>
    <w:p>
      <w:pPr>
        <w:ind w:left="660" w:right="40" w:hanging="652"/>
        <w:spacing w:after="0" w:line="29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is a non-GAAP financial measure. See “Non-GAAP Financial Measures” below for an explanation of the definition and use of such measure as well as a reconciliation of these amounts to each year’s respective reported net income (loss) from continuing operations.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43"/>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(in thousands)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473,123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468,660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553,427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351,061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548,066</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2,411,952</w:t>
            </w:r>
          </w:p>
        </w:tc>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2,700,698</w:t>
            </w:r>
          </w:p>
        </w:tc>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2,544,280</w:t>
            </w:r>
          </w:p>
        </w:tc>
        <w:tc>
          <w:tcPr>
            <w:tcW w:w="3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3,386,580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3,582,347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761,328</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551,372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566,152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1,019,228</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1,155,321</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Total controlling interest shareholders’ equity</w:t>
            </w:r>
          </w:p>
        </w:tc>
        <w:tc>
          <w:tcPr>
            <w:tcW w:w="2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1,278,963</w:t>
            </w:r>
          </w:p>
        </w:tc>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1,653,474</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1,499,051</w:t>
            </w: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1,393,385</w:t>
            </w:r>
          </w:p>
        </w:tc>
        <w:tc>
          <w:tcPr>
            <w:tcW w:w="3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1,421,403</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25,059</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26,029</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28,138</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1,278,963</w:t>
            </w:r>
          </w:p>
        </w:tc>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1,653,474</w:t>
            </w:r>
          </w:p>
        </w:tc>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1,524,110</w:t>
            </w: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1,419,414</w:t>
            </w:r>
          </w:p>
        </w:tc>
        <w:tc>
          <w:tcPr>
            <w:tcW w:w="3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1,449,541</w:t>
            </w:r>
          </w:p>
        </w:tc>
      </w:tr>
    </w:tbl>
    <w:p>
      <w:pPr>
        <w:spacing w:after="0" w:line="121" w:lineRule="exact"/>
        <w:rPr>
          <w:sz w:val="20"/>
          <w:szCs w:val="20"/>
          <w:color w:val="auto"/>
        </w:rPr>
      </w:pPr>
    </w:p>
    <w:p>
      <w:pPr>
        <w:ind w:left="660" w:right="60" w:hanging="652"/>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at December 31, 2012 and 2011 include assets of discontinued oil and gas operations totaling $900.2 million and $1.0 billion,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52"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We measure our operating performance based on EBITDA, a non-GAAP financial measure that is commonly used but is not a recognized accounting term under GAAP. We use EBITDA to monitor and facilitate the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 of EBITDA provides useful information to the public regarding our ability to service debt and fund capital expenditures and may help our investors understand our operating performance and compare our results to other companies that have different financing, capital and tax structures.</w:t>
      </w:r>
    </w:p>
    <w:p>
      <w:pPr>
        <w:spacing w:after="0" w:line="153" w:lineRule="exact"/>
        <w:rPr>
          <w:sz w:val="20"/>
          <w:szCs w:val="20"/>
          <w:color w:val="auto"/>
        </w:rPr>
      </w:pPr>
    </w:p>
    <w:p>
      <w:pPr>
        <w:ind w:right="260" w:firstLine="648"/>
        <w:spacing w:after="0" w:line="252" w:lineRule="auto"/>
        <w:rPr>
          <w:sz w:val="20"/>
          <w:szCs w:val="20"/>
          <w:color w:val="auto"/>
        </w:rPr>
      </w:pPr>
      <w:r>
        <w:rPr>
          <w:rFonts w:ascii="Arial" w:cs="Arial" w:eastAsia="Arial" w:hAnsi="Arial"/>
          <w:sz w:val="18"/>
          <w:szCs w:val="18"/>
          <w:color w:val="auto"/>
        </w:rPr>
        <w:t>We define EBITDA from continuing operations as net income (loss) from continuing operations before income taxes, net interest expense, net other income or expense, and depreciation and amortization expense. We separately disclose our non-cash asset impairment charges, which, if not material, would be reflected as a component of our depreciation and amortization expense. Because these impairment charges are material for most of the periods presented, we have reported them as a separate line item in the accompanying consolidated statements of operations. Non-cash goodwill impairment and losses on equity investments are also added back if applicable. Loss on early extinguishment of long-term debt is considered equivalent to additional interest expense and thus is added back to net income (loss) from continuing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the following reconciliation, we provide amounts as reflected in our accompanying consolidated financial statements unless otherwise footnoted. This means that these amounts are recorded at 100% even if we do not own 100% of all of our subsidiaries. Accordingly, to arrive at our measure of Adjusted EBITDA from continuing operations, when applicable, we exclude the noncontrolling interests related to the adjustment components of EBITDA. Our measure of Adjusted EBITDA also excludes the gain or loss on disposition of assets from continuing operations and the unrealized loss on our commodity derivative contracts. In addition, we include realized losses from the cash settlements of our ineffective foreign currency exchange contracts, which are excluded from EBITDA from continuing operations as a component of net other income or expense.</w:t>
      </w:r>
    </w:p>
    <w:p>
      <w:pPr>
        <w:spacing w:after="0" w:line="15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Other companies may calculate their measures of EBITDA and Adjusted EBITDA differently than we do, which may limit their usefulness as comparative measures. Because EBITDA and Adjusted EBITDA are not financial measures calculated in accordance with GAAP, they should not be considered in isolation or as a substitute for, but instead are supplemental to, income from operations, net income or other income data prepared in accordance with GAAP. The reconciliation of our net income (loss) from continuing operations to EBITDA from continuing operations and Adjusted EBITDA from continuing operations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5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324"/>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195,550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37,816</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26,914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17,859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32,898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48,160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70,181</w:t>
            </w: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120,401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109,345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98,535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97,201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91,188</w:t>
            </w: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345,010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177,135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6,564</w:t>
            </w:r>
          </w:p>
        </w:tc>
      </w:tr>
      <w:tr>
        <w:trPr>
          <w:trHeight w:val="270"/>
        </w:trPr>
        <w:tc>
          <w:tcPr>
            <w:tcW w:w="5240" w:type="dxa"/>
            <w:vAlign w:val="bottom"/>
          </w:tcPr>
          <w:p>
            <w:pPr>
              <w:ind w:left="280"/>
              <w:spacing w:after="0"/>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Losses on equity investments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122,765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10,563</w:t>
            </w:r>
          </w:p>
        </w:tc>
      </w:tr>
      <w:tr>
        <w:trPr>
          <w:trHeight w:val="264"/>
        </w:trPr>
        <w:tc>
          <w:tcPr>
            <w:tcW w:w="5240" w:type="dxa"/>
            <w:vAlign w:val="bottom"/>
          </w:tcPr>
          <w:p>
            <w:pPr>
              <w:ind w:left="280"/>
              <w:spacing w:after="0"/>
              <w:rPr>
                <w:sz w:val="20"/>
                <w:szCs w:val="20"/>
                <w:color w:val="auto"/>
              </w:rPr>
            </w:pPr>
            <w:r>
              <w:rPr>
                <w:rFonts w:ascii="Arial" w:cs="Arial" w:eastAsia="Arial" w:hAnsi="Arial"/>
                <w:sz w:val="18"/>
                <w:szCs w:val="18"/>
                <w:color w:val="auto"/>
              </w:rPr>
              <w:t>Loss on early extinguishment of long-term debt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2,354</w:t>
            </w:r>
          </w:p>
        </w:tc>
      </w:tr>
      <w:tr>
        <w:trPr>
          <w:trHeight w:val="257"/>
        </w:trPr>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from continuing operations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177,629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388,911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287,115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214,287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183,007</w:t>
            </w: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(Gain) loss on disposition of assets, net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7"/>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loss on commodity derivative contracts</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ind w:left="280"/>
              <w:spacing w:after="0"/>
              <w:rPr>
                <w:sz w:val="20"/>
                <w:szCs w:val="20"/>
                <w:color w:val="auto"/>
              </w:rPr>
            </w:pPr>
            <w:r>
              <w:rPr>
                <w:rFonts w:ascii="Arial" w:cs="Arial" w:eastAsia="Arial" w:hAnsi="Arial"/>
                <w:sz w:val="18"/>
                <w:szCs w:val="18"/>
                <w:color w:val="auto"/>
              </w:rPr>
              <w:t>Realized losses from cash settlements of ineffective foreign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5240" w:type="dxa"/>
            <w:vAlign w:val="bottom"/>
          </w:tcPr>
          <w:p>
            <w:pPr>
              <w:ind w:left="280"/>
              <w:spacing w:after="0"/>
              <w:rPr>
                <w:sz w:val="20"/>
                <w:szCs w:val="20"/>
                <w:color w:val="auto"/>
              </w:rPr>
            </w:pPr>
            <w:r>
              <w:rPr>
                <w:rFonts w:ascii="Arial" w:cs="Arial" w:eastAsia="Arial" w:hAnsi="Arial"/>
                <w:sz w:val="18"/>
                <w:szCs w:val="18"/>
                <w:color w:val="auto"/>
              </w:rPr>
              <w:t>currency exchange contracts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 operations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172,736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378,010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268,311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233,612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178,953</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20" w:hanging="652"/>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Amount in 2015 includes unrealized losses totaling $18.3 million on our foreign currency exchange contracts associated with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Canyon</w:t>
      </w:r>
      <w:r>
        <w:rPr>
          <w:rFonts w:ascii="Arial" w:cs="Arial" w:eastAsia="Arial" w:hAnsi="Arial"/>
          <w:sz w:val="18"/>
          <w:szCs w:val="18"/>
          <w:color w:val="auto"/>
        </w:rPr>
        <w:t>,</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chartered vessels (Note 18).</w:t>
      </w:r>
    </w:p>
    <w:p>
      <w:pPr>
        <w:spacing w:after="0" w:line="53" w:lineRule="exact"/>
        <w:rPr>
          <w:rFonts w:ascii="Arial" w:cs="Arial" w:eastAsia="Arial" w:hAnsi="Arial"/>
          <w:sz w:val="18"/>
          <w:szCs w:val="18"/>
          <w:color w:val="auto"/>
        </w:rPr>
      </w:pPr>
    </w:p>
    <w:p>
      <w:pPr>
        <w:ind w:left="660" w:right="14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Amount in 2015 reflects asset impairment charges for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and certain capitalized vessel project costs (Note 4). Amount in 2012 includes impairment charges of $14.6 million for the </w:t>
      </w:r>
      <w:r>
        <w:rPr>
          <w:rFonts w:ascii="Arial" w:cs="Arial" w:eastAsia="Arial" w:hAnsi="Arial"/>
          <w:sz w:val="18"/>
          <w:szCs w:val="18"/>
          <w:i w:val="1"/>
          <w:iCs w:val="1"/>
          <w:color w:val="auto"/>
        </w:rPr>
        <w:t>Intrepid</w:t>
      </w:r>
      <w:r>
        <w:rPr>
          <w:rFonts w:ascii="Arial" w:cs="Arial" w:eastAsia="Arial" w:hAnsi="Arial"/>
          <w:sz w:val="18"/>
          <w:szCs w:val="18"/>
          <w:color w:val="auto"/>
        </w:rPr>
        <w:t xml:space="preserve">, $157.8 million for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and related mobile pipelay equipment, and $4.6 million for well intervention assets associated with our former well intervention business in Australia. Amount in 2011 reflects an impairment charge related to our well intervention equipment in Australia.</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in 2015 reflects a goodwill impairment charge related to our U.K. well intervention reporting unit (Notes 2 and 6).</w:t>
      </w:r>
    </w:p>
    <w:p>
      <w:pPr>
        <w:spacing w:after="0" w:line="117" w:lineRule="exact"/>
        <w:rPr>
          <w:rFonts w:ascii="Arial" w:cs="Arial" w:eastAsia="Arial" w:hAnsi="Arial"/>
          <w:sz w:val="18"/>
          <w:szCs w:val="18"/>
          <w:color w:val="auto"/>
        </w:rPr>
      </w:pPr>
    </w:p>
    <w:p>
      <w:pPr>
        <w:jc w:val="both"/>
        <w:ind w:left="660" w:right="580" w:hanging="652"/>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in 2015 primarily reflects losses from our share of impairment charges that Deepwater Gateway and Independence Hub recorded in December 2015 and the write-offs of the remaining capitalized interest related to these equity investments (Note 5)</w:t>
      </w:r>
      <w:r>
        <w:rPr>
          <w:rFonts w:ascii="Arial" w:cs="Arial" w:eastAsia="Arial" w:hAnsi="Arial"/>
          <w:sz w:val="18"/>
          <w:szCs w:val="18"/>
          <w:i w:val="1"/>
          <w:iCs w:val="1"/>
          <w:color w:val="auto"/>
        </w:rPr>
        <w:t>.</w:t>
      </w:r>
      <w:r>
        <w:rPr>
          <w:rFonts w:ascii="Arial" w:cs="Arial" w:eastAsia="Arial" w:hAnsi="Arial"/>
          <w:sz w:val="18"/>
          <w:szCs w:val="18"/>
          <w:color w:val="auto"/>
        </w:rPr>
        <w:t xml:space="preserve"> Amount in 2011 reflects loss on our former equity investment in an Australian joint venture.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historical consolidated financial statements located in Item 8. Financial Statements and Supplementary Data of this Annual Report. Any reference to Notes in the following management’s discussion and analysis refers to the Notes to Consolidated Financial Statements located in Item 8. Financial Statements and Supplementary Data of this Annual Report.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Item 1A. Risk Factors and located earlier in this Annual Report.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and robotics operations. We believe that focusing on these services will deliver favorable long-term financial returns. From time to time, we make strategic investments that expand our service capabilities or add capacity to existing services in our key operating regions. Our well intervention capacity expanded when we took delivery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in April 2015. Our well intervention fleet is expected to further expand following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a newbuild semi-submersible vessel, and its delivery in late 2017 or in 2018, and the delivery in 2016 of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vessels, which we will charter in connection with the well intervention agreements that we entered into with Petrobras. With respect to our robotics business, we took delivery of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in April 2015 and we expect to take delivery of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in May 2016. In order to accommodate the addition of these two chartered vessels to our robotics fleet, and as a response to the decline in industry market conditions, we returned the </w:t>
      </w:r>
      <w:r>
        <w:rPr>
          <w:rFonts w:ascii="Arial" w:cs="Arial" w:eastAsia="Arial" w:hAnsi="Arial"/>
          <w:sz w:val="18"/>
          <w:szCs w:val="18"/>
          <w:i w:val="1"/>
          <w:iCs w:val="1"/>
          <w:color w:val="auto"/>
        </w:rPr>
        <w:t>Olympic Canyon</w:t>
      </w:r>
      <w:r>
        <w:rPr>
          <w:rFonts w:ascii="Arial" w:cs="Arial" w:eastAsia="Arial" w:hAnsi="Arial"/>
          <w:sz w:val="18"/>
          <w:szCs w:val="18"/>
          <w:color w:val="auto"/>
        </w:rPr>
        <w:t xml:space="preserve">, a chartered vessel, to its owner early in November 2015, and intend to return a second chartered vessel, the </w:t>
      </w:r>
      <w:r>
        <w:rPr>
          <w:rFonts w:ascii="Arial" w:cs="Arial" w:eastAsia="Arial" w:hAnsi="Arial"/>
          <w:sz w:val="18"/>
          <w:szCs w:val="18"/>
          <w:i w:val="1"/>
          <w:iCs w:val="1"/>
          <w:color w:val="auto"/>
        </w:rPr>
        <w:t>Rem Installer</w:t>
      </w:r>
      <w:r>
        <w:rPr>
          <w:rFonts w:ascii="Arial" w:cs="Arial" w:eastAsia="Arial" w:hAnsi="Arial"/>
          <w:sz w:val="18"/>
          <w:szCs w:val="18"/>
          <w:color w:val="auto"/>
        </w:rPr>
        <w:t>, to its owner when the charter ends in July 2016.</w:t>
      </w:r>
    </w:p>
    <w:p>
      <w:pPr>
        <w:spacing w:after="0" w:line="21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January 2015, Helix, OneSubsea LLC, OneSubsea B.V., Schlumberger Technology Corporation, Schlumberger B.V. and Schlumberger Oilfield Holdings Ltd. entered into a Strategic Alliance Agreement and related agreements for the parties’ strategic alliance to design, develop, manufacture, promote, market and sell on a global basis integrated equipment and services for subsea well intervention. The alliance is expected to leverage the parties’ capabilities to provide a unique, fully integrated offering to clients, combining marine support with well access and control technologies. In April 2015, we and OneSubsea jointly ordered a 15,000 working p.s.i. IRS, which is expected to be completed by July 2017 for a total cost of approximately $27.5 million (approximately $13.8 million for our 50%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Demand for our services is primarily influenced by the condition of the oil and gas industry, and in particular, the willingness of oil and gas companies to make capital expenditures for offshore exploration, drilling and production operations. The performance of our business is also largely dependent on the prevailing market prices for oil and natural gas, which are impacted by domestic and global economic conditions, hydrocarbon production and capacity, geopolitical issues, weather, and several other factors, including:</w:t>
      </w:r>
    </w:p>
    <w:p>
      <w:pPr>
        <w:spacing w:after="0" w:line="20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worldwide economic activity, including available access to global capital and capital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and demand for oil and natural gas, especially in the United States, Europe, China and India;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conflicts and economic and political conditions in the Middle East and other oil-producing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taken by OPEC;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exploration and production of onshore shale oil and natural gas;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6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oil and gas companies to generate funds or otherwise obtain external capital for exploration, development and production operations;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and expiration dates of offshore leases in the United States and overseas;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shifts in end-customer preferences toward fuel efficiency and the use of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and other governmental regulations;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domestic and international tax laws, regulations and policies.</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Oil prices have fallen almost 75% since mid-year 2014. The decline in oil prices reflects expectations of a sustained increase in production by competing oil exporters such as OPEC amid continued global supply of oil in excess of demand. Lower oil prices have had a significant adverse impact on investments in oil and gas exploration and production. In addition, the pickup in oil consumption by oil importers has been weaker than expected, in part reflecting the slowdown in overall growth in China, the world’s largest oil importer.</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light of the sharp decline in oil prices, many oil and gas companies have terminated or not renewed contracts for more than half of their contracted rigs and have drastically cut investments in exploration and production. We expect these challenging industry conditions to continue into 2016 and beyond if oil and gas prices fail to increase to a level conducive to increased activity levels. Increased competition for limited offshore oil and gas projects has driven down rates that drilling rig contractors are charging for their services, which affects all offshore oil and gas services contractors, including us. Increased competition is also expected to affect utilization of our assets, and increasingly for 2016, our robotics assets. In addition, the current volatile and uncertain macroeconomic conditions in some countries around the world, such as Brazil, may have a direct and/or indirect impact on existing contracts and contracting opportunities.</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oil and gas companies are increasingly focusing on optimizing production of their existing subsea wells. We believe that we have a competitive advantage in terms of performing well intervention services efficiently. Furthermore, we believe that when oil and gas companies begin to increase overall spending levels, it will likely be for production activities rather than for exploration projects. Our well intervention and robotics operations are intended to service the life span of an oil and gas field as well as to provide abandonment services at the end of the life of a field as required by governmental regulations. Thus over the longer term, we believe that fundamentals for our business remain favorable as the need for prolongation of well life in oil and gas production is the primary driver of demand for our services.</w:t>
      </w:r>
    </w:p>
    <w:p>
      <w:pPr>
        <w:spacing w:after="0" w:line="209"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Our strategy is to be positioned for future recovery while coping with a sustained period of weak activity. This strategy is based on the following factors: (1) the need to extend the life of subsea wells is significant to the commerciality of the wells as plug and abandonment costs are considered; (2) our services offer commercially viable alternatives for reducing the finding and development costs of reserves as compared to new drilling; and (3) in past cycles, well intervention and workover have been one of the first activities to recover, and in a prolonged market downturn are important to the commercial viability of deepwater wells.</w:t>
      </w:r>
    </w:p>
    <w:p>
      <w:pPr>
        <w:spacing w:after="0" w:line="20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At December 31, 2015, we had cash on hand of $494.2 million and $249.4 million available for borrowing under our Revolving Credit Facility. Our capital expenditures for 2016 are currently anticipated to total approximately $240 million. We believe that we have sufficient liquidity without incurring additional indebtedness beyond the availability under the Revolving Credit Facility (Note 7) in 2016.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Activity Summary</w:t>
      </w:r>
    </w:p>
    <w:p>
      <w:pPr>
        <w:spacing w:after="0" w:line="2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have enhanced our financial position and strengthened our balance sheet with proceeds from the sale of certain non-core business assets, which, together with liquidity under our Revolving Credit Facility, have allowed us to strategically focus on our core well intervention and robotics businesses. Since 2009, we have generated approximately $1.5 billion in pre-tax proceeds from asset sale transactions. These dispositions primarily include approximately $55 million from the sale of individual oil and gas properties, over $500 million from the sale of our stockholdings in Cal Dive International Inc., $25 million from the sale of our former reservoir consulting business, approximately $238 million from the sale of our two remaining pipelay vessels, the </w:t>
      </w:r>
      <w:r>
        <w:rPr>
          <w:rFonts w:ascii="Arial" w:cs="Arial" w:eastAsia="Arial" w:hAnsi="Arial"/>
          <w:sz w:val="17"/>
          <w:szCs w:val="17"/>
          <w:i w:val="1"/>
          <w:iCs w:val="1"/>
          <w:color w:val="auto"/>
        </w:rPr>
        <w:t>Caesar</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Express</w:t>
      </w:r>
      <w:r>
        <w:rPr>
          <w:rFonts w:ascii="Arial" w:cs="Arial" w:eastAsia="Arial" w:hAnsi="Arial"/>
          <w:sz w:val="17"/>
          <w:szCs w:val="17"/>
          <w:color w:val="auto"/>
        </w:rPr>
        <w:t>, and $624 million from the sale of ERT.</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In April 2015, we took delivery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 newbuild semi-submersible well intervention vessel. The vessel then transited from the construction shipyard in Singapore to the Gulf of Mexico where it completed its sea trials after the topside equipment was installed.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commenced operations in the Gulf of Mexico during the fourth quarter of 2015. The vessel is expected to commence services in April 2016 under our five-year contract with BP.</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 xml:space="preserve">Also in April 2015, we took delivery of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 chartered newbuild vessel with more capabilities than some of our older chartered ROV support vessels.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is currently in the Gulf of Mexico where it is expected to provide ROV support services during 2016.</w:t>
      </w:r>
    </w:p>
    <w:p>
      <w:pPr>
        <w:spacing w:after="0" w:line="176"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 xml:space="preserve">In 2015,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was out of service until September 2015 undergoing dry dock and major capital upgrades that extended its estimated useful economic life by approximately 15 years. The vessel has been warm stacked thereafter as a result of weak demand for our services.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have three reportable business segments: Well Intervention, Robotics and Production Facilities. Our Subsea Construction results diminished following the sale in 2013 and early 2014 of essentially all of our assets related to this previously reported business segment. Previously, we had another reported business segment, Oil and Gas. In February 2013, we completed the sale of ERT (Note 1). Accordingly, the results of ERT are presented as discontinued operations for all periods presented in this Annual Report.</w:t>
      </w:r>
    </w:p>
    <w:p>
      <w:pPr>
        <w:spacing w:after="0" w:line="204"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All material intercompany transactions between the segments have been eliminated in our consolidated financial statements, including our consolidated results of operations.</w:t>
      </w:r>
    </w:p>
    <w:p>
      <w:pPr>
        <w:spacing w:after="0" w:line="19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 xml:space="preserve">We seek to provide services and methodologies that we believe are critical to developing offshore reservoirs and maximizing production economics. Our services cover the lifecycle of an offshore oil or gas field. We operate primarily in deepwater in the U.S. Gulf of Mexico, North Sea, Asia Pacific and West Africa regions, and are expanding our operations offshore Brazil. In addition to servicing the oil and gas market, our Robotics operations are contracted for the development of renewable energy projects (wind farms). As of December 31, 2015, our consolidated backlog that is supported by written agreements or contracts totaled $1.8 billion, of which $ 388.4 million is expected to be performed in 2016. The substantial majority of our backlog is associated with our Well Intervention business segment. As of December 31, 2015, our well intervention backlog was $1.6 billion, including $278.8 million expected to be performed in 2016. Our five-year contract with BP to provide well intervention services with our </w:t>
      </w:r>
      <w:r>
        <w:rPr>
          <w:rFonts w:ascii="Arial" w:cs="Arial" w:eastAsia="Arial" w:hAnsi="Arial"/>
          <w:sz w:val="18"/>
          <w:szCs w:val="18"/>
          <w:i w:val="1"/>
          <w:iCs w:val="1"/>
          <w:color w:val="auto"/>
        </w:rPr>
        <w:t>Q5000</w:t>
      </w:r>
      <w:r>
        <w:rPr>
          <w:rFonts w:ascii="Arial" w:cs="Arial" w:eastAsia="Arial" w:hAnsi="Arial"/>
          <w:sz w:val="18"/>
          <w:szCs w:val="18"/>
          <w:color w:val="auto"/>
        </w:rPr>
        <w:t xml:space="preserve"> semi-submersible vessel and our four-year agreements with Petrobras to provide well intervention services offshore Brazil with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chartered vessels, represent approximately 82% of our total backlog. At December 31, 2014, the total backlog associated with our operations was $ 2.3 billion. Backlog contracts are cancelable sometimes without penalty. In addition, if there are cancellation fees, the amount of those fees can be substantially less than the rates we would have generated had we performed the contract. Accordingly, backlog is not necessarily a reliable indicator of total annual revenues for our services as contracts may be added, renegotiated, deferred, canceled and in many cases modified while in progress.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1"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65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Comparison of Years Ended December 31, 2015 and 2014</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10140" w:type="dxa"/>
            <w:vAlign w:val="bottom"/>
            <w:gridSpan w:val="9"/>
          </w:tcPr>
          <w:p>
            <w:pPr>
              <w:ind w:left="660"/>
              <w:spacing w:after="0"/>
              <w:rPr>
                <w:sz w:val="20"/>
                <w:szCs w:val="20"/>
                <w:color w:val="auto"/>
              </w:rPr>
            </w:pPr>
            <w:r>
              <w:rPr>
                <w:rFonts w:ascii="Arial" w:cs="Arial" w:eastAsia="Arial" w:hAnsi="Arial"/>
                <w:sz w:val="18"/>
                <w:szCs w:val="18"/>
                <w:color w:val="auto"/>
              </w:rPr>
              <w:t>The following table details various financial and operational highlights for the periods presented (dollars in thousands):</w:t>
            </w:r>
          </w:p>
        </w:tc>
        <w:tc>
          <w:tcPr>
            <w:tcW w:w="1280" w:type="dxa"/>
            <w:vAlign w:val="bottom"/>
          </w:tcPr>
          <w:p>
            <w:pPr>
              <w:spacing w:after="0"/>
              <w:rPr>
                <w:sz w:val="24"/>
                <w:szCs w:val="24"/>
                <w:color w:val="auto"/>
              </w:rPr>
            </w:pPr>
          </w:p>
        </w:tc>
      </w:tr>
      <w:tr>
        <w:trPr>
          <w:trHeight w:val="399"/>
        </w:trPr>
        <w:tc>
          <w:tcPr>
            <w:tcW w:w="1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264"/>
        </w:trPr>
        <w:tc>
          <w:tcPr>
            <w:tcW w:w="126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6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Net revenues —</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373,301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667,849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(294,548)</w:t>
            </w:r>
          </w:p>
        </w:tc>
      </w:tr>
      <w:tr>
        <w:trPr>
          <w:trHeight w:val="26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301,026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420,224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(119,198)</w:t>
            </w: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75,948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93,175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w:t>
            </w:r>
          </w:p>
        </w:tc>
      </w:tr>
      <w:tr>
        <w:trPr>
          <w:trHeight w:val="26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Intercompany elimination</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(54,473)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19,977</w:t>
            </w:r>
          </w:p>
        </w:tc>
      </w:tr>
      <w:tr>
        <w:trPr>
          <w:trHeight w:val="290"/>
        </w:trPr>
        <w:tc>
          <w:tcPr>
            <w:tcW w:w="1260" w:type="dxa"/>
            <w:vAlign w:val="bottom"/>
            <w:tcBorders>
              <w:bottom w:val="single" w:sz="8" w:color="CCEEFF"/>
            </w:tcBorders>
          </w:tcPr>
          <w:p>
            <w:pPr>
              <w:spacing w:after="0"/>
              <w:rPr>
                <w:sz w:val="24"/>
                <w:szCs w:val="24"/>
                <w:color w:val="auto"/>
              </w:rPr>
            </w:pPr>
          </w:p>
        </w:tc>
        <w:tc>
          <w:tcPr>
            <w:tcW w:w="5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695,802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1,107,156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(411,354)</w:t>
            </w:r>
          </w:p>
        </w:tc>
      </w:tr>
      <w:tr>
        <w:trPr>
          <w:trHeight w:val="217"/>
        </w:trPr>
        <w:tc>
          <w:tcPr>
            <w:tcW w:w="12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Well Intervention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(165,049)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219,554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(384,603)</w:t>
            </w:r>
          </w:p>
        </w:tc>
      </w:tr>
      <w:tr>
        <w:trPr>
          <w:trHeight w:val="26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41,446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86,419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(44,973)</w:t>
            </w: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Production Facilities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(106,112)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41,762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(147,874)</w:t>
            </w:r>
          </w:p>
        </w:tc>
      </w:tr>
      <w:tr>
        <w:trPr>
          <w:trHeight w:val="26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2"/>
                <w:szCs w:val="22"/>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Intercompany elimination</w:t>
            </w:r>
          </w:p>
        </w:tc>
        <w:tc>
          <w:tcPr>
            <w:tcW w:w="3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90"/>
        </w:trPr>
        <w:tc>
          <w:tcPr>
            <w:tcW w:w="1260" w:type="dxa"/>
            <w:vAlign w:val="bottom"/>
            <w:tcBorders>
              <w:bottom w:val="single" w:sz="8" w:color="CCEEFF"/>
            </w:tcBorders>
          </w:tcPr>
          <w:p>
            <w:pPr>
              <w:spacing w:after="0"/>
              <w:rPr>
                <w:sz w:val="24"/>
                <w:szCs w:val="24"/>
                <w:color w:val="auto"/>
              </w:rPr>
            </w:pPr>
          </w:p>
        </w:tc>
        <w:tc>
          <w:tcPr>
            <w:tcW w:w="5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(233,774)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344,036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(577,810)</w:t>
            </w:r>
          </w:p>
        </w:tc>
      </w:tr>
      <w:tr>
        <w:trPr>
          <w:trHeight w:val="217"/>
        </w:trPr>
        <w:tc>
          <w:tcPr>
            <w:tcW w:w="12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Total company</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6"/>
        </w:trPr>
        <w:tc>
          <w:tcPr>
            <w:tcW w:w="126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 xml:space="preserve">Number of vessels or robotics assets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 Utilization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Well Intervention vessels</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Robotics assets</w:t>
            </w:r>
          </w:p>
        </w:tc>
        <w:tc>
          <w:tcPr>
            <w:tcW w:w="340" w:type="dxa"/>
            <w:vAlign w:val="bottom"/>
          </w:tcPr>
          <w:p>
            <w:pPr>
              <w:spacing w:after="0"/>
              <w:rPr>
                <w:sz w:val="22"/>
                <w:szCs w:val="22"/>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Chartered robotics vessels</w:t>
            </w: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0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2015 amounts included asset impairment charges (see discussions below).</w:t>
      </w:r>
    </w:p>
    <w:p>
      <w:pPr>
        <w:spacing w:after="0" w:line="117" w:lineRule="exact"/>
        <w:rPr>
          <w:rFonts w:ascii="Arial" w:cs="Arial" w:eastAsia="Arial" w:hAnsi="Arial"/>
          <w:sz w:val="18"/>
          <w:szCs w:val="18"/>
          <w:color w:val="auto"/>
        </w:rPr>
      </w:pPr>
    </w:p>
    <w:p>
      <w:pPr>
        <w:ind w:left="660" w:right="60" w:hanging="652"/>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Represents number of vessels or robotics assets as of the end of the period excluding acquired vessels prior to their in-service dates, vessels taken out of service prior to their disposition and vessels jointly owned with a third party.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was excluded for the first eight months of 2015 as it was out of service undergoing major capital upgrades.</w:t>
      </w:r>
    </w:p>
    <w:p>
      <w:pPr>
        <w:spacing w:after="0" w:line="93" w:lineRule="exact"/>
        <w:rPr>
          <w:rFonts w:ascii="Arial" w:cs="Arial" w:eastAsia="Arial" w:hAnsi="Arial"/>
          <w:sz w:val="18"/>
          <w:szCs w:val="18"/>
          <w:color w:val="auto"/>
        </w:rPr>
      </w:pPr>
    </w:p>
    <w:p>
      <w:pPr>
        <w:ind w:left="660" w:right="220" w:hanging="652"/>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average utilization rate, which is calculated by dividing the total number of days the vessels or robotics assets generated revenues by the total number of calendar days in the applicable period.</w:t>
      </w:r>
    </w:p>
    <w:p>
      <w:pPr>
        <w:spacing w:after="0" w:line="142" w:lineRule="exact"/>
        <w:rPr>
          <w:sz w:val="20"/>
          <w:szCs w:val="20"/>
          <w:color w:val="auto"/>
        </w:rPr>
      </w:pPr>
    </w:p>
    <w:p>
      <w:pPr>
        <w:ind w:right="500" w:firstLine="648"/>
        <w:spacing w:after="0" w:line="262"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at rates consistent with those charged to third parties. Intercompany segment revenues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1"/>
                <w:szCs w:val="21"/>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324"/>
        </w:trPr>
        <w:tc>
          <w:tcPr>
            <w:tcW w:w="3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 Intervention</w:t>
            </w: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Robotics</w:t>
            </w:r>
          </w:p>
        </w:tc>
        <w:tc>
          <w:tcPr>
            <w:tcW w:w="3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44,575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reviewing the discussion below of our results of operations, please refer to the tables above and Note 13 for supplemental information regarding our business segment results. This discussion specifically refers to our Well Intervention, Robotics and Production Facilities segments. The results of our previously reported Subsea Construction segment are immaterial and thus no longer meet the threshold to be separately reported as a business segment. These results are now aggregated within “Other” for the periods presented.</w:t>
      </w:r>
    </w:p>
    <w:p>
      <w:pPr>
        <w:spacing w:after="0" w:line="18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total net revenues decreased by 37% in 2015 as compared to 2014. In general, decreased revenues for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 both the reduced opportunities for work and the acceptance of work at reduced rates for some of our assets following the industry-wide reaction to the substantial decline in oil prices.</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 xml:space="preserve">Our Well Intervention revenues decreased by 44% in 2015 as compared to 2014 primarily reflecting decreased utilization of our available well intervention vessels due to lack of work, idle days associated with the dry docks for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Seawell </w:t>
      </w:r>
      <w:r>
        <w:rPr>
          <w:rFonts w:ascii="Arial" w:cs="Arial" w:eastAsia="Arial" w:hAnsi="Arial"/>
          <w:sz w:val="18"/>
          <w:szCs w:val="18"/>
          <w:color w:val="auto"/>
        </w:rPr>
        <w:t>being out of service in 2015 undergoing certain capital upgrades to extend its estimated useful life and being warm stacked after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life extension activities were completed in September 2015. In the North Sea, the </w:t>
      </w:r>
      <w:r>
        <w:rPr>
          <w:rFonts w:ascii="Arial" w:cs="Arial" w:eastAsia="Arial" w:hAnsi="Arial"/>
          <w:sz w:val="18"/>
          <w:szCs w:val="18"/>
          <w:i w:val="1"/>
          <w:iCs w:val="1"/>
          <w:color w:val="auto"/>
        </w:rPr>
        <w:t>Skandi Constructor</w:t>
      </w:r>
      <w:r>
        <w:rPr>
          <w:rFonts w:ascii="Arial" w:cs="Arial" w:eastAsia="Arial" w:hAnsi="Arial"/>
          <w:sz w:val="18"/>
          <w:szCs w:val="18"/>
          <w:color w:val="auto"/>
        </w:rPr>
        <w:t xml:space="preserve"> was 56% utilized during 2015. The vessel was idle for the majority of the first four months of 2015 and has been warm stacked since November 2015 at reduced charter rates. The vessel was 88% utilized during 2014, including the 29 idle days associated with the vessel being in regulatory dry dock during the fourth quarter of 2014.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was 89% utilized during 2015 as compared to 87% utilized during 2014, including the 24 idle days associated with the vessel being in regulatory dry dock in January 2014. In the Gulf of Mexico, we attempted to arrange replacement projects to fill the 150-day void in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’s schedule caused by a contract cancellation (for which we received a termination fee of $ 11.6 million). We were successful in filling all but 26 days in the first quarter of 2015 but were only able to secure 50 days of utilization for the vessel in the second quarter of 2015.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commenced its regularly scheduled regulatory dry dock in September 2015. The vessel completed its dry dock in November 2015 and we currently plan to cold stack the vessel in 2016 due to low levels of activity.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was 83% utilized during 2014 with 53 idle days during the fourth quarter of 2014, including 14 days for required annual inspections and 39 days following the cancellation of a contract.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was 71% utilized during 2015 as compared to being 91% utilized during 2014. Idle time for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included 64 days in the second quarter of 2015 for its regularly scheduled regulatory dry dock.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joined our well intervention fleet in the Gulf of Mexico in October 2015 following completion of certain modifications and upgrades necessary for its operations for BP in the Gulf of Mexico.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was utilized for 58 days during the fourth quarter of 2015.</w:t>
      </w:r>
    </w:p>
    <w:p>
      <w:pPr>
        <w:spacing w:after="0" w:line="209"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Our Robotics revenues decreased by 28% in 2015 as compared to 2014. The decrease primarily reflects lower utilization of our Robotics assets, accepting work at generally reduced rates, and 442 fewer days of spot vessel utilization. Some of our ROV units have been affected by other industry participants laying up vessels or canceling work as a result of the oil and gas industry downturn. Utilization of our chartered ROV support vessels decreased primarily in the fourth quarter of 2015 reflecting the end of a long-term project offshore India and a reduction in near term work opportunities as a result of further market deterioration in the offshore energy industry.</w:t>
      </w:r>
    </w:p>
    <w:p>
      <w:pPr>
        <w:spacing w:after="0" w:line="20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Our Production Facilities revenues decreased by 18% in 2015 as compared to 2014, which reflects the decrease in our variable throughput fee as a result of both the decline in oil prices and lower production volumes. The decrease in production volumes reflects natural declines in subsea reservoirs and the Phoenix field being shut in for the majority of March 2015 for some development activities within the field and during which time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underwent required maintenance.</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Excluding the impact of impairment charges related to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Helix 534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HP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and certain capitalized vessel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project costs (Note 4), our gross profit decreased by 68% as compared to 2014. Excluding the $211.6 million impairment charges related to the </w:t>
      </w:r>
      <w:r>
        <w:rPr>
          <w:rFonts w:ascii="Arial" w:cs="Arial" w:eastAsia="Arial" w:hAnsi="Arial"/>
          <w:sz w:val="18"/>
          <w:szCs w:val="18"/>
          <w:i w:val="1"/>
          <w:iCs w:val="1"/>
          <w:color w:val="auto"/>
        </w:rPr>
        <w:t xml:space="preserve">Helix 534 </w:t>
      </w:r>
      <w:r>
        <w:rPr>
          <w:rFonts w:ascii="Arial" w:cs="Arial" w:eastAsia="Arial" w:hAnsi="Arial"/>
          <w:sz w:val="18"/>
          <w:szCs w:val="18"/>
          <w:color w:val="auto"/>
        </w:rPr>
        <w:t>and certain capitalized vessel project costs, the gross profit related to our Well Intervention segment decreased by 79% in 2015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2014 reflecting reduced revenues as a result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being idle while undergoing their respective regulatory dry dock inspections and repairs during 2015, and our vessels operating under reduced rates or being idle for considerable periods of time during 2015 due to lack of available projects as a result of the ongoing industry downturn.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gross profit associated with our Robotics segment decreased by 52% in 2015 as compared to 2014 primarily reflecting decreased utilization for our Robotics assets, less spot work in 2015 and reduced profit margins on any newly awarded work.</w:t>
      </w:r>
    </w:p>
    <w:p>
      <w:pPr>
        <w:spacing w:after="0" w:line="17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 xml:space="preserve">Excluding the $133.4 million impairment charge for the </w:t>
      </w:r>
      <w:r>
        <w:rPr>
          <w:rFonts w:ascii="Arial" w:cs="Arial" w:eastAsia="Arial" w:hAnsi="Arial"/>
          <w:sz w:val="18"/>
          <w:szCs w:val="18"/>
          <w:i w:val="1"/>
          <w:iCs w:val="1"/>
          <w:color w:val="auto"/>
        </w:rPr>
        <w:t>HP I</w:t>
      </w:r>
      <w:r>
        <w:rPr>
          <w:rFonts w:ascii="Arial" w:cs="Arial" w:eastAsia="Arial" w:hAnsi="Arial"/>
          <w:sz w:val="18"/>
          <w:szCs w:val="18"/>
          <w:color w:val="auto"/>
        </w:rPr>
        <w:t>, the gross profit related to our Production Facilities segment decreased by 35% in 2015 as compared to 2014. The decrease primarily reflects the decrease in revenues associated with our variable throughput fee, which was adversely affected by the decrease in oil prices and lower production volumes from the Phoenix field.</w:t>
      </w:r>
    </w:p>
    <w:p>
      <w:pPr>
        <w:spacing w:after="0" w:line="17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i w:val="1"/>
          <w:iCs w:val="1"/>
          <w:color w:val="auto"/>
        </w:rPr>
        <w:t xml:space="preserve">Goodwill Impairment. </w:t>
      </w:r>
      <w:r>
        <w:rPr>
          <w:rFonts w:ascii="Arial" w:cs="Arial" w:eastAsia="Arial" w:hAnsi="Arial"/>
          <w:sz w:val="18"/>
          <w:szCs w:val="18"/>
          <w:color w:val="auto"/>
        </w:rPr>
        <w:t>The $16.4 million impairment charge in 2015 reflects the write-off of the entire goodwill balance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U.K. well intervention reporting unit (Notes 2 and 6).</w:t>
      </w:r>
    </w:p>
    <w:p>
      <w:pPr>
        <w:spacing w:after="0" w:line="153"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b w:val="1"/>
          <w:bCs w:val="1"/>
          <w:i w:val="1"/>
          <w:iCs w:val="1"/>
          <w:color w:val="auto"/>
        </w:rPr>
        <w:t xml:space="preserve">Gain on Disposition of Assets, Net. </w:t>
      </w:r>
      <w:r>
        <w:rPr>
          <w:rFonts w:ascii="Arial" w:cs="Arial" w:eastAsia="Arial" w:hAnsi="Arial"/>
          <w:sz w:val="18"/>
          <w:szCs w:val="18"/>
          <w:color w:val="auto"/>
        </w:rPr>
        <w:t>The $10.2 million net gain on disposition of assets in 2014 primarily reflects a $10.5 million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the sale of our Ingleside spoolbase in January 2014 (Note 4).</w:t>
      </w:r>
    </w:p>
    <w:p>
      <w:pPr>
        <w:spacing w:after="0" w:line="15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decreased by $35.2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as compared to 2014. The decrease was primarily attributable to a reduction in payroll-related costs including costs associated with our variable performance-based incentive compensation programs (Note 12) and overhead cost saving measures including headcount reductions. Our selling, general and administrative expenses as a percentage of net revenues remained consistent in the comparable year-over-year periods.</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b w:val="1"/>
          <w:bCs w:val="1"/>
          <w:i w:val="1"/>
          <w:iCs w:val="1"/>
          <w:color w:val="auto"/>
        </w:rPr>
        <w:t xml:space="preserve">Equity in Earnings (Losses) of Investments. </w:t>
      </w:r>
      <w:r>
        <w:rPr>
          <w:rFonts w:ascii="Arial" w:cs="Arial" w:eastAsia="Arial" w:hAnsi="Arial"/>
          <w:sz w:val="18"/>
          <w:szCs w:val="18"/>
          <w:color w:val="auto"/>
        </w:rPr>
        <w:t>Equity in earnings (losses) of investments was $(124.3) million in 2015 and $0.9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2014. The losses in 2015 primarily reflect our share of impairment charges that Deepwater Gateway and Independence Hub recorded in December 2015 (Note 5).</w:t>
      </w:r>
    </w:p>
    <w:p>
      <w:pPr>
        <w:spacing w:after="0" w:line="1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$26.9 million in 2015 as compared to $17.9 million in 2014 primarily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in interest expense and a decrease in interest income, partially offset by an increase in capitalized interest. The increase in interest expense was associated with the Nordea Q5000 Loan, which was funded in April 2015 (Note 7). Interest income totaled $2.1 million for 2015 as compared to $4.8 million for 2014. The amount of interest income for 2014 includes $2.1 million from a U.S. Internal Revenue Service income tax refund (Note 8). Interest on debt used to finance capital projects is capitalized and thus reduces overall interest expense. Capitalized interest totaled $11.0 million for 2015 as compared to $10.4 million for 2014.</w:t>
      </w:r>
    </w:p>
    <w:p>
      <w:pPr>
        <w:spacing w:after="0" w:line="18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We reported other expense, net, of $24.3 million for 2015 as compared to other income, net, of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in 2014. Net other expense for 2015 primarily reflects losses associated with our foreign currency exchange contracts, including $18.0 million upon de-designation of our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hedges and $5.1 million related to our hedge ineffectiveness (Note 18). Net other income for 2014 included losses of $1.7 million related to our hedge ineffectiveness. Also included in other income (expense), net, were foreign currency transaction gains (losses) of $(1.2) million and $2.5 million, respectively, in the comparable year-over-year periods. These amounts primarily reflect foreign exchange fluctuations in our non-U.S. dollar functional currencies.</w:t>
      </w:r>
    </w:p>
    <w:p>
      <w:pPr>
        <w:spacing w:after="0" w:line="183"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b w:val="1"/>
          <w:bCs w:val="1"/>
          <w:i w:val="1"/>
          <w:iCs w:val="1"/>
          <w:color w:val="auto"/>
        </w:rPr>
        <w:t xml:space="preserve">Other Income – Oil and Gas. </w:t>
      </w:r>
      <w:r>
        <w:rPr>
          <w:rFonts w:ascii="Arial" w:cs="Arial" w:eastAsia="Arial" w:hAnsi="Arial"/>
          <w:sz w:val="18"/>
          <w:szCs w:val="18"/>
          <w:color w:val="auto"/>
        </w:rPr>
        <w:t>Our other income - oil and gas decreased by $ 12.2 million in 2015 as compared to 2014.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attributable to a $7.2 million insurance reimbursement in the first quarter of 2014 related to asset retirement work previously performed as well as the decrease in our overriding royalty interests. The reduction in our overriding royalty income reflects the decline in oil prices and lower production volumes as previously discussed.</w:t>
      </w:r>
    </w:p>
    <w:p>
      <w:pPr>
        <w:spacing w:after="0" w:line="177" w:lineRule="exact"/>
        <w:rPr>
          <w:sz w:val="20"/>
          <w:szCs w:val="20"/>
          <w:color w:val="auto"/>
        </w:rPr>
      </w:pPr>
    </w:p>
    <w:p>
      <w:pPr>
        <w:ind w:right="260" w:firstLine="648"/>
        <w:spacing w:after="0" w:line="291" w:lineRule="auto"/>
        <w:rPr>
          <w:sz w:val="20"/>
          <w:szCs w:val="20"/>
          <w:color w:val="auto"/>
        </w:rPr>
      </w:pPr>
      <w:r>
        <w:rPr>
          <w:rFonts w:ascii="Arial" w:cs="Arial" w:eastAsia="Arial" w:hAnsi="Arial"/>
          <w:sz w:val="17"/>
          <w:szCs w:val="17"/>
          <w:b w:val="1"/>
          <w:bCs w:val="1"/>
          <w:i w:val="1"/>
          <w:iCs w:val="1"/>
          <w:color w:val="auto"/>
        </w:rPr>
        <w:t xml:space="preserve">Income Tax Provision (Benefit). </w:t>
      </w:r>
      <w:r>
        <w:rPr>
          <w:rFonts w:ascii="Arial" w:cs="Arial" w:eastAsia="Arial" w:hAnsi="Arial"/>
          <w:sz w:val="17"/>
          <w:szCs w:val="17"/>
          <w:color w:val="auto"/>
        </w:rPr>
        <w:t>Income taxes reflected a benefit of $101.2 million in 2015 as compared to a provision of $67.0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2014. The variance primarily reflects decreased profitability in the current year period. The effective tax rate was 21.2% for 2015 as compared to 25.5% for 2014. The variance was primarily attributable to the earnings mix between our higher and lower tax rate jurisdictions.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2014 and 2013</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various financial and operational highlights for the periods presented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2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1"/>
                <w:szCs w:val="21"/>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264"/>
        </w:trPr>
        <w:tc>
          <w:tcPr>
            <w:tcW w:w="66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Net revenues —</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Well Intervention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667,849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452,452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215,397</w:t>
            </w: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Robotics</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420,224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333,246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86,978</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Facilities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93,175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88,149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Subsea Construction</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71,321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(70,963)</w:t>
            </w:r>
          </w:p>
        </w:tc>
      </w:tr>
      <w:tr>
        <w:trPr>
          <w:trHeight w:val="27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Intercompany elimination</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(74,450)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(68,607)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r>
      <w:tr>
        <w:trPr>
          <w:trHeight w:val="290"/>
        </w:trPr>
        <w:tc>
          <w:tcPr>
            <w:tcW w:w="66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1,107,156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876,561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230,595</w:t>
            </w:r>
          </w:p>
        </w:tc>
      </w:tr>
      <w:tr>
        <w:trPr>
          <w:trHeight w:val="311"/>
        </w:trPr>
        <w:tc>
          <w:tcPr>
            <w:tcW w:w="6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Well Intervention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219,554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142,762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76,792</w:t>
            </w: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Robotics</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86,419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57,035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29,384</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Facilities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41,762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50,619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Subsea Construction</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18,302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(17,841)</w:t>
            </w: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r>
      <w:tr>
        <w:trPr>
          <w:trHeight w:val="264"/>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Intercompany elimination</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2,439</w:t>
            </w:r>
          </w:p>
        </w:tc>
      </w:tr>
      <w:tr>
        <w:trPr>
          <w:trHeight w:val="250"/>
        </w:trPr>
        <w:tc>
          <w:tcPr>
            <w:tcW w:w="6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344,036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260,685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83,351</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Well Intervention</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Robotics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6600" w:type="dxa"/>
            <w:vAlign w:val="bottom"/>
          </w:tcPr>
          <w:p>
            <w:pPr>
              <w:ind w:left="180"/>
              <w:spacing w:after="0"/>
              <w:rPr>
                <w:sz w:val="20"/>
                <w:szCs w:val="20"/>
                <w:color w:val="auto"/>
              </w:rPr>
            </w:pPr>
            <w:r>
              <w:rPr>
                <w:rFonts w:ascii="Arial" w:cs="Arial" w:eastAsia="Arial" w:hAnsi="Arial"/>
                <w:sz w:val="18"/>
                <w:szCs w:val="18"/>
                <w:color w:val="auto"/>
              </w:rPr>
              <w:t>Production Facilities</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company</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324"/>
        </w:trPr>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Number of vessels or robotics assets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 Utilization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6600" w:type="dxa"/>
            <w:vAlign w:val="bottom"/>
          </w:tcPr>
          <w:p>
            <w:pPr>
              <w:ind w:left="380"/>
              <w:spacing w:after="0"/>
              <w:rPr>
                <w:sz w:val="20"/>
                <w:szCs w:val="20"/>
                <w:color w:val="auto"/>
              </w:rPr>
            </w:pPr>
            <w:r>
              <w:rPr>
                <w:rFonts w:ascii="Arial" w:cs="Arial" w:eastAsia="Arial" w:hAnsi="Arial"/>
                <w:sz w:val="18"/>
                <w:szCs w:val="18"/>
                <w:color w:val="auto"/>
              </w:rPr>
              <w:t>Well Intervention vessels</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Robotics assets</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57"/>
        </w:trPr>
        <w:tc>
          <w:tcPr>
            <w:tcW w:w="6600" w:type="dxa"/>
            <w:vAlign w:val="bottom"/>
          </w:tcPr>
          <w:p>
            <w:pPr>
              <w:ind w:left="380"/>
              <w:spacing w:after="0"/>
              <w:rPr>
                <w:sz w:val="20"/>
                <w:szCs w:val="20"/>
                <w:color w:val="auto"/>
              </w:rPr>
            </w:pPr>
            <w:r>
              <w:rPr>
                <w:rFonts w:ascii="Arial" w:cs="Arial" w:eastAsia="Arial" w:hAnsi="Arial"/>
                <w:sz w:val="18"/>
                <w:szCs w:val="18"/>
                <w:color w:val="auto"/>
              </w:rPr>
              <w:t>Chartered robotics vessels</w:t>
            </w:r>
          </w:p>
        </w:tc>
        <w:tc>
          <w:tcPr>
            <w:tcW w:w="32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121" w:lineRule="exact"/>
        <w:rPr>
          <w:sz w:val="20"/>
          <w:szCs w:val="20"/>
          <w:color w:val="auto"/>
        </w:rPr>
      </w:pPr>
    </w:p>
    <w:p>
      <w:pPr>
        <w:ind w:left="660" w:right="160" w:hanging="652"/>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number of vessels or robotics assets as of the end of the period excluding acquired vessels prior to their in-service dates, vessels taken out of service prior to their disposition and vessels jointly owned with a third party.</w:t>
      </w:r>
    </w:p>
    <w:p>
      <w:pPr>
        <w:spacing w:after="0" w:line="88" w:lineRule="exact"/>
        <w:rPr>
          <w:rFonts w:ascii="Arial" w:cs="Arial" w:eastAsia="Arial" w:hAnsi="Arial"/>
          <w:sz w:val="18"/>
          <w:szCs w:val="18"/>
          <w:color w:val="auto"/>
        </w:rPr>
      </w:pPr>
    </w:p>
    <w:p>
      <w:pPr>
        <w:ind w:left="660" w:right="220" w:hanging="652"/>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average utilization rate, which is calculated by dividing the total number of days the vessels or robotics assets generated revenues by the total number of calendar days in the applicable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500" w:firstLine="648"/>
        <w:spacing w:after="0" w:line="262"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at rates consistent with those charged to third parties. Intercompany segment revenues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1"/>
                <w:szCs w:val="21"/>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324"/>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29,875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44,575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3,406</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Facilities</w:t>
            </w: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Subsea Construction</w:t>
            </w: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50"/>
        </w:trPr>
        <w:tc>
          <w:tcPr>
            <w:tcW w:w="67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total net revenues increased by 26% in 2014 as compared to 2013. Net revenues for our business segments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increased year over year, reflecting the addition of vessels in our Well Intervention business (see below), the increased asset utilization within our Robotics segment, and the slightly higher revenues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reflecting the variable production component of the fee arrangement in the Phoenix field. Our Subsea Construction revenues decreased reflecting the sale of our pipelay vessels in mid-year 2013 (Note 4).</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Well Intervention revenues increased by 48% in 2014 as compared to 2013 primarily reflecting the addition of two vessels,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chartered </w:t>
      </w:r>
      <w:r>
        <w:rPr>
          <w:rFonts w:ascii="Arial" w:cs="Arial" w:eastAsia="Arial" w:hAnsi="Arial"/>
          <w:sz w:val="18"/>
          <w:szCs w:val="18"/>
          <w:i w:val="1"/>
          <w:iCs w:val="1"/>
          <w:color w:val="auto"/>
        </w:rPr>
        <w:t>Skandi Constructor</w:t>
      </w:r>
      <w:r>
        <w:rPr>
          <w:rFonts w:ascii="Arial" w:cs="Arial" w:eastAsia="Arial" w:hAnsi="Arial"/>
          <w:sz w:val="18"/>
          <w:szCs w:val="18"/>
          <w:color w:val="auto"/>
        </w:rPr>
        <w:t xml:space="preserve"> in April 2013 and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in February 2014, as well as higher demand for our services. Our vessels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high utilization (88%) during 2014 despite three vessels being in regulatory dry dock in 2014: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(24 days), the </w:t>
      </w:r>
      <w:r>
        <w:rPr>
          <w:rFonts w:ascii="Arial" w:cs="Arial" w:eastAsia="Arial" w:hAnsi="Arial"/>
          <w:sz w:val="18"/>
          <w:szCs w:val="18"/>
          <w:i w:val="1"/>
          <w:iCs w:val="1"/>
          <w:color w:val="auto"/>
        </w:rPr>
        <w:t>Skandi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Constructor </w:t>
      </w:r>
      <w:r>
        <w:rPr>
          <w:rFonts w:ascii="Arial" w:cs="Arial" w:eastAsia="Arial" w:hAnsi="Arial"/>
          <w:sz w:val="18"/>
          <w:szCs w:val="18"/>
          <w:color w:val="auto"/>
        </w:rPr>
        <w:t>(29 days) and the commencement of the life extension activities on the</w:t>
      </w:r>
      <w:r>
        <w:rPr>
          <w:rFonts w:ascii="Arial" w:cs="Arial" w:eastAsia="Arial" w:hAnsi="Arial"/>
          <w:sz w:val="18"/>
          <w:szCs w:val="18"/>
          <w:i w:val="1"/>
          <w:iCs w:val="1"/>
          <w:color w:val="auto"/>
        </w:rPr>
        <w:t xml:space="preserve"> Seawell </w:t>
      </w:r>
      <w:r>
        <w:rPr>
          <w:rFonts w:ascii="Arial" w:cs="Arial" w:eastAsia="Arial" w:hAnsi="Arial"/>
          <w:sz w:val="18"/>
          <w:szCs w:val="18"/>
          <w:color w:val="auto"/>
        </w:rPr>
        <w:t>(25 days) which were completed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2015. Separately, a supply boat collided into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in November 2014, which caused some damage to the vessel. The </w:t>
      </w:r>
      <w:r>
        <w:rPr>
          <w:rFonts w:ascii="Arial" w:cs="Arial" w:eastAsia="Arial" w:hAnsi="Arial"/>
          <w:sz w:val="18"/>
          <w:szCs w:val="18"/>
          <w:i w:val="1"/>
          <w:iCs w:val="1"/>
          <w:color w:val="auto"/>
        </w:rPr>
        <w:t>Q4000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was on reduced rates for 17 days during collision inspection and repairs. In addition,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was idle for 53 days during the fourth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2014, including 14 days for required annual inspections and 39 days following the cancellation of a contract.</w:t>
      </w:r>
    </w:p>
    <w:p>
      <w:pPr>
        <w:spacing w:after="0" w:line="22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Our Robotics revenues increased by 26% in 2014 as compared to 2013. The increase primarily reflects the higher utilization of our ROVs and trenchers, and 259 additional days of spot vessel utilization. Our trenching activities, primarily conducted in the North Sea region, significantly increased during 2014 as compared to the unusually weak market that was experienced in 2013.</w:t>
      </w:r>
    </w:p>
    <w:p>
      <w:pPr>
        <w:spacing w:after="0" w:line="202"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color w:val="auto"/>
        </w:rPr>
        <w:t xml:space="preserve">Our Production Facilities revenues increased by 6% in 2014 as compared to 2013 reflecting an increase in our total revenues under our fee arrangement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including the variable portion of the fee for throughput processed by the </w:t>
      </w:r>
      <w:r>
        <w:rPr>
          <w:rFonts w:ascii="Arial" w:cs="Arial" w:eastAsia="Arial" w:hAnsi="Arial"/>
          <w:sz w:val="18"/>
          <w:szCs w:val="18"/>
          <w:i w:val="1"/>
          <w:iCs w:val="1"/>
          <w:color w:val="auto"/>
        </w:rPr>
        <w:t>HP I</w:t>
      </w:r>
      <w:r>
        <w:rPr>
          <w:rFonts w:ascii="Arial" w:cs="Arial" w:eastAsia="Arial" w:hAnsi="Arial"/>
          <w:sz w:val="18"/>
          <w:szCs w:val="18"/>
          <w:color w:val="auto"/>
        </w:rPr>
        <w:t>. The quarterly HFRS retainer fees also increased effective April 1, 2013 as a result of new four-year agreements.</w:t>
      </w:r>
    </w:p>
    <w:p>
      <w:pPr>
        <w:spacing w:after="0" w:line="180" w:lineRule="exact"/>
        <w:rPr>
          <w:sz w:val="20"/>
          <w:szCs w:val="20"/>
          <w:color w:val="auto"/>
        </w:rPr>
      </w:pPr>
    </w:p>
    <w:p>
      <w:pPr>
        <w:ind w:right="620" w:firstLine="648"/>
        <w:spacing w:after="0" w:line="28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gross profit increased by 32% in 2014 as compared to 2013. The gross profit related to our Well Intervention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increased by 54% in 2014 as compared to 2013 reflecting the addition of two vessels to our fleet since March 31, 2013.</w:t>
      </w:r>
    </w:p>
    <w:p>
      <w:pPr>
        <w:spacing w:after="0" w:line="17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gross profit associated with our Robotics segment increased by 52% in 2014 as compared to 2013 reflecting increased utilization for our ROVs and trenching assets and related support vessels. Utilization for our trenching assets increased significantly reflecting the resumption of trenching projects in the North Sea region following an unusually weak year for that work in 2013.</w:t>
      </w:r>
    </w:p>
    <w:p>
      <w:pPr>
        <w:spacing w:after="0" w:line="202"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The gross profit related to our Production Facilities segment decreased by 17% in 2014 as compared to 2013. The decrease primarily reflects the amortization of the </w:t>
      </w:r>
      <w:r>
        <w:rPr>
          <w:rFonts w:ascii="Arial" w:cs="Arial" w:eastAsia="Arial" w:hAnsi="Arial"/>
          <w:sz w:val="18"/>
          <w:szCs w:val="18"/>
          <w:i w:val="1"/>
          <w:iCs w:val="1"/>
          <w:color w:val="auto"/>
        </w:rPr>
        <w:t>HP I</w:t>
      </w:r>
      <w:r>
        <w:rPr>
          <w:rFonts w:ascii="Arial" w:cs="Arial" w:eastAsia="Arial" w:hAnsi="Arial"/>
          <w:sz w:val="18"/>
          <w:szCs w:val="18"/>
          <w:color w:val="auto"/>
        </w:rPr>
        <w:t>’s initial regulatory dry dock costs that were incurred during the fourth quarter of 2013.</w:t>
      </w:r>
    </w:p>
    <w:p>
      <w:pPr>
        <w:spacing w:after="0" w:line="174"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b w:val="1"/>
          <w:bCs w:val="1"/>
          <w:i w:val="1"/>
          <w:iCs w:val="1"/>
          <w:color w:val="auto"/>
        </w:rPr>
        <w:t xml:space="preserve">Loss on Commodity Derivative Contracts. </w:t>
      </w:r>
      <w:r>
        <w:rPr>
          <w:rFonts w:ascii="Arial" w:cs="Arial" w:eastAsia="Arial" w:hAnsi="Arial"/>
          <w:sz w:val="18"/>
          <w:szCs w:val="18"/>
          <w:color w:val="auto"/>
        </w:rPr>
        <w:t>In December 2012, following the announcement of the sale of ERT, we de-designated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oil and gas commodity derivative contracts and interest rate swap contracts as hedging instruments (Note 18). The $14.1 million loss on commodity derivative contracts reflects the net loss on our oil and gas commodity derivative contracts during the first quarter of 2013. In February 2013, we paid approximately $22.5 million to settle our remaining open commodity derivative contracts.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18"/>
          <w:szCs w:val="18"/>
          <w:b w:val="1"/>
          <w:bCs w:val="1"/>
          <w:i w:val="1"/>
          <w:iCs w:val="1"/>
          <w:color w:val="auto"/>
        </w:rPr>
        <w:t xml:space="preserve">Gain on Disposition of Assets, Net. </w:t>
      </w:r>
      <w:r>
        <w:rPr>
          <w:rFonts w:ascii="Arial" w:cs="Arial" w:eastAsia="Arial" w:hAnsi="Arial"/>
          <w:sz w:val="18"/>
          <w:szCs w:val="18"/>
          <w:color w:val="auto"/>
        </w:rPr>
        <w:t>The $10.2 million net gain on disposition of assets in 2014 primarily reflects a $10.5 million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associated with the sale of our Ingleside spoolbase in January 2014 (Note 4). The $14.7 million gain on disposition of assets in 2013 primarily reflects a $1.1 million loss on the sale of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in June 2013 and a $15.6 million gain on the sale of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in July 2013.</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increased by $10.3 million in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2013. The increase primarily reflects $5.3 million of charges associated with the provision for uncertain collection of a portion of our then existing trade receivables (Note 16), certain costs associated with start-up activities in Brazil, and costs to support the growth of both our well intervention and robotics businesses. However, our selling, general and administrative expenses as a percentage of net revenues decreased from 9.4% in 2013 to 8.4% in 2014.</w:t>
      </w:r>
    </w:p>
    <w:p>
      <w:pPr>
        <w:spacing w:after="0" w:line="180"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b w:val="1"/>
          <w:bCs w:val="1"/>
          <w:i w:val="1"/>
          <w:iCs w:val="1"/>
          <w:color w:val="auto"/>
        </w:rPr>
        <w:t xml:space="preserve">Equity in Earnings of Investments. </w:t>
      </w:r>
      <w:r>
        <w:rPr>
          <w:rFonts w:ascii="Arial" w:cs="Arial" w:eastAsia="Arial" w:hAnsi="Arial"/>
          <w:sz w:val="18"/>
          <w:szCs w:val="18"/>
          <w:color w:val="auto"/>
        </w:rPr>
        <w:t>Equity in earnings of investments decreased by $2.1 million in 2014 as compared to 2013.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primarily reflects lower revenues for both Deepwater Gateway and Independence Hub due to lower production at the fields being processed at each facility. Additionally, Deepwater Gateway’s operations were affected by a fire at the facility in early May 2014 that shut in production at the platform for most of the second quarter. Production was restored to the facility in July 2014.</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$ 17.9 million in 2014 as compared to $32.9 million in 2013.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both a reduction in interest expense and an increase in interest income. The decrease in interest expense reflects the substantial reduction in our indebtedness, including the $318.4 million repayment of debt in February 2013 following the sale of ERT and our redemption in July 2013 of the remaining $ 275 million of our Senior Unsecured Notes then outstanding. Interest income totaled $4.8 million for 2014 as compared to $1.2 million for 2013. The amount of interest income for 2014 includes $2.1 million related to an income tax refund (Note 8) and $1.8 million on the promissory note held in connection with the sale of our Ingleside spoolbase (Note 4). Capitalized interest remained consistent year over year.</w:t>
      </w:r>
    </w:p>
    <w:p>
      <w:pPr>
        <w:spacing w:after="0" w:line="183"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b w:val="1"/>
          <w:bCs w:val="1"/>
          <w:i w:val="1"/>
          <w:iCs w:val="1"/>
          <w:color w:val="auto"/>
        </w:rPr>
        <w:t xml:space="preserve">Loss on Early Extinguishment of Long-term Debt. </w:t>
      </w:r>
      <w:r>
        <w:rPr>
          <w:rFonts w:ascii="Arial" w:cs="Arial" w:eastAsia="Arial" w:hAnsi="Arial"/>
          <w:sz w:val="18"/>
          <w:szCs w:val="18"/>
          <w:color w:val="auto"/>
        </w:rPr>
        <w:t>The $12.1 million loss in 2013 included the $8.6 million loss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redemption in July 2013 of the remaining $ 275 million Senior Unsecured Notes then outstanding and the acceleration of the remaining $3.5 million of deferred financing fees related to the term loan component of our former credit agreement following the repayment of that indebtedness.</w:t>
      </w:r>
    </w:p>
    <w:p>
      <w:pPr>
        <w:spacing w:after="0" w:line="177" w:lineRule="exact"/>
        <w:rPr>
          <w:sz w:val="20"/>
          <w:szCs w:val="20"/>
          <w:color w:val="auto"/>
        </w:rPr>
      </w:pPr>
    </w:p>
    <w:p>
      <w:pPr>
        <w:jc w:val="both"/>
        <w:ind w:right="220" w:firstLine="648"/>
        <w:spacing w:after="0" w:line="26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We reported other income, net, of $0.8 million for 2014 primarily reflecting foreign exchange fluctuations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non-U.S. dollar functional currencies. Included in this amount was $1.7 million of losses related to ineffectiveness associated with our foreign currency hedge with respect to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charter payments (Note 18).</w:t>
      </w:r>
    </w:p>
    <w:p>
      <w:pPr>
        <w:spacing w:after="0" w:line="16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Other Income – Oil and Gas. </w:t>
      </w:r>
      <w:r>
        <w:rPr>
          <w:rFonts w:ascii="Arial" w:cs="Arial" w:eastAsia="Arial" w:hAnsi="Arial"/>
          <w:sz w:val="18"/>
          <w:szCs w:val="18"/>
          <w:color w:val="auto"/>
        </w:rPr>
        <w:t>The $16.9 million income for 2014 included a $7.2 million insurance reimbursement related to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work previously performed. The majority of the remaining oil and gas income is associated with our overriding royalty interests in ERT’s Wang well, which commenced production in April 2013. The $6.6 million income for 2013 primarily represents cash payments related to services we provided to ERT following its sale to a third party and the initial proceeds associated with our overriding royalty interests in ERT’s Wang well.</w:t>
      </w:r>
    </w:p>
    <w:p>
      <w:pPr>
        <w:spacing w:after="0" w:line="180"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taxes reflected expenses of $67.0 million in 2014 as compared to $31.6 million in 2013. The variance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reflects increased profitability in 2014. The effective tax rate of 25.5% for 2014 was higher than the 22.0% effective tax rate for 2013 as a result of increased profitability in certain jurisdictions with higher tax rates.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473,123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468,660</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689,688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523,228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Liquidity </w:t>
            </w:r>
            <w:r>
              <w:rPr>
                <w:rFonts w:ascii="Arial" w:cs="Arial" w:eastAsia="Arial" w:hAnsi="Arial"/>
                <w:sz w:val="21"/>
                <w:szCs w:val="21"/>
                <w:color w:val="auto"/>
                <w:vertAlign w:val="superscript"/>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743,577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1,060,092</w:t>
            </w:r>
          </w:p>
        </w:tc>
      </w:tr>
    </w:tbl>
    <w:p>
      <w:pPr>
        <w:spacing w:after="0" w:line="107" w:lineRule="exact"/>
        <w:rPr>
          <w:sz w:val="20"/>
          <w:szCs w:val="20"/>
          <w:color w:val="auto"/>
        </w:rPr>
      </w:pPr>
    </w:p>
    <w:p>
      <w:pPr>
        <w:ind w:left="660" w:right="40" w:hanging="652"/>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Long-term debt does not include the current maturities portion of our long-term debt as that amount is included in net working capital. It is also net of the unamortized debt discount on the 2032 Notes. See Note 7 for information relating to our existing debt.</w:t>
      </w:r>
    </w:p>
    <w:p>
      <w:pPr>
        <w:spacing w:after="0" w:line="88" w:lineRule="exact"/>
        <w:rPr>
          <w:rFonts w:ascii="Arial" w:cs="Arial" w:eastAsia="Arial" w:hAnsi="Arial"/>
          <w:sz w:val="18"/>
          <w:szCs w:val="18"/>
          <w:color w:val="auto"/>
        </w:rPr>
      </w:pPr>
    </w:p>
    <w:p>
      <w:pPr>
        <w:ind w:left="660" w:right="60" w:hanging="652"/>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Liquidity, as defined by us, is equal to cash and cash equivalents plus available capacity under our Revolving Credit Facility, which capacity is reduced by letters of credit drawn against the facility. Our liquidity at December 31, 2015 included cash and cash equivalents of $494.2 million and $249.4 million of available borrowing capacity under our Revolving Credit Facility (Note 7). Our liquidity at December 31, 2014 included cash and cash equivalents of $476.5 million and $583.6 million of available borrowing capacity under our Revolving Credit Facility.</w:t>
      </w:r>
    </w:p>
    <w:p>
      <w:pPr>
        <w:spacing w:after="0" w:line="20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carrying amount of our long-term debt, including current maturities,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(matures June 2018)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277,500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Nordea Q5000 Loan (matures April 2020)</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232,143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MARAD Debt (matures February 2027)</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94,792</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2032 Notes (mature March 2032)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179,080</w:t>
            </w: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551,372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140" w:hanging="652"/>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amounts are net of the unamortized debt discount of $15.0 million and $20.9 million, respectively. The 2032 Notes will increase to their $200 million face amount through accretion of non-cash interest charges through March 15, 2018, which is the first date on which the holders of the notes may require us to repurchase the notes.</w:t>
      </w:r>
    </w:p>
    <w:p>
      <w:pPr>
        <w:spacing w:after="0" w:line="20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provides summary data from our consolidated statements of cash 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359,485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104,861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(295,719)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(335,512)</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(126,077)</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204,625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(487,421)</w:t>
            </w:r>
          </w:p>
        </w:tc>
      </w:tr>
      <w:tr>
        <w:trPr>
          <w:trHeight w:val="314"/>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1"/>
                <w:szCs w:val="21"/>
                <w:color w:val="auto"/>
                <w:vertAlign w:val="superscript"/>
              </w:rPr>
              <w:t>(1)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552,462</w:t>
            </w:r>
          </w:p>
        </w:tc>
      </w:tr>
    </w:tbl>
    <w:p>
      <w:pPr>
        <w:spacing w:after="0" w:line="64" w:lineRule="exact"/>
        <w:rPr>
          <w:sz w:val="20"/>
          <w:szCs w:val="20"/>
          <w:color w:val="auto"/>
        </w:rPr>
      </w:pPr>
    </w:p>
    <w:p>
      <w:pPr>
        <w:ind w:left="660" w:right="260" w:hanging="652"/>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total cash flows associated with the operations of ERT which was sold in February 2013. Proceeds from the sale of ERT totaled $614.8 million, net of transaction costs. Other cash flows in the table above reflect our continuing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Our current requirements for cash primarily reflect the need to fund capital expenditures for our current lines of business and to service our debt. Historically, we have funded our capital program with cash flows from operations, borrowings under credit facilities and use of project financing along with other debt and equity alternatives.</w:t>
      </w:r>
    </w:p>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a further response to the industry-wide spending reductions, we remain even more focused on maintaining a strong balance sheet and adequate liquidity. Over the near term, we may seek to reduce, defer or cancel certain planned capital expenditures. We believe that our cash on hand, internally generated cash flows and available borrowing capacity under our Revolving Credit Facility will be sufficient to fund our operations over at least the next 12 months.</w:t>
      </w:r>
    </w:p>
    <w:p>
      <w:pPr>
        <w:spacing w:after="0" w:line="204"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In accordance with our Credit Agreement, the 2032 Notes, the MARAD Debt agreements, and the Nordea Credit Agreement, we are required to comply with certain covenants, including certain financial ratios such as a consolidated interest coverage ratio and a consolidated leverage ratio, as well as the maintenance of minimum net worth, working capital and debt-to-equity requirements. Our Credit Agreement also contains provisions that limit our ability to incur certain types of additional indebtedness. These provisions effectively prohibit us from incurring any additional secured indebtedness or indebtedness guaranteed by us. The Credit Agreement does permit us to incur certain unsecured indebtedness, and also provides for our subsidiaries to incur project financing indebtedness (such as our MARAD Debt and our Nordea Credit Agreement indebtedness) secured by the underlying asset, provided that such indebtedness is not guaranteed by us. Our Credit Agreement also permits our Unrestricted Subsidiaries (as defined in our Credit Agreement) to incur indebtedness provided that it is not guaranteed by us or any of our Restricted Subsidiaries. As of December 31, 2015 and 2014, we were in compliance with all of our debt covenants.</w:t>
      </w:r>
    </w:p>
    <w:p>
      <w:pPr>
        <w:spacing w:after="0" w:line="213"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A prolonged period of weak industry activity may make it difficult to comply with our covenants and other restrictions in agreements governing our debt. Furthermore, during any period of sustained weak economic activity and reduced EBITDA, our ability to access the full available commitment under our Revolving Credit Facility may be impacted. In fact, at December 31, 2015, our available borrowing capacity under our Revolving Credit Facility, based on the leverage ratio covenant, was restricted to $249.4 million, net of $13.2 million of letters of credit issued. We anticipate that our borrowing capacity under the Revolving Credit Facility may continue to decrease. However, for the remainder of 2016, we have no current plans or forecasted requirements to borrow under our Revolving Credit Facility other than for issuances of letters of credit. Our ability to comply with these covenants and other restrictions is affected by industry and economic conditions and other events beyond our control. If we fail to comply with these covenants and other restrictions, that failure could lead to an event of default, the possible acceleration of our repayment of outstanding debt and the exercise of certain remedies by our lenders, including foreclosure against our collateral.</w:t>
      </w:r>
    </w:p>
    <w:p>
      <w:pPr>
        <w:spacing w:after="0" w:line="21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Subject to the terms of the Credit Agreement, under our original Credit Agreement we may borrow and/or obtain letters of credit up to $600 million ($ 400 million pursuant to the February 2016 amendment to the Credit Agreement) under our Revolving Credit Facility. Subject to existing lender participation and/or the participation of new lenders, and subject to standard conditions precedent, we may obtain an increase of up to $ 200 million in aggregate commitments with respect to the Revolving Credit Facility, additional term loans or a combination thereof. See Note 7 for additional information relating to our long-term debt, including more information regarding our Credit Agreement, including covenants and collateral.</w:t>
      </w:r>
    </w:p>
    <w:p>
      <w:pPr>
        <w:spacing w:after="0" w:line="2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2032 Notes can be converted to our common stock prior to their stated maturity upon certain triggering events specified in the Indenture governing the notes. Beginning in March 15, 2018, the holders of the 2032 Notes may require us to repurchase these notes or we may at our own option elect to repurchase them. To the extent we do not have cash on hand or long-term financing secured to cover the conversion, the 2032 Notes would be classified as current liabilities in our consolidated balance sheet. No conversion triggers were met during the years ended December 31, 2015 and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Flows</w:t>
      </w:r>
    </w:p>
    <w:p>
      <w:pPr>
        <w:spacing w:after="0" w:line="24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Total cash flows from operating activities decreased by $248.7 million in 2015 as compared to 2014 primarily reflecting the significant reduction in our operating results as a result of the industry downturn and changes in our working capital. Our operating cash flows for 2014 included the receipt of $35.2 million income tax refund.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Total cash flows from operating activities increased by $285.1 million in 2014 as compared to 2013 primarily reflecting increases in income from operations, changes in our working capital and a $35.2 million income tax refund. Operating cash flows for 2013 also included $30.5 million of net cash used in discontinued operations related to ERT, which we sold in February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ind w:right="440" w:firstLine="648"/>
        <w:spacing w:after="0" w:line="256" w:lineRule="auto"/>
        <w:rPr>
          <w:sz w:val="20"/>
          <w:szCs w:val="20"/>
          <w:color w:val="auto"/>
        </w:rPr>
      </w:pPr>
      <w:r>
        <w:rPr>
          <w:rFonts w:ascii="Arial" w:cs="Arial" w:eastAsia="Arial" w:hAnsi="Arial"/>
          <w:sz w:val="18"/>
          <w:szCs w:val="18"/>
          <w:color w:val="auto"/>
        </w:rPr>
        <w:t>Capital expenditures have consisted principally of the purchase or construction of dynamic positioning vessels, improvements and modifications to existing assets, and investments in our production facilities. Significant sources (uses) of cash associated with investing activities for the years ended December 31, 2015, 2014 and 2013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(283,132)</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(51,348)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(39,655)</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Distributions from equity investments, net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Proceeds from sale of assets </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13,574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189,054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Acquisition of noncontrolling interests </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investing activities – continuing operations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(295,719)</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(335,512)</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(126,077)</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capital expenditures</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Proceeds from sale of ERT, net of transaction costs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614,820</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investing activities – discontinued operations</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582,965</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(335,512)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456,888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80" w:hanging="652"/>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Distributions from equity investments are net of undistributed equity earnings from our equity investments. Gross distributions from our equity investments for the years ended December 31, 2015, 2014 and 2013 were $7.0 million, $8.8 million and $12.3 million, respectively (Note 5).</w:t>
      </w:r>
    </w:p>
    <w:p>
      <w:pPr>
        <w:spacing w:after="0" w:line="93" w:lineRule="exact"/>
        <w:rPr>
          <w:rFonts w:ascii="Arial" w:cs="Arial" w:eastAsia="Arial" w:hAnsi="Arial"/>
          <w:sz w:val="18"/>
          <w:szCs w:val="18"/>
          <w:color w:val="auto"/>
        </w:rPr>
      </w:pPr>
    </w:p>
    <w:p>
      <w:pPr>
        <w:ind w:left="660" w:right="220" w:hanging="652"/>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Amounts in 2015 and 2014 primarily reflect cash received from the sale of our Ingleside spoolbase. Amount in 2013 primarily reflects the sale of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Express</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Relates to the acquisition in February 2014 of our former minority partner’s noncontrolling interests in the entity that owns the </w:t>
      </w:r>
      <w:r>
        <w:rPr>
          <w:rFonts w:ascii="Arial" w:cs="Arial" w:eastAsia="Arial" w:hAnsi="Arial"/>
          <w:sz w:val="18"/>
          <w:szCs w:val="18"/>
          <w:i w:val="1"/>
          <w:iCs w:val="1"/>
          <w:color w:val="auto"/>
        </w:rPr>
        <w:t>HP 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Capital expenditures associated with our business primarily have included payments associated with the construction of our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w:t>
      </w:r>
      <w:r>
        <w:rPr>
          <w:rFonts w:ascii="Arial" w:cs="Arial" w:eastAsia="Arial" w:hAnsi="Arial"/>
          <w:sz w:val="18"/>
          <w:szCs w:val="18"/>
          <w:i w:val="1"/>
          <w:iCs w:val="1"/>
          <w:color w:val="auto"/>
        </w:rPr>
        <w:t>Q7000</w:t>
      </w:r>
      <w:r>
        <w:rPr>
          <w:rFonts w:ascii="Arial" w:cs="Arial" w:eastAsia="Arial" w:hAnsi="Arial"/>
          <w:sz w:val="18"/>
          <w:szCs w:val="18"/>
          <w:color w:val="auto"/>
        </w:rPr>
        <w:t xml:space="preserve"> vessels (see below), payments in connection with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life extension activities in 2015, the upgrades and modifications of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in 2014, the investment in the topside well intervention equipment for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vessels to be chartered to perform under our agreements with Petrobras (see below), and the acquisition of additional ROVs and trenchers for our robotics business.</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March 2012, we entered into a contract with a shipyard in Singapore for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Pursuant to the terms of this contract, payments were made as a fixed percentage of the contract price, together with any variations, on contractually scheduled dates. At December 31, 2015, our total investment in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was $494.9 million, including $386.5 million of scheduled payments made to the shipyard. The vessel was delivered in the second quarter of 2015 and it commenced well intervention services in the Gulf of Mexico during the fourth quarter of 2015. The vessel is expected to commence services in April 2016 under our five-year contract with BP. In September 2014, we entered into the Nordea Credit Agreement to partially finance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other future capital projects (Note 7). The $250 million Nordea Q5000 Loan was funded upon the delivery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in April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September 2013, we executed a second contract with the same shipyard in Singapore that constructed the </w:t>
      </w:r>
      <w:r>
        <w:rPr>
          <w:rFonts w:ascii="Arial" w:cs="Arial" w:eastAsia="Arial" w:hAnsi="Arial"/>
          <w:sz w:val="18"/>
          <w:szCs w:val="18"/>
          <w:i w:val="1"/>
          <w:iCs w:val="1"/>
          <w:color w:val="auto"/>
        </w:rPr>
        <w:t>Q5000</w:t>
      </w:r>
      <w:r>
        <w:rPr>
          <w:rFonts w:ascii="Arial" w:cs="Arial" w:eastAsia="Arial" w:hAnsi="Arial"/>
          <w:sz w:val="18"/>
          <w:szCs w:val="18"/>
          <w:color w:val="auto"/>
        </w:rPr>
        <w:t>. This contract 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construction of a newbuild semi-submersible well intervention vessel, the </w:t>
      </w:r>
      <w:r>
        <w:rPr>
          <w:rFonts w:ascii="Arial" w:cs="Arial" w:eastAsia="Arial" w:hAnsi="Arial"/>
          <w:sz w:val="18"/>
          <w:szCs w:val="18"/>
          <w:i w:val="1"/>
          <w:iCs w:val="1"/>
          <w:color w:val="auto"/>
        </w:rPr>
        <w:t>Q7000</w:t>
      </w:r>
      <w:r>
        <w:rPr>
          <w:rFonts w:ascii="Arial" w:cs="Arial" w:eastAsia="Arial" w:hAnsi="Arial"/>
          <w:sz w:val="18"/>
          <w:szCs w:val="18"/>
          <w:color w:val="auto"/>
        </w:rPr>
        <w:t>, which is being built to North Sea standards.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$346.0 million shipyard contract represents the majority of the expected costs associated with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Pursuant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original terms of this contract, 20% of the contract price was paid upon the signing of the contract and the remaining 80% was to be paid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delivery of the vessel. In June 2015, we entered into an amendment with the shipyard to extend the scheduled delivery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mid-2016 to July 30, 2017, and in connection with this extension, we agreed to pay the shipyard incremental costs of up to $14.5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2015, we entered into a second amendment with the shipyard. Pursuant to this amendment, the remaining 80% will be paid in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installments, with 20% in June 2016, 20% upon issuance of the Completion Certificate, which is to be issued on or before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40% upon the delivery of the vessel, which at our option can be deferred until December 30, 2018. We also agreed to reimburse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shipyard for incremental costs in connection with the further deferment of the </w:t>
      </w:r>
      <w:r>
        <w:rPr>
          <w:rFonts w:ascii="Arial" w:cs="Arial" w:eastAsia="Arial" w:hAnsi="Arial"/>
          <w:sz w:val="18"/>
          <w:szCs w:val="18"/>
          <w:i w:val="1"/>
          <w:iCs w:val="1"/>
          <w:color w:val="auto"/>
        </w:rPr>
        <w:t>Q7000</w:t>
      </w:r>
      <w:r>
        <w:rPr>
          <w:rFonts w:ascii="Arial" w:cs="Arial" w:eastAsia="Arial" w:hAnsi="Arial"/>
          <w:sz w:val="18"/>
          <w:szCs w:val="18"/>
          <w:color w:val="auto"/>
        </w:rPr>
        <w:t>’s delivery. At December 31, 2015, our total investment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was $112.2 million, including $69.2 million paid to the shipyard upon signing the contract. In 2016, we plan to incur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 million of costs related to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including the scheduled shipyard payment of $69.2 million.</w:t>
      </w:r>
    </w:p>
    <w:p>
      <w:pPr>
        <w:spacing w:after="0" w:line="22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 xml:space="preserve">In February 2014, we entered into agreements with Petrobras to provide well intervention services offshore Brazil. The initial term of the agreements with Petrobras is for four years with options to extend. In connection with the Petrobras agreements, we entered into charter agreements with Siem Offshore AS for two newbuild monohull vessels,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which is expected to be in service for Petrobras in the second half of 2016, and the </w:t>
      </w:r>
      <w:r>
        <w:rPr>
          <w:rFonts w:ascii="Arial" w:cs="Arial" w:eastAsia="Arial" w:hAnsi="Arial"/>
          <w:sz w:val="18"/>
          <w:szCs w:val="18"/>
          <w:i w:val="1"/>
          <w:iCs w:val="1"/>
          <w:color w:val="auto"/>
        </w:rPr>
        <w:t>Siem Helix II</w:t>
      </w:r>
      <w:r>
        <w:rPr>
          <w:rFonts w:ascii="Arial" w:cs="Arial" w:eastAsia="Arial" w:hAnsi="Arial"/>
          <w:sz w:val="18"/>
          <w:szCs w:val="18"/>
          <w:color w:val="auto"/>
        </w:rPr>
        <w:t>, which is expected to be in service in 2017. Our total investment in the topside equipment for both vessels is expected to be approximately $260 million. We have invested $113.3 million as of December 31, 2015 and plan to invest approximately $95 million in the topside equipment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47"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We anticipate that our capital expenditures for fiscal year 2016 will approximate $240 million. This estimate may change based on various economic factors. We may seek to further reduce the level of our planned future capital expenditures given a prolonged industry downturn. We believe that our cash on hand, internally generated cash flows and availability under our Revolving Credit Facility if necessary will provide the capital necessary to continue funding our 2016 initiatives.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47" w:lineRule="exact"/>
        <w:rPr>
          <w:sz w:val="20"/>
          <w:szCs w:val="20"/>
          <w:color w:val="auto"/>
        </w:rPr>
      </w:pPr>
    </w:p>
    <w:p>
      <w:pPr>
        <w:ind w:right="580" w:firstLine="648"/>
        <w:spacing w:after="0" w:line="262" w:lineRule="auto"/>
        <w:rPr>
          <w:sz w:val="20"/>
          <w:szCs w:val="20"/>
          <w:color w:val="auto"/>
        </w:rPr>
      </w:pPr>
      <w:r>
        <w:rPr>
          <w:rFonts w:ascii="Arial" w:cs="Arial" w:eastAsia="Arial" w:hAnsi="Arial"/>
          <w:sz w:val="18"/>
          <w:szCs w:val="18"/>
          <w:color w:val="auto"/>
        </w:rPr>
        <w:t>The following table summarizes our contractual cash obligations as of December 31, 2015 and the scheduled years in which the obligations are contractually due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Less Than</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More Than</w:t>
            </w:r>
          </w:p>
        </w:tc>
      </w:tr>
      <w:tr>
        <w:trPr>
          <w:trHeight w:val="252"/>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1 Year</w:t>
            </w: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4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200" w:type="dxa"/>
            <w:vAlign w:val="bottom"/>
          </w:tcPr>
          <w:p>
            <w:pPr>
              <w:spacing w:after="0"/>
              <w:rPr>
                <w:sz w:val="21"/>
                <w:szCs w:val="21"/>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5 Years</w:t>
            </w:r>
          </w:p>
        </w:tc>
      </w:tr>
      <w:tr>
        <w:trPr>
          <w:trHeight w:val="318"/>
        </w:trPr>
        <w:tc>
          <w:tcPr>
            <w:tcW w:w="3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Nordea Q5000 Loan</w:t>
            </w:r>
          </w:p>
        </w:tc>
        <w:tc>
          <w:tcPr>
            <w:tcW w:w="3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232,143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71,429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MARAD debt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56,410</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2032 Notes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related to debt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187,264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81,905</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362,814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140,467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222,347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900,275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149,362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296,351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237,989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216,573</w:t>
            </w:r>
          </w:p>
        </w:tc>
      </w:tr>
      <w:tr>
        <w:trPr>
          <w:trHeight w:val="250"/>
        </w:trPr>
        <w:tc>
          <w:tcPr>
            <w:tcW w:w="3540" w:type="dxa"/>
            <w:vAlign w:val="bottom"/>
          </w:tcPr>
          <w:p>
            <w:pPr>
              <w:ind w:left="380"/>
              <w:spacing w:after="0"/>
              <w:rPr>
                <w:sz w:val="20"/>
                <w:szCs w:val="20"/>
                <w:color w:val="auto"/>
              </w:rPr>
            </w:pPr>
            <w:r>
              <w:rPr>
                <w:rFonts w:ascii="Arial" w:cs="Arial" w:eastAsia="Arial" w:hAnsi="Arial"/>
                <w:sz w:val="18"/>
                <w:szCs w:val="18"/>
                <w:color w:val="auto"/>
              </w:rPr>
              <w:t>Total cash obligations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2,226,644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392,740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877,349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401,667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554,888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300" w:hanging="652"/>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unsecured letters of credit outstanding at December 31, 2015 totaling $13.2 million. These letters of credit support various obligations, such as contractual obligations, customs duties, contract bidding and insurance activities.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652"/>
        <w:spacing w:after="0" w:line="25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mature in 2032. The 2032 Notes can be converted prior to their stated maturity if the closing price of our common stock for at least 20 days in the period of 30 consecutive trading days ending on the last trading day of the preceding fiscal quarter exceeds 130% of their issuance price on that 30th trading day (i.e., $32.53 per share). At December 31, 2015, the conversion trigger was not met. The first date that the holders of these notes may require us to repurchase the notes is March 15, 2018. See Note 7 for additional information.</w:t>
      </w:r>
    </w:p>
    <w:p>
      <w:pPr>
        <w:spacing w:after="0" w:line="97" w:lineRule="exact"/>
        <w:rPr>
          <w:rFonts w:ascii="Arial" w:cs="Arial" w:eastAsia="Arial" w:hAnsi="Arial"/>
          <w:sz w:val="18"/>
          <w:szCs w:val="18"/>
          <w:color w:val="auto"/>
        </w:rPr>
      </w:pPr>
    </w:p>
    <w:p>
      <w:pPr>
        <w:ind w:left="660" w:right="1100" w:hanging="652"/>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payment obligations were calculated using stated coupon rates for fixed rate debt and interest rates applicable at December 31, 2015 for variable rate debt.</w:t>
      </w:r>
    </w:p>
    <w:p>
      <w:pPr>
        <w:spacing w:after="0" w:line="70" w:lineRule="exact"/>
        <w:rPr>
          <w:rFonts w:ascii="Arial" w:cs="Arial" w:eastAsia="Arial" w:hAnsi="Arial"/>
          <w:sz w:val="18"/>
          <w:szCs w:val="18"/>
          <w:color w:val="auto"/>
        </w:rPr>
      </w:pPr>
    </w:p>
    <w:p>
      <w:pPr>
        <w:ind w:left="660" w:right="100" w:hanging="652"/>
        <w:spacing w:after="0" w:line="28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Primarily reflects our </w:t>
      </w:r>
      <w:r>
        <w:rPr>
          <w:rFonts w:ascii="Arial" w:cs="Arial" w:eastAsia="Arial" w:hAnsi="Arial"/>
          <w:sz w:val="18"/>
          <w:szCs w:val="18"/>
          <w:i w:val="1"/>
          <w:iCs w:val="1"/>
          <w:color w:val="auto"/>
        </w:rPr>
        <w:t>Q7000</w:t>
      </w:r>
      <w:r>
        <w:rPr>
          <w:rFonts w:ascii="Arial" w:cs="Arial" w:eastAsia="Arial" w:hAnsi="Arial"/>
          <w:sz w:val="18"/>
          <w:szCs w:val="18"/>
          <w:color w:val="auto"/>
        </w:rPr>
        <w:t xml:space="preserve"> semi-submersible vessel currently under construction and the topside equipment for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Siem Helix II </w:t>
      </w:r>
      <w:r>
        <w:rPr>
          <w:rFonts w:ascii="Arial" w:cs="Arial" w:eastAsia="Arial" w:hAnsi="Arial"/>
          <w:sz w:val="18"/>
          <w:szCs w:val="18"/>
          <w:color w:val="auto"/>
        </w:rPr>
        <w:t>chartered vessels (Note 14).</w:t>
      </w:r>
    </w:p>
    <w:p>
      <w:pPr>
        <w:spacing w:after="0" w:line="71" w:lineRule="exact"/>
        <w:rPr>
          <w:rFonts w:ascii="Arial" w:cs="Arial" w:eastAsia="Arial" w:hAnsi="Arial"/>
          <w:sz w:val="18"/>
          <w:szCs w:val="18"/>
          <w:color w:val="auto"/>
        </w:rPr>
      </w:pPr>
    </w:p>
    <w:p>
      <w:pPr>
        <w:ind w:left="660" w:right="80" w:hanging="652"/>
        <w:spacing w:after="0" w:line="25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Operating leases include vessel charters and facility leases. At December 31, 2015, our vessel charter commitments totaled approximately $860.8 million, including the yet to be delivered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II</w:t>
      </w:r>
      <w:r>
        <w:rPr>
          <w:rFonts w:ascii="Arial" w:cs="Arial" w:eastAsia="Arial" w:hAnsi="Arial"/>
          <w:sz w:val="18"/>
          <w:szCs w:val="18"/>
          <w:color w:val="auto"/>
        </w:rPr>
        <w:t xml:space="preserve"> vessels. The less than one year amount includes approximately $3.4 million of additional commitments to extend the delivery of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until May 2016. The </w:t>
      </w:r>
      <w:r>
        <w:rPr>
          <w:rFonts w:ascii="Arial" w:cs="Arial" w:eastAsia="Arial" w:hAnsi="Arial"/>
          <w:sz w:val="18"/>
          <w:szCs w:val="18"/>
          <w:i w:val="1"/>
          <w:iCs w:val="1"/>
          <w:color w:val="auto"/>
        </w:rPr>
        <w:t>Rem Installer</w:t>
      </w:r>
      <w:r>
        <w:rPr>
          <w:rFonts w:ascii="Arial" w:cs="Arial" w:eastAsia="Arial" w:hAnsi="Arial"/>
          <w:sz w:val="18"/>
          <w:szCs w:val="18"/>
          <w:color w:val="auto"/>
        </w:rPr>
        <w:t>’s charter will end in July 2016, at which time we intend to return the vessel to its owner.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believe that there are currently no contingencies that would have a material adverse effect on our financial position, results of operations and cash flows. During 2015, we concluded that a potential contractual obligation to reimburse a third party for certain foreign taxes was no longer probable and thus we reversed a previous accrual in the amount of $5.2 million for this contingent liability as a reduction in our cost of sales.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results of operations and financial condition, as reflected in the accompanying consolidated financial statements and related footnotes, are prepared in conformity with accounting principles generally accepted in the United States.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These estimates may change as new events occur, as more experience is acquired, as additional information is obtained and as our operating environment changes. We believe that the most critical accounting policies in this regard are those described below. While these issues require us to make judgments that are somewhat subjective, they are generally based on a significant amount of historical data and current market data. See Note 2 for a detailed discussion on the application of our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Revenues from our services are derived from contracts, which are both short-term and long-term in duration. Our long-term contracts are contracts that contain either lump-sum provisions or provisions for specific time, material and equipment charges, which are billed in accordance with the terms of such contracts. We recognize revenue as it is earned at estimated collectible amounts. Further, we record revenues net of taxes collected from customers and remitted to governmental authorities.</w:t>
      </w:r>
    </w:p>
    <w:p>
      <w:pPr>
        <w:spacing w:after="0" w:line="204" w:lineRule="exact"/>
        <w:rPr>
          <w:sz w:val="20"/>
          <w:szCs w:val="20"/>
          <w:color w:val="auto"/>
        </w:rPr>
      </w:pPr>
    </w:p>
    <w:p>
      <w:pPr>
        <w:ind w:right="180" w:firstLine="648"/>
        <w:spacing w:after="0" w:line="251" w:lineRule="auto"/>
        <w:rPr>
          <w:sz w:val="20"/>
          <w:szCs w:val="20"/>
          <w:color w:val="auto"/>
        </w:rPr>
      </w:pPr>
      <w:r>
        <w:rPr>
          <w:rFonts w:ascii="Arial" w:cs="Arial" w:eastAsia="Arial" w:hAnsi="Arial"/>
          <w:sz w:val="18"/>
          <w:szCs w:val="18"/>
          <w:color w:val="auto"/>
        </w:rPr>
        <w:t>The majority of our contracts contain provisions for specific time, material and equipment charges. Revenues generated from these contracts are generally earned on a dayrate basis and recognized as amounts are earned in accordance with contract terms. Certain dayrate contracts with built-in rate changes require us to record revenues on a straight-line basis. We may receive revenues for mobilization of equipment and personnel under dayrate contracts. Revenues related to mobilization are deferred and recognized over the period in which contracted services are performed using the straight-line method. Incremental costs incurred directly for mobilization of equipment and personnel to the contracted site, which typically consist of materials, supplies and transit costs, also are deferred and recognized using the same straight-line method. Our policy to amortize the revenues and costs related to mobilization on a straight-line basis over the estimated contract service period is consistent with the general pace of activity, level of services being provided and dayrates being earned over the contract period. Mobilization costs to move vessels when a contract does not exist are expensed as incurred.</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right="820" w:firstLine="648"/>
        <w:spacing w:after="0" w:line="262" w:lineRule="auto"/>
        <w:rPr>
          <w:sz w:val="20"/>
          <w:szCs w:val="20"/>
          <w:color w:val="auto"/>
        </w:rPr>
      </w:pPr>
      <w:r>
        <w:rPr>
          <w:rFonts w:ascii="Arial" w:cs="Arial" w:eastAsia="Arial" w:hAnsi="Arial"/>
          <w:sz w:val="18"/>
          <w:szCs w:val="18"/>
          <w:color w:val="auto"/>
        </w:rPr>
        <w:t>Property and equipment is recorded at cost. Depreciation expense is derived primarily using the straight-line method over the estimated useful life of an asset.</w:t>
      </w:r>
    </w:p>
    <w:p>
      <w:pPr>
        <w:spacing w:after="0" w:line="19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 xml:space="preserve">Assets used in operations are evaluated for impairment indicators whenever changes in facts and circumstances indicate that the carrying amount of the asset or asset group may not be recoverable and may exceed its fair value. Based on our evaluation at December 31, 2015, impairment on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was indicated based on the increasing probability of it being cold stacked in 2016. Impairment was also indicated on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because of continuing decreases in throughput revenues, lower production volumes and increases in maintenance costs</w:t>
      </w:r>
      <w:r>
        <w:rPr>
          <w:rFonts w:ascii="Arial" w:cs="Arial" w:eastAsia="Arial" w:hAnsi="Arial"/>
          <w:sz w:val="18"/>
          <w:szCs w:val="18"/>
          <w:i w:val="1"/>
          <w:iCs w:val="1"/>
          <w:color w:val="auto"/>
        </w:rPr>
        <w:t>.</w:t>
      </w:r>
      <w:r>
        <w:rPr>
          <w:rFonts w:ascii="Arial" w:cs="Arial" w:eastAsia="Arial" w:hAnsi="Arial"/>
          <w:sz w:val="18"/>
          <w:szCs w:val="18"/>
          <w:color w:val="auto"/>
        </w:rPr>
        <w:t xml:space="preserve"> As impairment indicators were identified, we conducted the recoverability assessment by comparing the expected future cash flows to the asset’s carrying amount. The sum of undiscounted future cash flows expected to be generated by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or </w:t>
      </w:r>
      <w:r>
        <w:rPr>
          <w:rFonts w:ascii="Arial" w:cs="Arial" w:eastAsia="Arial" w:hAnsi="Arial"/>
          <w:sz w:val="18"/>
          <w:szCs w:val="18"/>
          <w:i w:val="1"/>
          <w:iCs w:val="1"/>
          <w:color w:val="auto"/>
        </w:rPr>
        <w:t>the HP I</w:t>
      </w:r>
      <w:r>
        <w:rPr>
          <w:rFonts w:ascii="Arial" w:cs="Arial" w:eastAsia="Arial" w:hAnsi="Arial"/>
          <w:sz w:val="18"/>
          <w:szCs w:val="18"/>
          <w:color w:val="auto"/>
        </w:rPr>
        <w:t xml:space="preserve"> was less than their respective carrying amount and therefore these assets were impaired.</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We impaired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HP I</w:t>
      </w:r>
      <w:r>
        <w:rPr>
          <w:rFonts w:ascii="Arial" w:cs="Arial" w:eastAsia="Arial" w:hAnsi="Arial"/>
          <w:sz w:val="18"/>
          <w:szCs w:val="18"/>
          <w:color w:val="auto"/>
        </w:rPr>
        <w:t xml:space="preserve"> based on the difference between the carrying amount and the estimated fair value. The fair value of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was based on its estimated salvage value according to current market pricing. We estimated the fair value of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based on the present value of its expected future cash flows. We recognized impairment charges of $ 205.2 million for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$133.4 million for the </w:t>
      </w:r>
      <w:r>
        <w:rPr>
          <w:rFonts w:ascii="Arial" w:cs="Arial" w:eastAsia="Arial" w:hAnsi="Arial"/>
          <w:sz w:val="18"/>
          <w:szCs w:val="18"/>
          <w:i w:val="1"/>
          <w:iCs w:val="1"/>
          <w:color w:val="auto"/>
        </w:rPr>
        <w:t>HP I</w:t>
      </w:r>
      <w:r>
        <w:rPr>
          <w:rFonts w:ascii="Arial" w:cs="Arial" w:eastAsia="Arial" w:hAnsi="Arial"/>
          <w:sz w:val="18"/>
          <w:szCs w:val="18"/>
          <w:color w:val="auto"/>
        </w:rPr>
        <w:t>. In addition, we recorded impairment charges of $6.3 million to write off capitalized costs associated with certain vessel projects that we no longer expect to materialize.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 for additional information regarding our property and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47"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We periodically review our equity investments for impairment. Under the equity method of accounting, an impairment loss would be recorded whenever a decline in value of an equity investment below its carrying amount is determined to be other than temporary.</w:t>
      </w:r>
    </w:p>
    <w:p>
      <w:pPr>
        <w:spacing w:after="0" w:line="19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the event we incur losses in excess of the carrying amount of an equity investment and reduce our investment balance to zero, we would not record additional losses unless (i) we guaranteed obligations of the investee, (ii) we are otherwise committed to provide further financial support for the investee, or (iii) it is anticipated that the investee’s return to profitability is imminent. If we provided a commitment to fund losses, we would continue to record losses resulting in a negative equity method investment, which is presented as a liability.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5 for additional information regarding our equity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have $45.1 million of goodwill recorded as of December 31, 2015. We are required to perform an impairment analysis of goodwill at least annually or more frequently whenever events or circumstances occur indicating that it might be impaired. We have elected November 1 to be our annual impairment assessment date for goodwill.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Under the first step of the goodwill impairment test, the fair value of each reporting unit is compared to its carrying amount, including goodwill. If the carrying amount of the reporting unit exceeds its fair value, goodwill impairment is indicated and a second step is performed to measure the amount of impairment loss. At November 1, 2015, we had two reporting units with goodwill, our U.K. well intervention reporting unit and our robotics reporting unit. We used both the income approach (discounted cash flow method) and the market approach to estimate the fair value of our reporting units. The fair value of our robotics reporting unit exceeded its carrying amount by approximately 3% and no impairment of goodwill was recorded. We performed sensitivity analyses regarding material assumptions used in assessing the recoverability of goodwill. We also performed a market capitalization reconciliation by comparing the fair value of equity (fair value of total invested capital less fair value of total debt) to market capitalization. These analyses validated the results of the first step of our goodwill impairment analysis; however, we acknowledge that our robotics reporting unit is at risk of failing the first step of the goodwill impairment analysis if industry market conditions and the expected operating performance of this reporting unit continue to deteriorate for a prolonged period of time. We will continue to monitor our robotics reporting unit for goodwill impairment.</w:t>
      </w:r>
    </w:p>
    <w:p>
      <w:pPr>
        <w:spacing w:after="0" w:line="21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Based on the results of the first step, we performed the second step of the impairment test for our U.K. well intervention reporting unit. There was no implied fair value of goodwill after we allocated the fair value of the reporting unit to all the assets and liabilities as if the reporting unit were acquired in a business combination. We therefore concluded that goodwill of our U.K. well intervention reporting unit was fully impaired and recorded an impairment charge of $16.4 million.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for additional information regarding our goodwill.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Deferred income taxes are based on the differences between the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spacing w:after="0" w:line="206" w:lineRule="exact"/>
        <w:rPr>
          <w:sz w:val="20"/>
          <w:szCs w:val="20"/>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We consider the undistributed earnings of our non-U.S. subsidiaries without operations in the U.S. to be permanently reinvested. We have not provided deferred U.S. income tax on the accumulated earnings and profits from our non-U.S. subsidiaries without operations in the U.S. as we consider them permanently reinvested.</w:t>
      </w:r>
    </w:p>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It is our policy to provide for uncertain tax positions and the related interest and penalties based upon management’s assessment of whether a tax benefit is more likely than not to be sustained upon examination by tax authorities. To the extent we prevail in matters for which a liability for an unrecognized tax benefit is established or are required to pay amounts in excess of the liability, our effective tax rate in a given financial statement period may be affected.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for discussion of net operating loss carry forwards, deferred income taxes and uncertain tax positions taken by 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risk management activities involve the use of derivative financial instruments to hedge the impact of market risk exposure related to variable interest rates and foreign currency exchange rates. To reduce the impact of these risks on earnings and increase the predictability of our cash flows, from time to time we have entered into certain derivative contracts, including interest rate swaps and foreign currency exchange contracts. All derivative contracts are reflected in our balance sheet at fair value. Changes in the assumptions used could impact whether the fair value change in the hedged instrument is charged to earnings or accumulated other comprehensive income (loss) (a component of shareholders’ equity).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for additional information regarding our derivative contracts.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we were exposed to market risk in two areas: interest rates and foreign currency exchange rates.</w:t>
      </w:r>
    </w:p>
    <w:p>
      <w:pPr>
        <w:spacing w:after="0" w:line="20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As of December 31, 2015, $487.1 million of our outstanding debt was subject to floating rates. The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our variable rate debt may rise, thereby increasing our interest expense and related cash outlay. To reduce the impact of this market risk, in September 2013 we entered into various interest rate swap contracts to fix the interest rate on $148.1 million of our Term Loan debt. These swap contracts, which are settled monthly, began in October 2013 and extend through October 2016. Additionally, in June 2015 we entered into various interest rate swap contracts to fix the interest rate on $187.5 million of our Nordea Q5000 Loan debt. These swap contracts, which are settled monthly, began in June 2015 and extend through April 2020. The impact of interest rate risk is estimated using a hypothetical increase in interest rates by 100 basis points for our variable rate long-term debt that is not hedged. Based on this hypothetical assumption, we would have incurred an additional $2.0 million in interest expense for the year ended December 31, 2015.</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 portion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 currencies other than the U.S. dollar (primarily with respect to our North Sea operations).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In order to mitigate the effects of exchange rate risk in areas outside the United States, we generally pay a portion of our expenses in local currencies. In addition, a substantial portion of our contracts provide for collections from customers in U.S. dollars.</w:t>
      </w:r>
    </w:p>
    <w:p>
      <w:pPr>
        <w:spacing w:after="0" w:line="201"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resulting in translation adjustments that are reflected in “Accumulated other comprehensive loss” (“Accumulated OCI”) in the shareholders’ equity section of our consolidated balance sheets. At December 31, 2015, approximately 17% of our assets are impacted by changes in foreign currencies in relation to the U.S. dollar. We recorded foreign currency translation unrealized gains (losses) of $(12.8) million, $(19.5) million and $5.0 million to Accumulated OCI for the years ended December 31, 2015, 2014 and 2013, respectively. Deferred taxes have not been provided on foreign currency translation adjustments since we consider our undistributed earnings (when applicable) of our non-U.S. subsidiaries without operations in the U.S. to be permanently reinvested.</w:t>
      </w:r>
    </w:p>
    <w:p>
      <w:pPr>
        <w:spacing w:after="0" w:line="207"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We also have other foreign subsidiaries with a majority of their operations in U.S. dollars, which is their functional currency. When currencies other than the U.S. dollar are to be paid or received, the resulting transaction gain or loss is recognized in the consolidated statements of operations as a component of “Other income (expense), net.” For the years ended December 31, 2015, 2014 and 2013, these amounts resulted in gains (losses) of $(1.2) million, $2.5 million and $0.7 million, respectively.</w:t>
      </w:r>
    </w:p>
    <w:p>
      <w:pPr>
        <w:spacing w:after="0" w:line="204"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 xml:space="preserve">Our cash flows are subject to fluctuations resulting from changes in foreign currency exchange rates. Fluctuations in exchange rates are likely to impact our business and cash flows. As a result, we entered into various foreign currency exchange contracts to stabilize expected cash outflows related to certain vessel charters denominated in Norwegian kroners. In January 2013, we entered into foreign currency exchange contracts to hedge through September 2017 the foreign currency exposure associated with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charter payments ($104.6 million) denominated in Norwegian kroner (NOK591.3 million). In February 2013, we entered into similar foreign currency exchange contracts to hedge our foreign currency exposure with respect to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 payments ($100.4 million and $98.8 million, respectively) denominated in Norwegian kroner (NOK594.7 million and NOK595.0 million, respectively), through July 2019 and February 2020, respectively. At December 31, 2015 and 2014, the aggregate fair value of these foreign currency exchange contracts was a net liability of $61.4 million and $50.4 million, respectively. Upon the de-designation of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w:t>
      </w:r>
    </w:p>
    <w:p>
      <w:pPr>
        <w:spacing w:after="0" w:line="4" w:lineRule="exact"/>
        <w:rPr>
          <w:sz w:val="20"/>
          <w:szCs w:val="20"/>
          <w:color w:val="auto"/>
        </w:rPr>
      </w:pPr>
    </w:p>
    <w:p>
      <w:pPr>
        <w:ind w:right="180" w:firstLine="8"/>
        <w:spacing w:after="0" w:line="253" w:lineRule="auto"/>
        <w:tabs>
          <w:tab w:leader="none" w:pos="20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hedges in December 2015, $18.0 million of the $61.4 million liability was no longer treated under hedge accounting (Note 18) and was recognized as a component of “Other income (expense), net” in the consolidated statement of operations. For the years ended December 31, 2015 and 2014, we recorded losses totaling $5.1 million and $1.7 million, respectively, in other income (expense), net, related to foreign currency hedge ineffectiveness. For the year ended December 31, 2013, the losses resulting from changes in the fair value of our foreign exchange contracts that were not designated for hedge accounting (Note 18) totaled $0.6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Helix Energy Solutions Group, Inc. and subsidiaries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audited the accompanying consolidated balance sheets of Helix Energy Solutions Group, Inc. and subsidiaries as of December 31, 2015 and 2014, and the related consolidated statements of operations, comprehensive income (loss), shareholders’ equity, and cash flows for each of the three years in the period ended December 31, 2015. These financial statements are the responsibility of the Company’s management. Our responsibility is to express an opinion on these financial statements based on our audits. We did not audit the financial statements of Deepwater Gateway, L.L.C. (a limited liability company in which the Company has a 50% interest) and Independence Hub, LLC (a limited liability company in which the Company has a 20% interest) for the year ended December 31, 2015. In the consolidated financial statements, the Company’s investment in Deepwater Gateway, L.L.C. is stated at approximately $26 million and the Company’s obligation associated with its investment in Independence Hub, LLC is stated at approximately $ 8 million as of December 31, 2015. The Company’s equity in the net losses of Deepwater Gateway, L.L.C. and Independence Hub, LLC is stated at approximately $124 million for the year ended December 31, 2015. Those statements were audited by other auditors whose reports have been furnished to us, and our opinion, insofar as it relates to the amounts included for Deepwater Gateway, L.L.C. and Independence Hub, LLC, as of and for the year ended December 31, 2015, is based solely on the reports of the other auditors.</w:t>
      </w:r>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our opinion, based on our audits and the reports of other auditors, the financial statements referred to above present fairly, in all material respects, the consolidated financial position of Helix Energy Solutions Group, Inc. and subsidiaries at December 31, 2015 and 2014, and the consolidated results of their operations and their cash flows for each of the three years in the period ended December 31, 2015, in conformity with U.S. generally accepted accounting principles.</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Helix Energy Solutions Group, Inc. and subsidiaries’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Helix Energy Solutions Group, Inc. and subsidiaries</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audited Helix Energy Solutions Group, Inc. and subsidiaries’ internal control over financial reporting as of December 31, 2015, based on criteria established in Internal Control—Integrated Framework issued by the Committee of Sponsoring Organizations of the Treadway Commission (2013 framework) (the COSO criteria). Helix Energy Solutions Group,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our opinion, Helix Energy Solutions Group, Inc. and subsidiaries maintained, in all material respects, effective internal control over financial reporting as of December 31, 2015, based on the COSO criteria.</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Helix Energy Solutions Group, Inc. and subsidiaries as of December 31, 2015 and 2014, and the related consolidated statements of operations, comprehensive income (loss), shareholders’ equity, and cash flows for each of the three years in the period ended December 31, 2015, and our report dated February 29, 2016 expressed an unqualified opinion thereon.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Committee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Deepwater Gateway,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0" w:lineRule="exact"/>
        <w:rPr>
          <w:sz w:val="20"/>
          <w:szCs w:val="20"/>
          <w:color w:val="auto"/>
        </w:rPr>
      </w:pPr>
    </w:p>
    <w:p>
      <w:pPr>
        <w:spacing w:after="0" w:line="241"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have audited the accompanying balance sheet of Deepwater Gateway, L.L.C. (the “Company”) as of December 31, 2015, and the related statements of operations, cash flows, and members’ equity for the year ended December 31, 2015. These financial statements are the responsibility of the Company’s management. Our responsibility is to express an opinion on these financial statements based on our audit.</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Deepwater Gateway, L.L.C. as of December 31, 2015 and the results of its operations and its cash flows for the year ended December 31, 2015, in conformity with accounting principles generally accepted in the United States of America.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Committee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Independence Hub,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0" w:lineRule="exact"/>
        <w:rPr>
          <w:sz w:val="20"/>
          <w:szCs w:val="20"/>
          <w:color w:val="auto"/>
        </w:rPr>
      </w:pPr>
    </w:p>
    <w:p>
      <w:pPr>
        <w:spacing w:after="0" w:line="24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have audited the accompanying balance sheet of Independence Hub, LLC (the “Company”) as of December 31, 2015, and the related statements of operations, cash flows, and members’ equity for the year ended December 31, 2015. These financial statements are the responsibility of the Company’s management. Our responsibility is to express an opinion on these financial statements based on our audit.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206"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financial statements include considerations of the Members’ having guaranteed their commitment to the Company to provide the necessary level of financial support to enable the Company to pay its obligations as they become due.</w:t>
      </w:r>
    </w:p>
    <w:p>
      <w:pPr>
        <w:spacing w:after="0" w:line="1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Independence Hub, LLC as of December 31, 2015 and the results of its operations and its cash flows for the year ended December 31, 2015, in conformity with accounting principles generally accepted in the United States of America.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43"/>
        </w:trPr>
        <w:tc>
          <w:tcPr>
            <w:tcW w:w="1260" w:type="dxa"/>
            <w:vAlign w:val="bottom"/>
            <w:tcBorders>
              <w:top w:val="single" w:sz="8" w:color="0000EE"/>
            </w:tcBorders>
          </w:tcPr>
          <w:p>
            <w:pPr>
              <w:spacing w:after="0"/>
              <w:rPr>
                <w:sz w:val="24"/>
                <w:szCs w:val="24"/>
                <w:color w:val="auto"/>
              </w:rPr>
            </w:pPr>
          </w:p>
        </w:tc>
        <w:tc>
          <w:tcPr>
            <w:tcW w:w="738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06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7060" w:type="dxa"/>
            <w:vAlign w:val="bottom"/>
          </w:tcPr>
          <w:p>
            <w:pPr>
              <w:ind w:left="386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126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0"/>
        </w:trPr>
        <w:tc>
          <w:tcPr>
            <w:tcW w:w="1260" w:type="dxa"/>
            <w:vAlign w:val="bottom"/>
          </w:tcPr>
          <w:p>
            <w:pPr>
              <w:spacing w:after="0"/>
              <w:rPr>
                <w:sz w:val="19"/>
                <w:szCs w:val="19"/>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7"/>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7"/>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476,492</w:t>
            </w: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net of allowance for uncollectible accounts of $350 and $4,735, respectively</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104,724</w:t>
            </w:r>
          </w:p>
        </w:tc>
      </w:tr>
      <w:tr>
        <w:trPr>
          <w:trHeight w:val="26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Unbilled revenue</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20,434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28,542</w:t>
            </w:r>
          </w:p>
        </w:tc>
      </w:tr>
      <w:tr>
        <w:trPr>
          <w:trHeight w:val="277"/>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Costs in excess of billing</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2,034</w:t>
            </w: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Current deferred tax assets</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31,180</w:t>
            </w:r>
          </w:p>
        </w:tc>
      </w:tr>
      <w:tr>
        <w:trPr>
          <w:trHeight w:val="270"/>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51,301</w:t>
            </w:r>
          </w:p>
        </w:tc>
      </w:tr>
      <w:tr>
        <w:trPr>
          <w:trHeight w:val="250"/>
        </w:trPr>
        <w:tc>
          <w:tcPr>
            <w:tcW w:w="8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684,035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694,273</w:t>
            </w:r>
          </w:p>
        </w:tc>
      </w:tr>
      <w:tr>
        <w:trPr>
          <w:trHeight w:val="257"/>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2,544,857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2,241,444</w:t>
            </w:r>
          </w:p>
        </w:tc>
      </w:tr>
      <w:tr>
        <w:trPr>
          <w:trHeight w:val="264"/>
        </w:trPr>
        <w:tc>
          <w:tcPr>
            <w:tcW w:w="8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(941,848)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(506,060)</w:t>
            </w:r>
          </w:p>
        </w:tc>
      </w:tr>
      <w:tr>
        <w:trPr>
          <w:trHeight w:val="257"/>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1,603,009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1,735,384</w:t>
            </w:r>
          </w:p>
        </w:tc>
      </w:tr>
      <w:tr>
        <w:trPr>
          <w:trHeight w:val="26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149,623</w:t>
            </w: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45,107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62,146</w:t>
            </w:r>
          </w:p>
        </w:tc>
      </w:tr>
      <w:tr>
        <w:trPr>
          <w:trHeight w:val="270"/>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53,601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59,272</w:t>
            </w:r>
          </w:p>
        </w:tc>
      </w:tr>
      <w:tr>
        <w:trPr>
          <w:trHeight w:val="297"/>
        </w:trPr>
        <w:tc>
          <w:tcPr>
            <w:tcW w:w="8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2,411,952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2,700,698</w:t>
            </w:r>
          </w:p>
        </w:tc>
      </w:tr>
      <w:tr>
        <w:trPr>
          <w:trHeight w:val="251"/>
        </w:trPr>
        <w:tc>
          <w:tcPr>
            <w:tcW w:w="1260" w:type="dxa"/>
            <w:vAlign w:val="bottom"/>
            <w:shd w:val="clear" w:color="auto" w:fill="CCEEFF"/>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LIABILITIES AND SHAREHOLDERS’ EQUITY</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65,370</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83,403</w:t>
            </w:r>
          </w:p>
        </w:tc>
      </w:tr>
      <w:tr>
        <w:trPr>
          <w:trHeight w:val="277"/>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104,923</w:t>
            </w: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9,143</w:t>
            </w:r>
          </w:p>
        </w:tc>
      </w:tr>
      <w:tr>
        <w:trPr>
          <w:trHeight w:val="270"/>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71,640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28,144</w:t>
            </w:r>
          </w:p>
        </w:tc>
      </w:tr>
      <w:tr>
        <w:trPr>
          <w:trHeight w:val="250"/>
        </w:trPr>
        <w:tc>
          <w:tcPr>
            <w:tcW w:w="8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210,912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225,613</w:t>
            </w:r>
          </w:p>
        </w:tc>
      </w:tr>
      <w:tr>
        <w:trPr>
          <w:trHeight w:val="257"/>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689,688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523,228</w:t>
            </w: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180,974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260,275</w:t>
            </w:r>
          </w:p>
        </w:tc>
      </w:tr>
      <w:tr>
        <w:trPr>
          <w:trHeight w:val="270"/>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38,108</w:t>
            </w:r>
          </w:p>
        </w:tc>
      </w:tr>
      <w:tr>
        <w:trPr>
          <w:trHeight w:val="250"/>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1,132,989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1,047,224</w:t>
            </w:r>
          </w:p>
        </w:tc>
      </w:tr>
      <w:tr>
        <w:trPr>
          <w:trHeight w:val="277"/>
        </w:trPr>
        <w:tc>
          <w:tcPr>
            <w:tcW w:w="12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Common stock, no par, 240,000 shares authorized, 106,289 and 105,586 shares issued, respectively</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945,565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934,447</w:t>
            </w:r>
          </w:p>
        </w:tc>
      </w:tr>
      <w:tr>
        <w:trPr>
          <w:trHeight w:val="277"/>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404,299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781,279</w:t>
            </w:r>
          </w:p>
        </w:tc>
      </w:tr>
      <w:tr>
        <w:trPr>
          <w:trHeight w:val="264"/>
        </w:trPr>
        <w:tc>
          <w:tcPr>
            <w:tcW w:w="8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(62,252)</w:t>
            </w:r>
          </w:p>
        </w:tc>
      </w:tr>
      <w:tr>
        <w:trPr>
          <w:trHeight w:val="257"/>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1,278,963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1,653,474</w:t>
            </w:r>
          </w:p>
        </w:tc>
      </w:tr>
      <w:tr>
        <w:trPr>
          <w:trHeight w:val="257"/>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2,411,952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2,700,698</w:t>
            </w:r>
          </w:p>
        </w:tc>
      </w:tr>
      <w:tr>
        <w:trPr>
          <w:trHeight w:val="20"/>
        </w:trPr>
        <w:tc>
          <w:tcPr>
            <w:tcW w:w="12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18"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67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43"/>
        </w:trPr>
        <w:tc>
          <w:tcPr>
            <w:tcW w:w="1260" w:type="dxa"/>
            <w:vAlign w:val="bottom"/>
            <w:tcBorders>
              <w:top w:val="single" w:sz="8" w:color="0000EE"/>
            </w:tcBorders>
          </w:tcPr>
          <w:p>
            <w:pPr>
              <w:spacing w:after="0"/>
              <w:rPr>
                <w:sz w:val="24"/>
                <w:szCs w:val="24"/>
                <w:color w:val="auto"/>
              </w:rPr>
            </w:pPr>
          </w:p>
        </w:tc>
        <w:tc>
          <w:tcPr>
            <w:tcW w:w="7380" w:type="dxa"/>
            <w:vAlign w:val="bottom"/>
            <w:gridSpan w:val="5"/>
          </w:tcPr>
          <w:p>
            <w:pPr>
              <w:jc w:val="center"/>
              <w:ind w:left="14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060" w:type="dxa"/>
            <w:vAlign w:val="bottom"/>
            <w:gridSpan w:val="4"/>
          </w:tcPr>
          <w:p>
            <w:pPr>
              <w:jc w:val="center"/>
              <w:ind w:left="17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7060" w:type="dxa"/>
            <w:vAlign w:val="bottom"/>
            <w:gridSpan w:val="4"/>
          </w:tcPr>
          <w:p>
            <w:pPr>
              <w:ind w:left="2700"/>
              <w:spacing w:after="0"/>
              <w:rPr>
                <w:sz w:val="20"/>
                <w:szCs w:val="20"/>
                <w:color w:val="auto"/>
              </w:rPr>
            </w:pPr>
            <w:r>
              <w:rPr>
                <w:rFonts w:ascii="Arial" w:cs="Arial" w:eastAsia="Arial" w:hAnsi="Arial"/>
                <w:sz w:val="18"/>
                <w:szCs w:val="18"/>
                <w:b w:val="1"/>
                <w:bCs w:val="1"/>
                <w:color w:val="auto"/>
              </w:rPr>
              <w:t>(in thousands, except per share amounts)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12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695,802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1,107,156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876,561</w:t>
            </w:r>
          </w:p>
        </w:tc>
      </w:tr>
      <w:tr>
        <w:trPr>
          <w:trHeight w:val="270"/>
        </w:trPr>
        <w:tc>
          <w:tcPr>
            <w:tcW w:w="126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584,566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763,120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615,876</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345,010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7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cost of sales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929,576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763,120</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615,876</w:t>
            </w:r>
          </w:p>
        </w:tc>
      </w:tr>
      <w:tr>
        <w:trPr>
          <w:trHeight w:val="270"/>
        </w:trPr>
        <w:tc>
          <w:tcPr>
            <w:tcW w:w="1260" w:type="dxa"/>
            <w:vAlign w:val="bottom"/>
            <w:shd w:val="clear" w:color="auto" w:fill="CCEEFF"/>
          </w:tcPr>
          <w:p>
            <w:pPr>
              <w:spacing w:after="0"/>
              <w:rPr>
                <w:sz w:val="23"/>
                <w:szCs w:val="23"/>
                <w:color w:val="auto"/>
              </w:rPr>
            </w:pPr>
          </w:p>
        </w:tc>
        <w:tc>
          <w:tcPr>
            <w:tcW w:w="5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6720" w:type="dxa"/>
            <w:vAlign w:val="bottom"/>
            <w:gridSpan w:val="2"/>
          </w:tcPr>
          <w:p>
            <w:pPr>
              <w:ind w:left="380"/>
              <w:spacing w:after="0"/>
              <w:rPr>
                <w:sz w:val="20"/>
                <w:szCs w:val="20"/>
                <w:color w:val="auto"/>
              </w:rPr>
            </w:pPr>
            <w:r>
              <w:rPr>
                <w:rFonts w:ascii="Arial" w:cs="Arial" w:eastAsia="Arial" w:hAnsi="Arial"/>
                <w:sz w:val="18"/>
                <w:szCs w:val="18"/>
                <w:color w:val="auto"/>
              </w:rPr>
              <w:t>Gross profit (loss)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(233,774)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344,036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260,685</w:t>
            </w:r>
          </w:p>
        </w:tc>
      </w:tr>
      <w:tr>
        <w:trPr>
          <w:trHeight w:val="277"/>
        </w:trPr>
        <w:tc>
          <w:tcPr>
            <w:tcW w:w="126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commodity derivative contracts</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w:t>
            </w: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Gain on disposition of assets, net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14,727</w:t>
            </w:r>
          </w:p>
        </w:tc>
      </w:tr>
      <w:tr>
        <w:trPr>
          <w:trHeight w:val="27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(82,265)</w:t>
            </w:r>
          </w:p>
        </w:tc>
      </w:tr>
      <w:tr>
        <w:trPr>
          <w:trHeight w:val="25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261,756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179,034</w:t>
            </w:r>
          </w:p>
        </w:tc>
      </w:tr>
      <w:tr>
        <w:trPr>
          <w:trHeight w:val="277"/>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(losses) of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r>
      <w:tr>
        <w:trPr>
          <w:trHeight w:val="26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Net interest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(17,859)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(32,898)</w:t>
            </w:r>
          </w:p>
        </w:tc>
      </w:tr>
      <w:tr>
        <w:trPr>
          <w:trHeight w:val="277"/>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long-term debt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r>
      <w:tr>
        <w:trPr>
          <w:trHeight w:val="26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 oil and gas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16,931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6,581</w:t>
            </w:r>
          </w:p>
        </w:tc>
      </w:tr>
      <w:tr>
        <w:trPr>
          <w:trHeight w:val="25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262,521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143,588</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66,971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31,612</w:t>
            </w:r>
          </w:p>
        </w:tc>
      </w:tr>
      <w:tr>
        <w:trPr>
          <w:trHeight w:val="25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195,550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111,976</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r>
      <w:tr>
        <w:trPr>
          <w:trHeight w:val="250"/>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Net income (loss), including noncontrolling interests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(376,980)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195,550</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113,049</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applicable to noncontrolling interests</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297"/>
        </w:trPr>
        <w:tc>
          <w:tcPr>
            <w:tcW w:w="6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 applicable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(376,980)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195,047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109,922</w:t>
            </w:r>
          </w:p>
        </w:tc>
      </w:tr>
      <w:tr>
        <w:trPr>
          <w:trHeight w:val="251"/>
        </w:trPr>
        <w:tc>
          <w:tcPr>
            <w:tcW w:w="1260" w:type="dxa"/>
            <w:vAlign w:val="bottom"/>
            <w:shd w:val="clear" w:color="auto" w:fill="CCEEFF"/>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Basic earnings (loss) per share of common stock:</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64"/>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0.01</w:t>
            </w:r>
          </w:p>
        </w:tc>
      </w:tr>
      <w:tr>
        <w:trPr>
          <w:trHeight w:val="257"/>
        </w:trPr>
        <w:tc>
          <w:tcPr>
            <w:tcW w:w="67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r>
        <w:trPr>
          <w:trHeight w:val="20"/>
        </w:trPr>
        <w:tc>
          <w:tcPr>
            <w:tcW w:w="1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126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 of common stock:</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r>
      <w:tr>
        <w:trPr>
          <w:trHeight w:val="297"/>
        </w:trPr>
        <w:tc>
          <w:tcPr>
            <w:tcW w:w="6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r>
      <w:tr>
        <w:trPr>
          <w:trHeight w:val="251"/>
        </w:trPr>
        <w:tc>
          <w:tcPr>
            <w:tcW w:w="1260" w:type="dxa"/>
            <w:vAlign w:val="bottom"/>
            <w:shd w:val="clear" w:color="auto" w:fill="CCEEFF"/>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3"/>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105,032</w:t>
            </w:r>
          </w:p>
        </w:tc>
      </w:tr>
      <w:tr>
        <w:trPr>
          <w:trHeight w:val="20"/>
        </w:trPr>
        <w:tc>
          <w:tcPr>
            <w:tcW w:w="1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105,045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105,184</w:t>
            </w:r>
          </w:p>
        </w:tc>
      </w:tr>
      <w:tr>
        <w:trPr>
          <w:trHeight w:val="20"/>
        </w:trPr>
        <w:tc>
          <w:tcPr>
            <w:tcW w:w="1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18" w:right="2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67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43"/>
        </w:trPr>
        <w:tc>
          <w:tcPr>
            <w:tcW w:w="1260" w:type="dxa"/>
            <w:vAlign w:val="bottom"/>
            <w:tcBorders>
              <w:top w:val="single" w:sz="8" w:color="0000EE"/>
            </w:tcBorders>
          </w:tcPr>
          <w:p>
            <w:pPr>
              <w:spacing w:after="0"/>
              <w:rPr>
                <w:sz w:val="24"/>
                <w:szCs w:val="24"/>
                <w:color w:val="auto"/>
              </w:rPr>
            </w:pPr>
          </w:p>
        </w:tc>
        <w:tc>
          <w:tcPr>
            <w:tcW w:w="75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HELIX ENERGY SOLUTIONS GROUP, INC. AND SUBSIDIARIES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5480" w:type="dxa"/>
            <w:vAlign w:val="bottom"/>
          </w:tcPr>
          <w:p>
            <w:pPr>
              <w:ind w:left="38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195,550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113,049</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Unrealized loss on hedges arising during the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w:t>
            </w:r>
          </w:p>
        </w:tc>
      </w:tr>
      <w:tr>
        <w:trPr>
          <w:trHeight w:val="26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Reclassification adjustments for loss included in net income (loss)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1,476</w:t>
            </w:r>
          </w:p>
        </w:tc>
      </w:tr>
      <w:tr>
        <w:trPr>
          <w:trHeight w:val="235"/>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adjustments for loss from derivatives de-designated as cash</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flow hedges included in net income</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Income taxes on unrealized loss on hedges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5,380</w:t>
            </w:r>
          </w:p>
        </w:tc>
      </w:tr>
      <w:tr>
        <w:trPr>
          <w:trHeight w:val="25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 (loss) on hedges, net of tax</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r>
      <w:tr>
        <w:trPr>
          <w:trHeight w:val="264"/>
        </w:trPr>
        <w:tc>
          <w:tcPr>
            <w:tcW w:w="6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4,970</w:t>
            </w:r>
          </w:p>
        </w:tc>
      </w:tr>
      <w:tr>
        <w:trPr>
          <w:trHeight w:val="25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(41,564)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153,986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108,028</w:t>
            </w:r>
          </w:p>
        </w:tc>
      </w:tr>
      <w:tr>
        <w:trPr>
          <w:trHeight w:val="270"/>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comprehensive income applicable to noncontrolling interests</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applicable to common shareholders</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153,483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104,901</w:t>
            </w: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30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3"/>
        </w:trPr>
        <w:tc>
          <w:tcPr>
            <w:tcW w:w="12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6200" w:type="dxa"/>
            <w:vAlign w:val="bottom"/>
            <w:gridSpan w:val="15"/>
          </w:tcPr>
          <w:p>
            <w:pPr>
              <w:jc w:val="center"/>
              <w:ind w:right="80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0" w:type="dxa"/>
            <w:vAlign w:val="bottom"/>
            <w:gridSpan w:val="15"/>
          </w:tcPr>
          <w:p>
            <w:pPr>
              <w:jc w:val="center"/>
              <w:ind w:right="820"/>
              <w:spacing w:after="0"/>
              <w:rPr>
                <w:sz w:val="20"/>
                <w:szCs w:val="20"/>
                <w:color w:val="auto"/>
              </w:rPr>
            </w:pPr>
            <w:r>
              <w:rPr>
                <w:rFonts w:ascii="Arial" w:cs="Arial" w:eastAsia="Arial" w:hAnsi="Arial"/>
                <w:sz w:val="18"/>
                <w:szCs w:val="18"/>
                <w:b w:val="1"/>
                <w:bCs w:val="1"/>
                <w:color w:val="auto"/>
                <w:w w:val="99"/>
              </w:rPr>
              <w:t>CONSOLIDATED STATEMENTS OF SHAREHOLDERS’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80" w:type="dxa"/>
            <w:vAlign w:val="bottom"/>
            <w:tcBorders>
              <w:bottom w:val="single" w:sz="8" w:color="auto"/>
            </w:tcBorders>
            <w:gridSpan w:val="13"/>
          </w:tcPr>
          <w:p>
            <w:pPr>
              <w:jc w:val="right"/>
              <w:ind w:right="490"/>
              <w:spacing w:after="0"/>
              <w:rPr>
                <w:sz w:val="20"/>
                <w:szCs w:val="20"/>
                <w:color w:val="auto"/>
              </w:rPr>
            </w:pPr>
            <w:r>
              <w:rPr>
                <w:rFonts w:ascii="Arial" w:cs="Arial" w:eastAsia="Arial" w:hAnsi="Arial"/>
                <w:sz w:val="18"/>
                <w:szCs w:val="18"/>
                <w:b w:val="1"/>
                <w:bCs w:val="1"/>
                <w:color w:val="auto"/>
              </w:rPr>
              <w:t>Helix Energy Solutions Group, Inc.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Total</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Controlling</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Borders>
              <w:bottom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restart"/>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Interest</w:t>
            </w:r>
          </w:p>
        </w:tc>
        <w:tc>
          <w:tcPr>
            <w:tcW w:w="140" w:type="dxa"/>
            <w:vAlign w:val="bottom"/>
          </w:tcPr>
          <w:p>
            <w:pPr>
              <w:spacing w:after="0"/>
              <w:rPr>
                <w:sz w:val="9"/>
                <w:szCs w:val="9"/>
                <w:color w:val="auto"/>
              </w:rPr>
            </w:pPr>
          </w:p>
        </w:tc>
        <w:tc>
          <w:tcPr>
            <w:tcW w:w="1000" w:type="dxa"/>
            <w:vAlign w:val="bottom"/>
            <w:gridSpan w:val="2"/>
            <w:vMerge w:val="restart"/>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Non-</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Retained</w:t>
            </w:r>
          </w:p>
        </w:tc>
        <w:tc>
          <w:tcPr>
            <w:tcW w:w="150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Comprehensive</w:t>
            </w:r>
          </w:p>
        </w:tc>
        <w:tc>
          <w:tcPr>
            <w:tcW w:w="13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Shareholders’</w:t>
            </w:r>
          </w:p>
        </w:tc>
        <w:tc>
          <w:tcPr>
            <w:tcW w:w="11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controlling</w:t>
            </w:r>
          </w:p>
        </w:tc>
        <w:tc>
          <w:tcPr>
            <w:tcW w:w="10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6"/>
        </w:trPr>
        <w:tc>
          <w:tcPr>
            <w:tcW w:w="12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Interests</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5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105,763</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$ 932,742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476,310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1,393,385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26,029</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$1,419,414</w:t>
            </w:r>
          </w:p>
        </w:tc>
        <w:tc>
          <w:tcPr>
            <w:tcW w:w="0" w:type="dxa"/>
            <w:vAlign w:val="bottom"/>
          </w:tcPr>
          <w:p>
            <w:pPr>
              <w:spacing w:after="0"/>
              <w:rPr>
                <w:sz w:val="1"/>
                <w:szCs w:val="1"/>
                <w:color w:val="auto"/>
              </w:rPr>
            </w:pPr>
          </w:p>
        </w:tc>
      </w:tr>
      <w:tr>
        <w:trPr>
          <w:trHeight w:val="250"/>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109,922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109,922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113,049</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Unrealized loss on hedges, net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29"/>
        </w:trPr>
        <w:tc>
          <w:tcPr>
            <w:tcW w:w="4160" w:type="dxa"/>
            <w:vAlign w:val="bottom"/>
            <w:gridSpan w:val="5"/>
          </w:tcPr>
          <w:p>
            <w:pPr>
              <w:ind w:left="40"/>
              <w:spacing w:after="0"/>
              <w:rPr>
                <w:sz w:val="20"/>
                <w:szCs w:val="20"/>
                <w:color w:val="auto"/>
              </w:rPr>
            </w:pPr>
            <w:r>
              <w:rPr>
                <w:rFonts w:ascii="Arial" w:cs="Arial" w:eastAsia="Arial" w:hAnsi="Arial"/>
                <w:sz w:val="18"/>
                <w:szCs w:val="18"/>
                <w:color w:val="auto"/>
              </w:rPr>
              <w:t>Equity component of debt discount 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 due 2032</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7"/>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Stock repurchases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Activity in company stock plans, net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other</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Excess tax from stock-based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105,640</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$ 933,507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586,232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1,499,051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25,059</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$1,524,110</w:t>
            </w:r>
          </w:p>
        </w:tc>
        <w:tc>
          <w:tcPr>
            <w:tcW w:w="0" w:type="dxa"/>
            <w:vAlign w:val="bottom"/>
          </w:tcPr>
          <w:p>
            <w:pPr>
              <w:spacing w:after="0"/>
              <w:rPr>
                <w:sz w:val="1"/>
                <w:szCs w:val="1"/>
                <w:color w:val="auto"/>
              </w:rPr>
            </w:pPr>
          </w:p>
        </w:tc>
      </w:tr>
      <w:tr>
        <w:trPr>
          <w:trHeight w:val="250"/>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195,047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195,550</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Unrealized loss on hedges, net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(22,100)</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w w:val="99"/>
              </w:rPr>
              <w:t>Acquisition of noncontrolling interests</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77"/>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Stock repurchases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(7,698)</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Activity in company stock plans, net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other</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Excess tax from stock-based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105,586</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$ 934,447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781,279</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(62,252)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1,653,474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$1,653,474</w:t>
            </w:r>
          </w:p>
        </w:tc>
        <w:tc>
          <w:tcPr>
            <w:tcW w:w="0" w:type="dxa"/>
            <w:vAlign w:val="bottom"/>
          </w:tcPr>
          <w:p>
            <w:pPr>
              <w:spacing w:after="0"/>
              <w:rPr>
                <w:sz w:val="1"/>
                <w:szCs w:val="1"/>
                <w:color w:val="auto"/>
              </w:rPr>
            </w:pPr>
          </w:p>
        </w:tc>
      </w:tr>
      <w:tr>
        <w:trPr>
          <w:trHeight w:val="250"/>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(376,980)</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63"/>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Unrealized gain on hedges, net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77"/>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Cumulative stock compensation</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expense in excess of fair value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modified liability awards</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35"/>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Activity in company stock plans, net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other</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Excess tax from stock-based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57"/>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106,289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$ 945,565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404,299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1,278,963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$1,278,963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18"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67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43"/>
        </w:trPr>
        <w:tc>
          <w:tcPr>
            <w:tcW w:w="1260" w:type="dxa"/>
            <w:vAlign w:val="bottom"/>
            <w:tcBorders>
              <w:top w:val="single" w:sz="8" w:color="0000EE"/>
            </w:tcBorders>
          </w:tcPr>
          <w:p>
            <w:pPr>
              <w:spacing w:after="0"/>
              <w:rPr>
                <w:sz w:val="24"/>
                <w:szCs w:val="24"/>
                <w:color w:val="auto"/>
              </w:rPr>
            </w:pPr>
          </w:p>
        </w:tc>
        <w:tc>
          <w:tcPr>
            <w:tcW w:w="7420" w:type="dxa"/>
            <w:vAlign w:val="bottom"/>
            <w:gridSpan w:val="5"/>
          </w:tcPr>
          <w:p>
            <w:pPr>
              <w:jc w:val="center"/>
              <w:ind w:left="141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080" w:type="dxa"/>
            <w:vAlign w:val="bottom"/>
            <w:gridSpan w:val="4"/>
          </w:tcPr>
          <w:p>
            <w:pPr>
              <w:jc w:val="center"/>
              <w:ind w:left="17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1260" w:type="dxa"/>
            <w:vAlign w:val="bottom"/>
          </w:tcPr>
          <w:p>
            <w:pPr>
              <w:spacing w:after="0"/>
              <w:rPr>
                <w:sz w:val="20"/>
                <w:szCs w:val="20"/>
                <w:color w:val="auto"/>
              </w:rPr>
            </w:pPr>
          </w:p>
        </w:tc>
        <w:tc>
          <w:tcPr>
            <w:tcW w:w="5480" w:type="dxa"/>
            <w:vAlign w:val="bottom"/>
          </w:tcPr>
          <w:p>
            <w:pPr>
              <w:ind w:left="38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85"/>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 including noncontrolling interests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195,550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113,049</w:t>
            </w:r>
          </w:p>
        </w:tc>
      </w:tr>
      <w:tr>
        <w:trPr>
          <w:trHeight w:val="229"/>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(loss), including noncontrolling interests, to</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120,401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109,345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98,535</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Non-cash impairment charges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361,409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5,187</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5,172</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(24,937)</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Equity in losses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124,345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Gain on disposition of assets,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(14,727)</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12,100</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Unrealized losses and ineffectiveness on derivative contracts,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18,281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(3,320)</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14,277</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Income tax payable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(56,164)</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(32,045)</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Oil and gas asset retirement costs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(10,334)</w:t>
            </w: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non-current,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w:t>
            </w:r>
          </w:p>
        </w:tc>
      </w:tr>
      <w:tr>
        <w:trPr>
          <w:trHeight w:val="250"/>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110,805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359,485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104,861</w:t>
            </w: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cash used in discontinued operations</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(30,503)</w:t>
            </w:r>
          </w:p>
        </w:tc>
      </w:tr>
      <w:tr>
        <w:trPr>
          <w:trHeight w:val="250"/>
        </w:trPr>
        <w:tc>
          <w:tcPr>
            <w:tcW w:w="67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110,805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359,485</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74,358</w:t>
            </w:r>
          </w:p>
        </w:tc>
      </w:tr>
      <w:tr>
        <w:trPr>
          <w:trHeight w:val="216"/>
        </w:trPr>
        <w:tc>
          <w:tcPr>
            <w:tcW w:w="12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(324,426)</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Distributions from equity investments, net of earnings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9,295</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189,054</w:t>
            </w:r>
          </w:p>
        </w:tc>
      </w:tr>
      <w:tr>
        <w:trPr>
          <w:trHeight w:val="264"/>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Acquisition of noncontrolling interests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(295,719)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(335,512)</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(126,077)</w:t>
            </w:r>
          </w:p>
        </w:tc>
      </w:tr>
      <w:tr>
        <w:trPr>
          <w:trHeight w:val="264"/>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cash provided by discontinued operations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582,965</w:t>
            </w:r>
          </w:p>
        </w:tc>
      </w:tr>
      <w:tr>
        <w:trPr>
          <w:trHeight w:val="250"/>
        </w:trPr>
        <w:tc>
          <w:tcPr>
            <w:tcW w:w="67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(295,719)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(335,512)</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456,888</w:t>
            </w:r>
          </w:p>
        </w:tc>
      </w:tr>
      <w:tr>
        <w:trPr>
          <w:trHeight w:val="216"/>
        </w:trPr>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Senior Unsecured Notes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(281,490)</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47,617</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Repayment of revolving credit facility</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(147,617)</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Convertible Senior Notes due 2025</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Proceeds from Nordea Q5000 Loan</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Nordea Q5000 Loan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Proceeds from Term Loan</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(374,681)</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Repayment of MARAD borrowings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(5,120)</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(10,954)</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(4,097)</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w:t>
            </w:r>
          </w:p>
        </w:tc>
      </w:tr>
      <w:tr>
        <w:trPr>
          <w:trHeight w:val="26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7"/>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 net and other</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64"/>
        </w:trPr>
        <w:tc>
          <w:tcPr>
            <w:tcW w:w="6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Proceeds from issuance of ESPP shares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2,711</w:t>
            </w:r>
          </w:p>
        </w:tc>
      </w:tr>
      <w:tr>
        <w:trPr>
          <w:trHeight w:val="25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204,625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(30,071)</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(487,421)</w:t>
            </w:r>
          </w:p>
        </w:tc>
      </w:tr>
      <w:tr>
        <w:trPr>
          <w:trHeight w:val="216"/>
        </w:trPr>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4"/>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r>
    </w:tbl>
    <w:p>
      <w:pPr>
        <w:sectPr>
          <w:pgSz w:w="11900" w:h="16838" w:orient="portrait"/>
          <w:cols w:equalWidth="0" w:num="1">
            <w:col w:w="11420"/>
          </w:cols>
          <w:pgMar w:left="240" w:top="118"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41,100</w:t>
            </w:r>
          </w:p>
        </w:tc>
      </w:tr>
      <w:tr>
        <w:trPr>
          <w:trHeight w:val="27"/>
        </w:trPr>
        <w:tc>
          <w:tcPr>
            <w:tcW w:w="6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beginning of year</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476,492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478,200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437,100</w:t>
            </w: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year</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494,192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476,492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478,200</w:t>
            </w: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and robotics operations. We provide services primarily in deepwater in the U.S. Gulf of Mexico, North Sea, Asia Pacific and West Africa regions, and are expanding our operations offshore Brazil.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47"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seek to provide services and methodologies that we believe are critical to developing offshore reservoirs and maximizing production economics. Our “life of field” services are segregated into three reportable business segments: Well Intervention, Robotics and Production Facilities (Note 13). Our Subsea Construction results diminished following the sale in 2013 and early 2014 of essentially all of our assets related to this previously reported business segment.</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 xml:space="preserve">Our Well Intervention segment includes our vessels and equipment used to perform well intervention services primarily in the Gulf of Mexico and North Sea regions. Our Well Intervention segment also includes intervention riser systems (“IRSs”), some of which we rent out on a stand-alone basis, and subsea intervention lubricators (“SILs”).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w:t>
      </w:r>
      <w:r>
        <w:rPr>
          <w:rFonts w:ascii="Arial" w:cs="Arial" w:eastAsia="Arial" w:hAnsi="Arial"/>
          <w:sz w:val="18"/>
          <w:szCs w:val="18"/>
          <w:color w:val="auto"/>
        </w:rPr>
        <w:t xml:space="preserve"> </w:t>
      </w:r>
      <w:r>
        <w:rPr>
          <w:rFonts w:ascii="Arial" w:cs="Arial" w:eastAsia="Arial" w:hAnsi="Arial"/>
          <w:sz w:val="18"/>
          <w:szCs w:val="18"/>
          <w:i w:val="1"/>
          <w:iCs w:val="1"/>
          <w:color w:val="auto"/>
        </w:rPr>
        <w:t>Enhancer</w:t>
      </w:r>
      <w:r>
        <w:rPr>
          <w:rFonts w:ascii="Arial" w:cs="Arial" w:eastAsia="Arial" w:hAnsi="Arial"/>
          <w:sz w:val="18"/>
          <w:szCs w:val="18"/>
          <w:color w:val="auto"/>
        </w:rPr>
        <w:t>, the</w:t>
      </w:r>
      <w:r>
        <w:rPr>
          <w:rFonts w:ascii="Arial" w:cs="Arial" w:eastAsia="Arial" w:hAnsi="Arial"/>
          <w:sz w:val="18"/>
          <w:szCs w:val="18"/>
          <w:i w:val="1"/>
          <w:iCs w:val="1"/>
          <w:color w:val="auto"/>
        </w:rPr>
        <w:t xml:space="preserve"> Seawell</w:t>
      </w:r>
      <w:r>
        <w:rPr>
          <w:rFonts w:ascii="Arial" w:cs="Arial" w:eastAsia="Arial" w:hAnsi="Arial"/>
          <w:sz w:val="18"/>
          <w:szCs w:val="18"/>
          <w:color w:val="auto"/>
        </w:rPr>
        <w:t>, the</w:t>
      </w:r>
      <w:r>
        <w:rPr>
          <w:rFonts w:ascii="Arial" w:cs="Arial" w:eastAsia="Arial" w:hAnsi="Arial"/>
          <w:sz w:val="18"/>
          <w:szCs w:val="18"/>
          <w:i w:val="1"/>
          <w:iCs w:val="1"/>
          <w:color w:val="auto"/>
        </w:rPr>
        <w:t xml:space="preserve"> Helix 534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Skandi Constructor</w:t>
      </w:r>
      <w:r>
        <w:rPr>
          <w:rFonts w:ascii="Arial" w:cs="Arial" w:eastAsia="Arial" w:hAnsi="Arial"/>
          <w:sz w:val="18"/>
          <w:szCs w:val="18"/>
          <w:color w:val="auto"/>
        </w:rPr>
        <w:t>, which is a chartered vessel. The</w:t>
      </w:r>
      <w:r>
        <w:rPr>
          <w:rFonts w:ascii="Arial" w:cs="Arial" w:eastAsia="Arial" w:hAnsi="Arial"/>
          <w:sz w:val="18"/>
          <w:szCs w:val="18"/>
          <w:i w:val="1"/>
          <w:iCs w:val="1"/>
          <w:color w:val="auto"/>
        </w:rPr>
        <w:t xml:space="preserve"> Q5000</w:t>
      </w:r>
      <w:r>
        <w:rPr>
          <w:rFonts w:ascii="Arial" w:cs="Arial" w:eastAsia="Arial" w:hAnsi="Arial"/>
          <w:sz w:val="18"/>
          <w:szCs w:val="18"/>
          <w:color w:val="auto"/>
        </w:rPr>
        <w:t>, a newbuild semi-submersible well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intervention vessel, commenced operations in the Gulf of Mexico during the fourth quarter of 2015. We currently have under construction another semi-submersible well intervention vessel,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 have also contracted to charter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II</w:t>
      </w:r>
      <w:r>
        <w:rPr>
          <w:rFonts w:ascii="Arial" w:cs="Arial" w:eastAsia="Arial" w:hAnsi="Arial"/>
          <w:sz w:val="18"/>
          <w:szCs w:val="18"/>
          <w:color w:val="auto"/>
        </w:rPr>
        <w:t>, two newbuild monohull vessels to be used in connection with our contracts to provide well intervention services offshore Brazil.</w:t>
      </w:r>
    </w:p>
    <w:p>
      <w:pPr>
        <w:spacing w:after="0" w:line="207"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 xml:space="preserve">Our Robotics segment includes remotely operated vehicles (“ROVs”), trenchers and ROVDrills designed to complement offshore construction and well intervention services, and currently operates four chartered ROV support vessels including the </w:t>
      </w:r>
      <w:r>
        <w:rPr>
          <w:rFonts w:ascii="Arial" w:cs="Arial" w:eastAsia="Arial" w:hAnsi="Arial"/>
          <w:sz w:val="18"/>
          <w:szCs w:val="18"/>
          <w:i w:val="1"/>
          <w:iCs w:val="1"/>
          <w:color w:val="auto"/>
        </w:rPr>
        <w:t>Grand Canyon II</w:t>
      </w:r>
      <w:r>
        <w:rPr>
          <w:rFonts w:ascii="Arial" w:cs="Arial" w:eastAsia="Arial" w:hAnsi="Arial"/>
          <w:sz w:val="18"/>
          <w:szCs w:val="18"/>
          <w:color w:val="auto"/>
        </w:rPr>
        <w:t>, which was delivered to us in April 2015.</w:t>
      </w:r>
    </w:p>
    <w:p>
      <w:pPr>
        <w:spacing w:after="0" w:line="18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 ship-shaped dynamic positioning floating production unit vessel, and the Helix Fast Response System (the “HFRS”), which provides certain operators access to our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w:t>
      </w:r>
      <w:r>
        <w:rPr>
          <w:rFonts w:ascii="Arial" w:cs="Arial" w:eastAsia="Arial" w:hAnsi="Arial"/>
          <w:sz w:val="18"/>
          <w:szCs w:val="18"/>
          <w:i w:val="1"/>
          <w:iCs w:val="1"/>
          <w:color w:val="auto"/>
        </w:rPr>
        <w:t>HP I</w:t>
      </w:r>
      <w:r>
        <w:rPr>
          <w:rFonts w:ascii="Arial" w:cs="Arial" w:eastAsia="Arial" w:hAnsi="Arial"/>
          <w:sz w:val="18"/>
          <w:szCs w:val="18"/>
          <w:color w:val="auto"/>
        </w:rPr>
        <w:t xml:space="preserve"> vessels in the event of a well control incident in the Gulf of Mexico. The Production Facilities segment also includes our ownership interest in Independence Hub, LLC (“Independence Hub”). We previously had an ownership interest in Deepwater Gateway, L.L.C. (“Deepwater Gateway”), which we sold for $25 million in February 2016 (Note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February 2013, we sold Energy Resource Technology GOM, Inc. (“ERT”), a former wholly-owned U.S. subsidiary that conducted our oil and gas operations in the Gulf of Mexico, for $624 million plus additional consideration in the form of overriding royalty interests in ERT’s Wang well and certain exploration prospects. As a result, we have presented the historical operating results of our former Oil and Gas segment as discontinued operations in the accompanying consolidated financial statements. Results for 2013 reflect the operating results from January 1, 2013 through February 6, 2013 when ERT was sold. There were no material results of operations for our former oil and gas segment subsequent to the sale of ERT.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consolidated financial statements include the accounts of majority owned subsidiaries. The equity method is used to account for investments in affiliates in which we do not have majority ownership, but have the ability to exert significant influence. We account for our former ownership interest in Deepwater Gateway and our ownership interest in Independence Hub under the equity method of accounting. Noncontrolling interests represent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minority shareholders’ proportionate share of the equity in Kommandor LLC, a Delaware limited liability company formed for the purpose of converting a ferry vessel into the </w:t>
      </w:r>
      <w:r>
        <w:rPr>
          <w:rFonts w:ascii="Arial" w:cs="Arial" w:eastAsia="Arial" w:hAnsi="Arial"/>
          <w:sz w:val="18"/>
          <w:szCs w:val="18"/>
          <w:i w:val="1"/>
          <w:iCs w:val="1"/>
          <w:color w:val="auto"/>
        </w:rPr>
        <w:t>HP I</w:t>
      </w:r>
      <w:r>
        <w:rPr>
          <w:rFonts w:ascii="Arial" w:cs="Arial" w:eastAsia="Arial" w:hAnsi="Arial"/>
          <w:sz w:val="18"/>
          <w:szCs w:val="18"/>
          <w:color w:val="auto"/>
        </w:rPr>
        <w:t>. In February 2014, we acquired our former minority partner’s noncontrolling interests (approximately 19%) in Kommandor LLC for $20.1 million. The consolidated results of Kommandor LLC are included in our Production Facilities segment. All material intercompany accounts and transactions have been eliminated.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consolidated financial statements have been prepared in conformity with U.S. generally accepted accounting principles (“U.S. GAAP”). Certain reclassifications were made to previously reported amounts in the consolidated financial statements and notes thereto to make them consistent with the current presentation format. We have made all adjustments (which were normal recurring adjustments) that we believe are necessary for a fair presentation of our consolidated financial statements, as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Cash and cash equivalents are highly liquid financial instruments with original maturities of three months or less. They are carried at cost plus accrued interest, which approximates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 and Allowance for Uncollectible Accounts</w:t>
      </w:r>
    </w:p>
    <w:p>
      <w:pPr>
        <w:spacing w:after="0" w:line="247"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Accounts and notes receivable are stated at the historical carrying amount net of write-offs and allowance for uncollectible accounts. The amount of our net accounts receivable and our note receivable approximates fair value. We establish an allowance for uncollectible accounts based on historical experience as well as any specific collection issues that we have identified. Uncollectible receivables are written off when a settlement is reached for an amount that is less than the outstanding historical balance or when we have determined that the balance will definitively not be collected (Note 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Property and equipment is recorded at cost. Property and equipment is depreciated on a straight line basis over the estimated useful life of each asset. The cost of improvements is capitalized while the cost of repairs and maintenance is charged to expense as incurred. For the years ended December 31, 2015, 2014 and 2013, repair and maintenance expense totaled $32.8 million, $44.6 million and $31.5 million, respectively.</w:t>
      </w:r>
    </w:p>
    <w:p>
      <w:pPr>
        <w:spacing w:after="0" w:line="204"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Assets used in operations are assessed for impairment whenever changes in facts and circumstances indicate that the carrying amount of an asset or asset group may not be recoverable because such carrying amount may exceed the asset’s or asset group’s fair value. If, upon review, the sum of undiscounted future cash flows expected to be generated by the asset or asset group is less than its carrying amount, an impairment is recorded. The amount of the impairment recorded is calculated as the difference between the carrying amount of the asset or asset group and its estimated fair value. Individual assets are grouped for impairment purposes at the lowest level where there are identifiable cash flows that are largely independent of the cash flows of other groups of assets. The expected future cash flows used for impairment reviews and related fair value calculations are based on assessments of operating costs, project margins and capital project decisions, considering all available information at the date of review.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 These fair value measurements fall within Level 3 of the fair value hierarchy.</w:t>
      </w:r>
    </w:p>
    <w:p>
      <w:pPr>
        <w:spacing w:after="0" w:line="21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Assets are classified as held for sale when a formal plan to dispose of the assets exists and those assets meet the held for sale criteria. Assets held for sale are reviewed for potential loss on sale when we commit to a plan to sell and thereafter while those assets are held for sale. Losses are measured as the difference between an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asset’s fair value less costs to sell and the asset’s carrying amount. Estimates of anticipated sales prices are judgmental and subject to revision in future periods, although initial estimates are typically based on sales prices for similar assets and other valuation data.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4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Interest from external borrowings is capitalized on major projects until the assets are ready for their intended use. Capitalized interest is added to the cost of the underlying asset and is amortized over the useful life of the asset in the same manner as the underlying asset. Capitalized interest is a component of our net interest expense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periodically review our equity investments for impairment. Under the equity method of accounting, an impairment loss would be recorded whenever the fair value of an equity investment is determined to be below its carrying amount and the reduction is considered to be other than temporary. In judging “other than temporary,” we consider the length of time and extent to which the fair value of the investment has been less than the carrying amount of the equity investment, the near-term and long-term operating and financial prospects of the entity and our longer-term intent of retaining our investment in the entity.</w:t>
      </w:r>
    </w:p>
    <w:p>
      <w:pPr>
        <w:spacing w:after="0" w:line="20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the event we incur losses in excess of the carrying amount of an equity investment and reduce our investment balance to zero, we would not record additional losses unless (i) we guaranteed obligations of the investee, (ii) we are otherwise committed to provide further financial support for the investee, or (iii) it is anticipated that the investee’s return to profitability is imminent. If we provided a commitment to fund losses, we would continue to record losses resulting in a negative equity method investment, which is presented as a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We are required to perform an annual impairment analysis of goodwill. We elected November 1 to be our annual impairment assessment date for goodwill. However, we could be required to evaluate the recoverability of goodwill prior to the annual assessment date if we experience disruption to the business, unexpected significant declines in operating results, divestiture of a significant component of the business, emergence of unanticipated competition, loss of key personnel or a sustained decline in market capitalization. At the time of our annual assessment of goodwill on November 1, 2015, we had two reporting units with goodwill.</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first assess qualitative factors in order to determine whether it is more likely than not that the fair value of a reporting unit is less than its carrying amount, including goodwill. Some of the qualitative factors evaluated include, among other things, the results of the most recent impairment analysis, the most recent operating results of the reporting unit, the current outlook for the reporting unit, and the current conditions of the market in which the reporting unit operates. If the qualitative assessment indicates a potential impairment, we perform the first step of the goodwill impairment analysis as described below. Our policy is to bypass the qualitative assessment at least once every three years and perform the first step of the goodwill impairment analysis, which was planned for November 1, 2016. However, we elected to perform the first step of the goodwill impairment analysis on November 1, 2015 given the current oil and gas industry downturn and the sharp decline in our stock price.</w:t>
      </w:r>
    </w:p>
    <w:p>
      <w:pPr>
        <w:spacing w:after="0" w:line="20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goodwill impairment analysis is a two-step process. The first step is to identify whether a potential impairment exists by comparing the fair value of the reporting unit with its carrying amount, including goodwill. If the fair value of a reporting unit exceeds its carrying amount, goodwill of the reporting unit is not considered to have a potential impairment and the second step of the impairment analysis is not necessary. However, if the carrying amount of a reporting unit exceeds its fair value, the second step is performed to determine if goodwill is impaired and to measure the amount of impairment loss to recognize, if any.</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second step compares the implied fair value of goodwill with the carrying amount of goodwill. If the implied fair value of goodwill exceeds the carrying amount, then goodwill is not considered impaired. However, if the carrying amount of goodwill exceeds the implied fair value, an impairment loss is recognized in an amount equal to that excess. The implied fair value of goodwill is determined in the same manner as the amount of goodwill recognized in a business combination (i.e., the fair value of the reporting unit is allocated to all the assets and liabilities, including any unrecognized intangible assets, as if the reporting unit were acquired in a business combination).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We use both the income approach and the market approach to estimate the fair value of our reporting units under the first step of our goodwill impairment analysis. Under the income approach, a discounted cash flow analysis is performed requiring us to make various judgmental assumptions about future revenue, operating margins, growth rates and discount rates. These judgmental assumptions are based on our budgets, long-term business plans, economic projections, anticipated future cash flows and market place data. Under the market approach, the fair value of each reporting unit is calculated by applying an average peer total invested capital EBITDA (defined as earnings before interest, income taxes and depreciation and amortization) multiple to the upcoming fiscal year’s forecasted EBITDA for each reporting unit. Judgment is required when selecting peer companies that operate in the same or similar lines of business and are potentially subject to the same economic risks. We also perform a market capitalization reconciliation by comparing the fair value of equity (fair value of total invested capital less fair value of total debt) to market capitalization and evaluate the reasonableness of the implied equity premium.</w:t>
      </w:r>
    </w:p>
    <w:p>
      <w:pPr>
        <w:spacing w:after="0" w:line="21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goodwill at December 31, 2015, 2014 and 2013 was associated with our Well Intervention and Robotics segments. As a result of our 2015 goodwill impairment analysis, we recorded an impairment charge of $16.4 million to write off the goodwill associated with our U.K. well intervention reporting unit. The fair value of our robotics reporting unit exceeded the carrying amount of goodwill based on the first step of the impairment analysis and no impairment was recorded. In 2014, we performed the qualitative assessment as described above and concluded that there was no indication of goodwill impairment. In our 2013 goodwill impairment analysis, the fair values of both of our reporting units with goodwill exceeded their respective carrying amounts based on the first step of the impairment analysis. We did not record any amount of goodwill impairment in 2014 or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Recertification Costs and Deferred Dry Dock Charges</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Our vessels are required by regulation to be periodically recertified. Recertification costs are incurred while a vessel is in dry dock. In addition, routine repairs and maintenance are performed and at times, major replacements and improvements are performed. We expense routine repairs and maintenance costs as they are incurred. We defer and amortize dry dock and related recertification costs over the length of time for which we expect to receive benefits from the dry dock and related recertification, which is generally 30 months but can be as long as 60 months if the appropriate permitting is obtained. A dry dock and related recertification process typically lasts one to two months, a period during which the vessel is idle and generally not available to earn revenue. Major replacements and improvements that extend the vessel’s economic useful life or functional operating capability are capitalized and depreciated over the vessel’s remaining economic useful life.</w:t>
      </w:r>
    </w:p>
    <w:p>
      <w:pPr>
        <w:spacing w:after="0" w:line="20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December 31, 2015 and 2014, capitalized deferred dry dock charges included within “Other assets, net” in the accompanying consolidated balance sheets (Note 3) totaled $19.6 million and $11.6 million (net of accumulated amortization of $18.3 million and $7.5 million), respectively. During the years ended December 31, 2015, 2014 and 2013, dry dock amortization expense was $10.8 million, $14.1 million and $14.8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Revenues from our services are derived from contracts, which are both short-term and long-term in duration. Our long-term services contracts are contracts that contain either lump-sum provisions or provisions for specific time, material and equipment charges, which are billed in accordance with the terms of such contracts. We recognize revenue as it is earned at estimated collectible amounts. Further, we record revenues net of taxes collected from customers and remitted to governmental authorities.</w:t>
      </w:r>
    </w:p>
    <w:p>
      <w:pPr>
        <w:spacing w:after="0" w:line="204"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Unbilled revenue represents revenue attributable to work completed prior to period end that has not yet been invoiced. All amounts included in unbilled revenue are expected to be billed and collected within one year. However, we also monitor the collectability of our outstanding trade receivables on a continual basis in connection with our evaluation of allowance for doubtful accounts.</w:t>
      </w:r>
    </w:p>
    <w:p>
      <w:pPr>
        <w:spacing w:after="0" w:line="18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i w:val="1"/>
          <w:iCs w:val="1"/>
          <w:color w:val="auto"/>
        </w:rPr>
        <w:t xml:space="preserve">Dayrate Contracts. </w:t>
      </w:r>
      <w:r>
        <w:rPr>
          <w:rFonts w:ascii="Arial" w:cs="Arial" w:eastAsia="Arial" w:hAnsi="Arial"/>
          <w:sz w:val="18"/>
          <w:szCs w:val="18"/>
          <w:color w:val="auto"/>
        </w:rPr>
        <w:t>Revenues generated from specific time, material and equipment contracts are generally earned on a dayrate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amounts are earned in accordance with contract terms. Certain dayrate contracts with built-in rate changes require us to record revenues on a straight-line basis. We may receive revenues for mobilization of equipment and personnel under dayrate contracts. Revenues related to mobilization are deferred and recognized over the period in which contracted services are performed using the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1"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straight-line method. Incremental costs incurred directly for mobilization of equipment and personnel to the contracted site, which typically consist of materials, supplies and transit costs, also are deferred and recognized using the same straight line method. Our policy to amortize the revenues and costs related to mobilization on a straight-line basis over the estimated contract service period is consistent with the general pace of activity, level of services being provided and dayrates being earned over the contract period. Mobilization costs to move vessels when a contract does not exist are expensed as incurred.</w:t>
      </w:r>
    </w:p>
    <w:p>
      <w:pPr>
        <w:spacing w:after="0" w:line="13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i w:val="1"/>
          <w:iCs w:val="1"/>
          <w:color w:val="auto"/>
        </w:rPr>
        <w:t xml:space="preserve">Lump Sum Contracts. </w:t>
      </w:r>
      <w:r>
        <w:rPr>
          <w:rFonts w:ascii="Arial" w:cs="Arial" w:eastAsia="Arial" w:hAnsi="Arial"/>
          <w:sz w:val="18"/>
          <w:szCs w:val="18"/>
          <w:color w:val="auto"/>
        </w:rPr>
        <w:t>Revenue on significant lump sum contracts is recognized under the percentage-of-completion method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ratio of costs incurred to total estimated costs at completion. In determining whether a contract should be accounted for using the percentage-of-completion method, we consider whether:</w:t>
      </w:r>
    </w:p>
    <w:p>
      <w:pPr>
        <w:spacing w:after="0" w:line="14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customer provides specifications for the provision of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 reasonably estimate our progress towards completion and our costs;</w:t>
      </w:r>
    </w:p>
    <w:p>
      <w:pPr>
        <w:spacing w:after="0" w:line="63"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contract includes provisions for enforceable rights regarding the goods or services to be provided, consideration to be received, and the manner and terms of payment;</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customer can be expected to satisfy its obligations under the contract;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can be expected to perform our contractual obligations.</w:t>
      </w:r>
    </w:p>
    <w:p>
      <w:pPr>
        <w:spacing w:after="0" w:line="171"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Under the percentage-of-completion method, we recognize estimated contract revenue based on costs incurred to date as a percentage of total estimated costs. Changes in the expected cost of materials and labor, productivity, scheduling and other factors affect the total estimated costs. Additionally, weather and other external factors outside of our control may affect the progress and estimated cost of a project’s completion, and therefore the timing of revenue recognition. We routinely review estimates related to our contracts and reflect revisions to profitability in earnings on a current basis. If a current estimate of total contract cost indicates an ultimate loss on a contract, we recognize the projected loss in full when it is first determined. We recognize additional contract revenue related to claims when the claim is probable and legally enforceable.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Royalty Interests</w:t>
      </w:r>
    </w:p>
    <w:p>
      <w:pPr>
        <w:spacing w:after="0" w:line="189"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Revenues from royalty interests are recognized according to monthly oil and gas production on an entitlement basis. Revenues for royalty interests are reflected in “Other income - oil and gas” in the accompanying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 We consider the undistributed earnings of our non-U.S. subsidiaries without operations in the U.S. to be permanently reinvested.</w:t>
      </w:r>
    </w:p>
    <w:p>
      <w:pPr>
        <w:spacing w:after="0" w:line="15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It is our policy to provide for uncertain tax positions and the related interest and penalties based upon management’s assessment of whether a tax benefit is more likely than not to be sustained upon examination by tax authorities. At December 31, 2015, we believe that we have appropriately accounted for any unrecognized tax benefits. To the extent we prevail in matters for which a liability for an unrecognized tax benefit is established or are required to pay amounts in excess of the liability, our effective tax rate in a given financial statement period may be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Stock-based compensation cost is measured at the grant date based on the estimated fair value of the award. Stock-based compensation based solely on service conditions is recognized on a straight-line basis over the vesting period of the related shares. Tax deduction benefits for a stock-based award in excess of recognized compensation cost is reported as a financing cash flow rather than as an operating cash flow.</w:t>
      </w:r>
    </w:p>
    <w:p>
      <w:pPr>
        <w:spacing w:after="0" w:line="150"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Compensation cost for restricted stock is the product of grant date fair value of each share and the number of shares granted and is recognized over the respective vesting periods on a straight-line basis.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41" w:right="27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estimated fair value of performance share units (“PSUs”) is determined using a Monte Carlo simulation model. Compensation cost for PSUs that are accounted for as equity awards is measured based on the estimated grant date fair value and recognized over the vesting period on a straight-line basis. Unvested PSUs that are accounted for as liability awards are measured based on the estimated fair value at the balance sheet date and changes in fair value of the awards are recognized in earnings. Cumulative compensation cost for vested PSUs equals the actual cash payout amount upon vesting. To the extent the recognized fair value of the modified liability awards is less than the compensation cost associated with the grant date fair value of the original equity awards at the end of a reporting period, the higher amount is recorded as stock-based compensation expense. The amount of cumulative compensation expense recognized in excess of the fair value of the modified liability awards is recorded in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Because we operate in various regions around the world, we conduct a portion of our business in currencies other than the U.S. dollar (primarily with respect to our North Sea operations). Results of operations for our non-U.S. subsidiaries are translated into U.S. dollars using average exchange rates during the period. Assets and liabilities of these foreign subsidiaries are translated into U.S. dollars using the exchange rate in effect at December 31, 2015 and 2014 and the resulting translation adjustments, which were unrealized losses of $12.8 million and $19.5 million, respectively, are included in “Accumulated other comprehensive loss” (“Accumulated OCI”), a component of shareholders’ equity.</w:t>
      </w:r>
    </w:p>
    <w:p>
      <w:pPr>
        <w:spacing w:after="0" w:line="155"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For the years ended December 31, 2015, 2014 and 2013, our foreign currency transaction gains (losses) totaled $(1.2) million, $2.5 million and $0.7 million, respectively. These realized amounts are exclusive of any gains or losses from our foreign currency exchange derivative contracts. All foreign currency transaction gains and losses are recognized currently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business is exposed to market risks associated with interest rates and foreign currency exchange rates. Our risk management activities involve the use of derivative financial instruments to hedge the impact of market risk exposure related to variable interest rates and foreign currency exchange rates. To reduce the impact of these risks on earnings and increase the predictability of our cash flows, from time to time we enter into certain derivative contracts, including interest rate swaps and foreign currency exchange contracts. All derivatives are reflected in the accompanying consolidated balance sheets at fair value.</w:t>
      </w:r>
    </w:p>
    <w:p>
      <w:pPr>
        <w:spacing w:after="0" w:line="152"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We formally document all relationships between hedging instruments and the related hedged items, as well as our risk management objectives, strategies for undertaking various hedge transactions and our methods for assessing and testing correlation and hedge ineffectiveness. All hedging instruments are linked to the hedged asset, liability, firm commitment or forecasted transaction. We also assess, both at the inception of the hedge and on an on-going basis, whether the derivatives that are designated as hedges are highly effective in offsetting changes in cash flows of the hedged items. We discontinue hedge accounting if we determine that a derivative is no longer highly effective as a hedge, or it is probable that a hedged transaction will not occur. If hedge accounting is discontinued because it is probable the hedged transaction will not occur, deferred gains or losses on the hedging instruments are recognized in earnings immediately. If the forecasted transaction continues to be probable of occurring, any deferred gains or losses in Accumulated OCI are amortized to earnings over the remaining period of the original forecasted transaction.</w:t>
      </w:r>
    </w:p>
    <w:p>
      <w:pPr>
        <w:spacing w:after="0" w:line="15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engage solely in cash flow hedges. Hedges of cash flow exposure are entered into to hedge a forecasted transaction or the variability of cash flows to be received or paid related to a recognized asset or liability. The fair value of our interest rate swaps is calculated as the discounted cash flows of the difference between the rate fixed by the hedge instrument and the LIBOR forward curve over the remaining term of the hedge instrument. The fair value of our foreign currency exchange contracts is calculated as the discounted cash flows of the difference between the fixed payment specified by the hedge instrument and the expected cash inflow of the forecasted transaction using a foreign currency forward curve. Changes in the fair value of derivatives that are designated as cash flow hedges are deferred to the extent that the hedges are effective. These fair value changes are recorded as a component of Accumulated OCI until the hedged transactions occur and are recognized in earnings. The ineffective portion of changes in the fair value of cash flow hedges is recognized immediately in earnings. In addition, any change in the fair value of a derivative that does not qualify for hedge accounting is recorded in earnings in the period in which the change occurs.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8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From time to time, we enter into interest rate swaps to stabilize cash flows related to our long-term variable interest rate debt. Changes in the fair value of interest rate swaps are deferred to the extent the swaps are effective. These changes are recorded as a component of Accumulated OCI until the anticipated interest is recognized as interest expense. The ineffective portion of the interest rate swaps, if any, is recognized immediately in earnings within the line titled “Net interest expense.” The amount of ineffectiveness associated with our interest rate swap contracts was immaterial for all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89"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Because we operate in various regions around the world, we conduct a portion of our business in currencies other than the U.S. dollar. We enter into foreign currency exchange contracts from time to time to stabilize expected cash outflows related to our vessel charters that are denominated in foreign currencies.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for more information regarding our derivative contracts including our oil and gas commodity contracts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presentation of basic earnings per share (“EPS”) amounts on the face of the accompanying consolidated statements of operations is computed by dividing the net income applicable to our common shareholders by the weighted average shares of our outstanding common stock. The calculation of diluted EPS is similar to basic EPS, except that the denominator includes dilutive common stock equivalents and the income included in the numerator excludes the effects of the impact of dilutive common stock equivalents, if any. We have shares of restricted stock issued and outstanding, which currently are unvested. Holders of such shares of unvested restricted stock are entitled to the same liquidation and dividend rights as the holders of our outstanding unrestricted common stock and the shares of restricted stock are thus considered participating securities. Under applicable accounting guidance, the undistributed earnings for each period are allocated based on the participation rights of both the common shareholders and holders of any participating securities as if earnings for the respective periods had been distributed. Because both the liquidation and dividend rights are identical, the undistributed earnings are allocated on a proportionate basis. Further, we are required to compute EPS amounts under the two class method in periods in which we have earnings from continuing operations. For periods in which we have a net loss, we do not use the two class method as holders of our restricted shares are not contractually obligated to share in such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 and Concentration of Credit Risk</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market for our products and services is primarily the offshore oil and gas and renewable industries. Oil and gas companies spend capital on exploration, drilling and production operations, the amount of which is generally dependent on the prevailing view of future oil and gas prices which are subject to many external factors that may contribute to significant volatility. Our customers consist primarily of major and independent oil and gas producers and suppliers, pipeline transmission companies, alternative (renewable) energy companies and offshore engineering and construction firms. We perform ongoing credit evaluations of our customers and provide allowances for probable credit losses when necessary. The percent of consolidated revenue from major customers (those representing 10% or more of our consolidated revenues) is as follows: 2015 — Shell (16%) and Talos (11%), 2014 — Anadarko (13%) and 2013 — Shell (14%). Most of the concentration of revenues was generated by our Well Intervention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14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63" w:lineRule="exact"/>
        <w:rPr>
          <w:rFonts w:ascii="Arial" w:cs="Arial" w:eastAsia="Arial" w:hAnsi="Arial"/>
          <w:sz w:val="18"/>
          <w:szCs w:val="18"/>
          <w:color w:val="auto"/>
        </w:rPr>
      </w:pPr>
    </w:p>
    <w:p>
      <w:pPr>
        <w:ind w:left="660" w:right="9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41"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are based on one or more of three valuation techniques as described in Note 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Pursuant to the terms of the ERT sale transaction, we retained the reclamation obligations associated with one property located in the Gulf of Mexico. During 2013, we paid $5.2 million for our pro-rata share of the costs to complete the reclamation of this property. For the year ended December 31, 2014, we recorded a $7.2 million insurance reimbursement related to asset retirement work previously performed on this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May 2014, the Financial Accounting Standards Board (the “FASB”) issued Accounting Standards Update (“ASU”) No. 2014-09, “Revenue from Contracts with Customers (Topic 606).” This ASU provides a single five-step approach to account for revenue arising from contracts with customers. The ASU requires an entity to recognize revenue in a way that depicts the transfer of promised goods or services to customers in an amount that reflects the consideration to which the entity expects to be entitled in exchange for those goods or services. This revenue standard was originally effective prospectively for annual reporting periods beginning after December 15, 2016, including interim periods. In August 2015, the FASB issued ASU No. 2015-14 to defer the effective date of ASU No. 2014-09 by one year to annual reporting periods beginning after December 15, 2017. Adoption as of the original effective date is permitted. The guidance permits companies to either apply the requirements retrospectively to all prior periods presented, or apply the requirements in the year of adoption through a cumulative adjustment. We are currently evaluating our existing revenue recognition policies to determine which types of contracts are within the scope of this guidance and what impact the adoption of this standard may have on our consolidated financial statements. We have not yet determined if we will apply the full retrospective or the modified retrospective method.</w:t>
      </w:r>
    </w:p>
    <w:p>
      <w:pPr>
        <w:spacing w:after="0" w:line="212"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In April 2015, the FASB issued ASU No. 2015-03, “Simplifying the Presentation of Debt Issuance Costs.” This ASU requires that debt issuance costs related to a recognized debt liability be reported on the balance sheet as a direct deduction from the carrying amount of that debt liability, consistent with debt discounts. The guidance is effective retrospectively beginning in the first quarter of fiscal 2017 and early adoption is permitted. In August 2015, the FASB issued ASU No. 2015-15, “Presentation and Subsequent Measurement of Debt Issuance Costs Associated with Line-of-Credit Arrangements.” This ASU includes an SEC staff announcement that the SEC staff will not object to an entity presenting the cost of securing a revolving line of credit as an asset, regardless of whether a balance is outstanding. The subject of this ASU was not previously addressed by ASU No. 2015-03. We do not expect these two ASUs to materially affect our balance sheets as amounts will be reclassified from long-term assets to partial offsets to long-term debt. The guidance will not affect our statements of operations or statements of cash flows.</w:t>
      </w:r>
    </w:p>
    <w:p>
      <w:pPr>
        <w:spacing w:after="0" w:line="21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July 2015, the FASB issued ASU No. 2015-11, “Simplifying the Measurement of Inventory.” This ASU requires inventory that is measured using first-in, first-out or average cost method to be recorded at the lower of cost and net realizable value. The guidance is effective prospectively for annual reporting periods beginning after December 15, 2016, including interim periods. Early adoption is permitted. We do not expect this guidance to materially affect our consolidated financial statements.</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2015, the FASB issued ASU No. 2015-17, “Balance Sheet Classification of Deferred Taxes.” This ASU requires companies to classify all deferred tax assets and liabilities as non-current on the balance sheet instead of separating deferred taxes into current and non-current amounts. The current requirement that deferred tax liabilities and assets of a tax-paying component of an entity be offset and presented as a single amount is not affected by this guidance. The guidance is effective prospectively for annual reporting periods beginning after December 15, 2016, including interim periods. Early adoption is permitted. We do not expect this guidance to materially affect our consolidated financial statements.</w:t>
      </w:r>
    </w:p>
    <w:p>
      <w:pPr>
        <w:spacing w:after="0" w:line="209"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do not expect any other recent accounting standards to have a material impact on our financial position, results of operations or cash flows.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 receivable (Note 4)</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Other prepaids</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15,541</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Spare parts inventory</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Value added tax receivable</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other current assets</w:t>
            </w:r>
          </w:p>
        </w:tc>
        <w:tc>
          <w:tcPr>
            <w:tcW w:w="3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39,518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51,301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2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 receivable (Note 4)</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Deferred dry dock expenses, net (Note 2)</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costs, net (Note 7)</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Intangible assets with finite lives, net</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Charter fee deposit (Note 14)</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other assets, net</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59,272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Accrued liabilities consisted of the following (in thousands):</w:t>
            </w:r>
          </w:p>
        </w:tc>
        <w:tc>
          <w:tcPr>
            <w:tcW w:w="2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Current asset retirement obligations</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Accrued interest</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7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liability (Note 18)</w:t>
            </w:r>
          </w:p>
        </w:tc>
        <w:tc>
          <w:tcPr>
            <w:tcW w:w="2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6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Taxes payable excluding income tax payable</w:t>
            </w:r>
          </w:p>
        </w:tc>
        <w:tc>
          <w:tcPr>
            <w:tcW w:w="2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57"/>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accrued liabilities</w:t>
            </w:r>
          </w:p>
        </w:tc>
        <w:tc>
          <w:tcPr>
            <w:tcW w:w="3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71,641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104,923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40" w:type="dxa"/>
            <w:vAlign w:val="bottom"/>
            <w:vMerge w:val="restart"/>
          </w:tcPr>
          <w:p>
            <w:pPr>
              <w:jc w:val="right"/>
              <w:ind w:right="2450"/>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8340" w:type="dxa"/>
            <w:vAlign w:val="bottom"/>
            <w:gridSpan w:val="2"/>
          </w:tcPr>
          <w:p>
            <w:pPr>
              <w:ind w:left="660"/>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126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 excess of equity investment (Note 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Derivative liability (Note 18)</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37,767</w:t>
            </w: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5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51,415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38,108</w:t>
            </w:r>
          </w:p>
        </w:tc>
      </w:tr>
      <w:tr>
        <w:trPr>
          <w:trHeight w:val="20"/>
        </w:trPr>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gross components of property and equipment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5720" w:type="dxa"/>
            <w:vAlign w:val="bottom"/>
          </w:tcPr>
          <w:p>
            <w:pPr>
              <w:spacing w:after="0"/>
              <w:rPr>
                <w:sz w:val="22"/>
                <w:szCs w:val="22"/>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Estimated Useful Life</w:t>
            </w:r>
          </w:p>
        </w:tc>
        <w:tc>
          <w:tcPr>
            <w:tcW w:w="340" w:type="dxa"/>
            <w:vAlign w:val="bottom"/>
          </w:tcPr>
          <w:p>
            <w:pPr>
              <w:spacing w:after="0"/>
              <w:rPr>
                <w:sz w:val="22"/>
                <w:szCs w:val="22"/>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572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Vessels</w:t>
            </w: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15 to 30 years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1,944,753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1,657,448</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ROVs, trenchers and ROVDrills</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 years</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311,971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310,841</w:t>
            </w: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equipment, buildings and leasehold improvements</w:t>
            </w: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5 to 30 years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288,133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273,155</w:t>
            </w:r>
          </w:p>
        </w:tc>
      </w:tr>
      <w:tr>
        <w:trPr>
          <w:trHeight w:val="257"/>
        </w:trPr>
        <w:tc>
          <w:tcPr>
            <w:tcW w:w="5720" w:type="dxa"/>
            <w:vAlign w:val="bottom"/>
          </w:tcPr>
          <w:p>
            <w:pPr>
              <w:ind w:left="380"/>
              <w:spacing w:after="0"/>
              <w:rPr>
                <w:sz w:val="20"/>
                <w:szCs w:val="20"/>
                <w:color w:val="auto"/>
              </w:rPr>
            </w:pPr>
            <w:r>
              <w:rPr>
                <w:rFonts w:ascii="Arial" w:cs="Arial" w:eastAsia="Arial" w:hAnsi="Arial"/>
                <w:sz w:val="18"/>
                <w:szCs w:val="18"/>
                <w:color w:val="auto"/>
              </w:rPr>
              <w:t>Total property and equipment</w:t>
            </w: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2,544,857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2,241,444</w:t>
            </w: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In 2012, we entered into an agreement to sell our two remaining subsea construction pipelay vessels,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and related pipelay equipment. In June 2013, we completed the sale of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and related equipment for $138.3 million and recorded a loss on disposal of $1.1 million. In July 2013, we completed the sale of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for $100 million, which resulted in a gain on disposal of $15.6 million.</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January 2014, we sold our spoolbase located in Ingleside, Texas for $45 million. In connection with this sale, we received $15 million in cash and a $30 million secured promissory note. Interest on the note is payable quarterly at a rate of 6% per annum. We received $2.5 million, $7.5 million and $10 million of principal payments on this note in December 2014, January 2015 and December 2015, respectively. Under the terms of the note, the remaining $10 million principal balance is required to be paid on December 31, 2016.</w:t>
      </w:r>
    </w:p>
    <w:p>
      <w:pPr>
        <w:spacing w:after="0" w:line="18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Our assessment at December 31, 2015 indicated impairment on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We impaired these assets based on the difference between the carrying amount and the estimated fair value. The fair value of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was based on its estimated salvage value according to current market pricing. We recorded an impairment charge of $205.2 million to reduce the carrying amount of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to its estimated fair value of $ 1.0 million and to write off deferred dry dock costs of $ 9.0 million associated with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We estimated the fair value of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based on the present value of its expected future cash flows. We recorded an impairment charge of $133.4 million to reduce the carrying amount of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to its estimated fair value of $124.3 million. In addition, we recorded impairment charges of $6.3 million to write off capitalized costs associated with certain vessel projects that we no longer expect to materialize.</w:t>
      </w:r>
    </w:p>
    <w:p>
      <w:pPr>
        <w:spacing w:after="0" w:line="20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In January 2016, we sold our office and warehouse property located in Aberdeen, Scotland for approximately $11 million. At the same time, we entered into a separate agreement to lease back the facility for 15 years with two five-year options to extend the lease.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Equity Investments</w:t>
      </w:r>
    </w:p>
    <w:p>
      <w:pPr>
        <w:spacing w:after="0" w:line="247"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As of December 31, 2015, we had ownership interests in Deepwater Gateway and Independence Hub, both of which are included in our Production Facilities segment.</w:t>
      </w:r>
    </w:p>
    <w:p>
      <w:pPr>
        <w:spacing w:after="0" w:line="178"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i w:val="1"/>
          <w:iCs w:val="1"/>
          <w:color w:val="auto"/>
        </w:rPr>
        <w:t xml:space="preserve">Deepwater Gateway, L.L.C. </w:t>
      </w:r>
      <w:r>
        <w:rPr>
          <w:rFonts w:ascii="Arial" w:cs="Arial" w:eastAsia="Arial" w:hAnsi="Arial"/>
          <w:sz w:val="18"/>
          <w:szCs w:val="18"/>
          <w:color w:val="auto"/>
        </w:rPr>
        <w:t>In June 2002, we, along with Enterprise Products Partners L.P. (“Enterprise”), formed Deepwater</w:t>
      </w:r>
      <w:r>
        <w:rPr>
          <w:rFonts w:ascii="Arial" w:cs="Arial" w:eastAsia="Arial" w:hAnsi="Arial"/>
          <w:sz w:val="18"/>
          <w:szCs w:val="18"/>
          <w:i w:val="1"/>
          <w:iCs w:val="1"/>
          <w:color w:val="auto"/>
        </w:rPr>
        <w:t xml:space="preserve"> </w:t>
      </w:r>
      <w:r>
        <w:rPr>
          <w:rFonts w:ascii="Arial" w:cs="Arial" w:eastAsia="Arial" w:hAnsi="Arial"/>
          <w:sz w:val="18"/>
          <w:szCs w:val="18"/>
          <w:color w:val="auto"/>
        </w:rPr>
        <w:t>Gateway, each with a 50% interest, to design, construct, install, own and operate a tension leg platform production hub primarily for Anadarko Petroleum Corporation’s Marco Polo field in the Deepwater Gulf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Mexico. Our investment in Deepwater Gateway totaled $26.2 million and $80.9 million as of December 31, 2015 and 2014, respectively (including net capitalized interest of $1.2 million as of December 31, 2014). For the year ended December 31, 2015, we recorded losses totaling $49.4 million to account for our 50% share of losses from Deepwater Gateway and to write off the remaining capitalized interest of $1.2 million. These losses included our share of an impairment charge that Deepwater Gateway recorded in December 2015 (see below).</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Independence Hub, LLC. </w:t>
      </w:r>
      <w:r>
        <w:rPr>
          <w:rFonts w:ascii="Arial" w:cs="Arial" w:eastAsia="Arial" w:hAnsi="Arial"/>
          <w:sz w:val="18"/>
          <w:szCs w:val="18"/>
          <w:color w:val="auto"/>
        </w:rPr>
        <w:t>In December 2004, we acquired a 20% interest in Independence Hub, an affiliate of Enterprise.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acquisition, we paid a $1.0 million participation fee. Independence Hub owns the “Independence Hub” platform located in Mississippi Canyon Block 920 in a water depth of 8,000 feet. As of December 31, 2014, our investment in Independence Hub was $ 68.8 million (including net capitalized interest of $3.9 million). As of December 31, 2015, our share of the losses reported by Independence Hub exceeded the carrying amount of our investment by $8.3 million. This liability is reflected in “Other non-current liabilities” in the accompanying consolidated balance sheet. For the year ended December 31, 2015, we recorded losses totaling $74.9 million to account for our 20% share of losses from Independence Hub and to write off the $1.0 million participation fee and the remaining capitalized interest of $3.6 million. These losses included our share of an impairment charge that Independence Hub recorded in December 2015 (see below).</w:t>
      </w:r>
    </w:p>
    <w:p>
      <w:pPr>
        <w:spacing w:after="0" w:line="203"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In July 2015, Enterprise sold its offshore Gulf of Mexico pipelines and services business to Genesis Energy, L.P. (“Genesis”) for approximately $1.5 billion. Enterprise’s ownership interests in both Deepwater Gateway and Independence Hub were included in the sale. In December 2015, we were notified by Genesis that the operator of the facility no longer forecasted utilization of the “Independence Hub” platform and planned to turn over the platform for decommissioning. In December 2015, Independence Hub recorded an impairment charge of $343.3 million to reduce the carrying amount of the platform assets to their estimated fair value of zero. Independence Hub’s estimated asset retirement obligations as of December 31, 2015 amounted to $42.1 million reflecting the estimated costs to decommission the platform. Since we are committed to providing the necessary level of financial support to enable Independence Hub to pay its obligations as they become due, we recorded a liability of $8.3 million for our share of the estimated obligations, net of remaining working capital. Additionally in</w:t>
      </w:r>
    </w:p>
    <w:p>
      <w:pPr>
        <w:spacing w:after="0" w:line="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December 2015, Deepwater Gateway recorded an impairment charge of $ 96.7 million to reduce the carrying amount of its long-lived assets to their estimated fair value of $70.8 million. Deepwater Gateway’s estimated asset retirement obligations as of December 31, 2015 amounted to $20.8 million. In February 2016, we received a cash distribution of $1.2 million and sold our ownership interest in Deepwater Gateway to a subsidiary of Genesis for $25 million.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received the following distributions from our equity method investments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Deepwater Gateway</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Independence Hub</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4,660</w:t>
            </w: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12,260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aggregated financial information related to our equity method investments is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37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3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23,284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32,943</w:t>
            </w: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10,058</w:t>
            </w: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10,058</w:t>
            </w:r>
          </w:p>
        </w:tc>
      </w:tr>
      <w:tr>
        <w:trPr>
          <w:trHeight w:val="675"/>
        </w:trPr>
        <w:tc>
          <w:tcPr>
            <w:tcW w:w="3780" w:type="dxa"/>
            <w:vAlign w:val="bottom"/>
          </w:tcPr>
          <w:p>
            <w:pPr>
              <w:spacing w:after="0"/>
              <w:rPr>
                <w:sz w:val="24"/>
                <w:szCs w:val="24"/>
                <w:color w:val="auto"/>
              </w:rPr>
            </w:pPr>
          </w:p>
        </w:tc>
        <w:tc>
          <w:tcPr>
            <w:tcW w:w="2960" w:type="dxa"/>
            <w:vAlign w:val="bottom"/>
          </w:tcPr>
          <w:p>
            <w:pPr>
              <w:jc w:val="right"/>
              <w:ind w:right="85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49"/>
        </w:trPr>
        <w:tc>
          <w:tcPr>
            <w:tcW w:w="126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12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w:t>
            </w:r>
          </w:p>
        </w:tc>
      </w:tr>
      <w:tr>
        <w:trPr>
          <w:trHeight w:val="26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70,812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475,789</w:t>
            </w:r>
          </w:p>
        </w:tc>
      </w:tr>
      <w:tr>
        <w:trPr>
          <w:trHeight w:val="27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62,951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5,237</w:t>
            </w:r>
          </w:p>
        </w:tc>
      </w:tr>
      <w:tr>
        <w:trPr>
          <w:trHeight w:val="405"/>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6 — Goodwill</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920" w:type="dxa"/>
            <w:vAlign w:val="bottom"/>
            <w:gridSpan w:val="3"/>
          </w:tcPr>
          <w:p>
            <w:pPr>
              <w:ind w:left="660"/>
              <w:spacing w:after="0"/>
              <w:rPr>
                <w:sz w:val="20"/>
                <w:szCs w:val="20"/>
                <w:color w:val="auto"/>
              </w:rPr>
            </w:pPr>
            <w:r>
              <w:rPr>
                <w:rFonts w:ascii="Arial" w:cs="Arial" w:eastAsia="Arial" w:hAnsi="Arial"/>
                <w:sz w:val="18"/>
                <w:szCs w:val="18"/>
                <w:color w:val="auto"/>
              </w:rPr>
              <w:t>The changes in the carrying amount of goodwill are as follows (in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2"/>
        </w:trPr>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Well</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6"/>
        </w:trPr>
        <w:tc>
          <w:tcPr>
            <w:tcW w:w="126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Intervention</w:t>
            </w:r>
          </w:p>
        </w:tc>
        <w:tc>
          <w:tcPr>
            <w:tcW w:w="24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Robotics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63,230</w:t>
            </w:r>
          </w:p>
        </w:tc>
      </w:tr>
      <w:tr>
        <w:trPr>
          <w:trHeight w:val="270"/>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50"/>
        </w:trPr>
        <w:tc>
          <w:tcPr>
            <w:tcW w:w="6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17,039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62,146</w:t>
            </w:r>
          </w:p>
        </w:tc>
      </w:tr>
      <w:tr>
        <w:trPr>
          <w:trHeight w:val="26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Impairment loss</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(16,399)</w:t>
            </w:r>
          </w:p>
        </w:tc>
      </w:tr>
      <w:tr>
        <w:trPr>
          <w:trHeight w:val="277"/>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45,107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45,107</w:t>
            </w: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foreign currency adjustment related to the goodwill of our U.K. well intervention reporting unit.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 Long-Term Debt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8340" w:type="dxa"/>
            <w:vAlign w:val="bottom"/>
          </w:tcPr>
          <w:p>
            <w:pPr>
              <w:ind w:left="660"/>
              <w:spacing w:after="0"/>
              <w:rPr>
                <w:sz w:val="20"/>
                <w:szCs w:val="20"/>
                <w:color w:val="auto"/>
              </w:rPr>
            </w:pPr>
            <w:r>
              <w:rPr>
                <w:rFonts w:ascii="Arial" w:cs="Arial" w:eastAsia="Arial" w:hAnsi="Arial"/>
                <w:sz w:val="18"/>
                <w:szCs w:val="18"/>
                <w:color w:val="auto"/>
              </w:rPr>
              <w:t>Long-term debt consists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(matures June 2018)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277,500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2032 Notes (mature March 2032)</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MARAD Debt (matures February 2027)</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94,792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Nordea Q5000 Loan (matures April 2020)</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232,143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discount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w:t>
            </w:r>
          </w:p>
        </w:tc>
      </w:tr>
      <w:tr>
        <w:trPr>
          <w:trHeight w:val="250"/>
        </w:trPr>
        <w:tc>
          <w:tcPr>
            <w:tcW w:w="834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761,328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551,372</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(28,144)</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689,688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523,228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43"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In June 2013, we entered into a credit agreement (the “Credit Agreement”) with a group of lenders pursuant to which we borrowed $300 million under the Credit Agreement’s term loan (the “Term Loan”) and, subject to the terms of the Credit Agreement, may borrow additional amounts (the “Revolving Loans”) and/or obtain letters of credit under a revolving credit facility (the “Revolving Credit Facility”) up to $600 million. Subject to existing lender participation and/or the participation of new lenders, and subject to standard conditions precedent, we may obtain an increase of up to $200 million in aggregate commitments with respect to the Revolving Credit Facility, additional term loans or a combination thereof. As of December 31, 2015, we had no borrowings under the Revolving Credit Facility and our available borrowing capacity under that facility, based on the leverage ratio covenant, totaled $249.4 million, net of $13.2 million of letters of credit issued.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Term Loan and the Revolving Loans (together, the “Loans”) bear interest, at our election, in relation to either the base rate established by Bank of America N.A. or to a LIBOR rate, provided that all Swing Line Loans (as defined in the Credit Agreement) will be base rate loans.</w:t>
      </w:r>
    </w:p>
    <w:p>
      <w:pPr>
        <w:spacing w:after="0" w:line="20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Loans or portions thereof bearing interest at the base rate currently bear interest at a per annum rate equal to the base rate plus a margin ranging from 1.00% to 3.00%. The Loans or portions thereof bearing interest at a LIBOR rate currently bear interest at the LIBOR rate selected by us plus a margin ranging from 2.00% to 4.00%. A letter of credit fee is payable by us equal to our applicable margin for LIBOR rate Loans multiplied by the daily amount available to be drawn under outstanding letters of credit. Margins on the Loans vary in relation to the consolidated coverage ratio, as provided by the Credit Agreement. We currently also pay a fixed commitment fee of 0.50% on the unused portion of our Revolving Credit Facility. The Term Loan currently bears interest at the one-month LIBOR rate plus 2.75%. In September 2013, we entered into various interest rate swap contracts to fix the one-month LIBOR rate on $148.1 million of our borrowings under the Term Loan (Note 18). The fixed LIBOR rates are between 74 and 75 basis points.</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Term Loan is repayable in scheduled principal installments of 5% in each of the initial two loan years ($15 million per year), and 10% in each of the remaining three loan years ($30 million per year), payable quarterly, with a balloon payment of $180 million at maturity. These installment amounts are subject to adjustment for any prepayments on the Term Loan. We may elect to prepay amounts outstanding under the Term Loan without premium or penalty, but may not reborrow any amounts prepaid. We may prepay amounts outstanding under the Revolving Loans without premium or penalty, and may reborrow any amounts paid up to the amount of the Revolving Credit Facility. The Loans mature on June 19, 2018. In certain circumstances, we will be required to prepay the Loans.</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Credit Agreement and the other documents entered into in connection with the Credit Agreement (together, the “Loan Documents”) include terms and conditions, including covenants, which we consider customary for this type of transaction. The covenants include restrictions on our and our subsidiaries’ ability to grant liens, incur indebtedness, make investments, merge or consolidate, sell or transfer assets, pay dividends and incur capital expenditures. In addition, the Credit Agreement obligates us to meet certain financial ratios, including the Consolidated Interest Coverage Ratio and the Consolidated Leverage Ratio (as defined in the Credit Agreement). In January 2016, we amended the Credit Agreement to permit the sale and lease back of certain office and warehouse property located in Aberdeen, Scotland as well as the disposition of that property.</w:t>
      </w:r>
    </w:p>
    <w:p>
      <w:pPr>
        <w:spacing w:after="0" w:line="207"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May 2015 and in February 2016, we amended the Credit Agreement to revise the maximum permitted Consolidated Leverage Ratio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468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Maximum Consolidated Leverage Ratio</w:t>
            </w:r>
          </w:p>
        </w:tc>
      </w:tr>
      <w:tr>
        <w:trPr>
          <w:trHeight w:val="207"/>
        </w:trPr>
        <w:tc>
          <w:tcPr>
            <w:tcW w:w="6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February 2016</w:t>
            </w:r>
          </w:p>
        </w:tc>
      </w:tr>
      <w:tr>
        <w:trPr>
          <w:trHeight w:val="246"/>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Four Fiscal Quarters Ending</w:t>
            </w:r>
          </w:p>
        </w:tc>
        <w:tc>
          <w:tcPr>
            <w:tcW w:w="2420" w:type="dxa"/>
            <w:vAlign w:val="bottom"/>
            <w:gridSpan w:val="3"/>
          </w:tcPr>
          <w:p>
            <w:pPr>
              <w:ind w:left="220"/>
              <w:spacing w:after="0"/>
              <w:rPr>
                <w:sz w:val="20"/>
                <w:szCs w:val="20"/>
                <w:color w:val="auto"/>
              </w:rPr>
            </w:pPr>
            <w:r>
              <w:rPr>
                <w:rFonts w:ascii="Arial" w:cs="Arial" w:eastAsia="Arial" w:hAnsi="Arial"/>
                <w:sz w:val="18"/>
                <w:szCs w:val="18"/>
                <w:b w:val="1"/>
                <w:bCs w:val="1"/>
                <w:color w:val="auto"/>
              </w:rPr>
              <w:t>May 2015 Amendment</w:t>
            </w: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Amendment</w:t>
            </w:r>
          </w:p>
        </w:tc>
      </w:tr>
      <w:tr>
        <w:trPr>
          <w:trHeight w:val="324"/>
        </w:trPr>
        <w:tc>
          <w:tcPr>
            <w:tcW w:w="67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4.00</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right="950"/>
              <w:spacing w:after="0"/>
              <w:rPr>
                <w:sz w:val="20"/>
                <w:szCs w:val="20"/>
                <w:color w:val="auto"/>
              </w:rPr>
            </w:pPr>
            <w:r>
              <w:rPr>
                <w:rFonts w:ascii="Arial" w:cs="Arial" w:eastAsia="Arial" w:hAnsi="Arial"/>
                <w:sz w:val="18"/>
                <w:szCs w:val="18"/>
                <w:color w:val="auto"/>
                <w:w w:val="99"/>
              </w:rPr>
              <w:t>—</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September 30, 2015 through and including March 31, 2016</w:t>
            </w:r>
          </w:p>
        </w:tc>
        <w:tc>
          <w:tcPr>
            <w:tcW w:w="1120" w:type="dxa"/>
            <w:vAlign w:val="bottom"/>
          </w:tcPr>
          <w:p>
            <w:pPr>
              <w:ind w:left="700"/>
              <w:spacing w:after="0"/>
              <w:rPr>
                <w:sz w:val="20"/>
                <w:szCs w:val="20"/>
                <w:color w:val="auto"/>
              </w:rPr>
            </w:pPr>
            <w:r>
              <w:rPr>
                <w:rFonts w:ascii="Arial" w:cs="Arial" w:eastAsia="Arial" w:hAnsi="Arial"/>
                <w:sz w:val="18"/>
                <w:szCs w:val="18"/>
                <w:color w:val="auto"/>
              </w:rPr>
              <w:t>4.50</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220" w:type="dxa"/>
            <w:vAlign w:val="bottom"/>
          </w:tcPr>
          <w:p>
            <w:pPr>
              <w:ind w:left="120"/>
              <w:spacing w:after="0"/>
              <w:rPr>
                <w:sz w:val="20"/>
                <w:szCs w:val="20"/>
                <w:color w:val="auto"/>
              </w:rPr>
            </w:pPr>
            <w:r>
              <w:rPr>
                <w:rFonts w:ascii="Arial" w:cs="Arial" w:eastAsia="Arial" w:hAnsi="Arial"/>
                <w:sz w:val="18"/>
                <w:szCs w:val="18"/>
                <w:color w:val="auto"/>
              </w:rPr>
              <w:t>to 1.00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4.50</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1.00</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September 30, 2016 through and including December 31, 2016</w:t>
            </w:r>
          </w:p>
        </w:tc>
        <w:tc>
          <w:tcPr>
            <w:tcW w:w="1120" w:type="dxa"/>
            <w:vAlign w:val="bottom"/>
          </w:tcPr>
          <w:p>
            <w:pPr>
              <w:ind w:left="700"/>
              <w:spacing w:after="0"/>
              <w:rPr>
                <w:sz w:val="20"/>
                <w:szCs w:val="20"/>
                <w:color w:val="auto"/>
              </w:rPr>
            </w:pPr>
            <w:r>
              <w:rPr>
                <w:rFonts w:ascii="Arial" w:cs="Arial" w:eastAsia="Arial" w:hAnsi="Arial"/>
                <w:sz w:val="18"/>
                <w:szCs w:val="18"/>
                <w:color w:val="auto"/>
              </w:rPr>
              <w:t>4.50</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220" w:type="dxa"/>
            <w:vAlign w:val="bottom"/>
          </w:tcPr>
          <w:p>
            <w:pPr>
              <w:ind w:left="120"/>
              <w:spacing w:after="0"/>
              <w:rPr>
                <w:sz w:val="20"/>
                <w:szCs w:val="20"/>
                <w:color w:val="auto"/>
              </w:rPr>
            </w:pPr>
            <w:r>
              <w:rPr>
                <w:rFonts w:ascii="Arial" w:cs="Arial" w:eastAsia="Arial" w:hAnsi="Arial"/>
                <w:sz w:val="18"/>
                <w:szCs w:val="18"/>
                <w:color w:val="auto"/>
              </w:rPr>
              <w:t>to 1.00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4.00</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1.00</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120" w:type="dxa"/>
            <w:vAlign w:val="bottom"/>
          </w:tcPr>
          <w:p>
            <w:pPr>
              <w:ind w:left="700"/>
              <w:spacing w:after="0"/>
              <w:rPr>
                <w:sz w:val="20"/>
                <w:szCs w:val="20"/>
                <w:color w:val="auto"/>
              </w:rPr>
            </w:pPr>
            <w:r>
              <w:rPr>
                <w:rFonts w:ascii="Arial" w:cs="Arial" w:eastAsia="Arial" w:hAnsi="Arial"/>
                <w:sz w:val="18"/>
                <w:szCs w:val="18"/>
                <w:color w:val="auto"/>
              </w:rPr>
              <w:t>3.50</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1220" w:type="dxa"/>
            <w:vAlign w:val="bottom"/>
          </w:tcPr>
          <w:p>
            <w:pPr>
              <w:ind w:left="120"/>
              <w:spacing w:after="0"/>
              <w:rPr>
                <w:sz w:val="20"/>
                <w:szCs w:val="20"/>
                <w:color w:val="auto"/>
              </w:rPr>
            </w:pPr>
            <w:r>
              <w:rPr>
                <w:rFonts w:ascii="Arial" w:cs="Arial" w:eastAsia="Arial" w:hAnsi="Arial"/>
                <w:sz w:val="18"/>
                <w:szCs w:val="18"/>
                <w:color w:val="auto"/>
              </w:rPr>
              <w:t>to 1.00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3.50</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1.00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2017 and each fiscal quarter thereafter</w:t>
            </w:r>
          </w:p>
        </w:tc>
        <w:tc>
          <w:tcPr>
            <w:tcW w:w="1120" w:type="dxa"/>
            <w:vAlign w:val="bottom"/>
          </w:tcPr>
          <w:p>
            <w:pPr>
              <w:ind w:left="700"/>
              <w:spacing w:after="0"/>
              <w:rPr>
                <w:sz w:val="20"/>
                <w:szCs w:val="20"/>
                <w:color w:val="auto"/>
              </w:rPr>
            </w:pPr>
            <w:r>
              <w:rPr>
                <w:rFonts w:ascii="Arial" w:cs="Arial" w:eastAsia="Arial" w:hAnsi="Arial"/>
                <w:sz w:val="18"/>
                <w:szCs w:val="18"/>
                <w:color w:val="auto"/>
              </w:rPr>
              <w:t>3.50</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to 1.00</w:t>
            </w: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1220" w:type="dxa"/>
            <w:vAlign w:val="bottom"/>
          </w:tcPr>
          <w:p>
            <w:pPr>
              <w:ind w:left="120"/>
              <w:spacing w:after="0"/>
              <w:rPr>
                <w:sz w:val="20"/>
                <w:szCs w:val="20"/>
                <w:color w:val="auto"/>
              </w:rPr>
            </w:pPr>
            <w:r>
              <w:rPr>
                <w:rFonts w:ascii="Arial" w:cs="Arial" w:eastAsia="Arial" w:hAnsi="Arial"/>
                <w:sz w:val="18"/>
                <w:szCs w:val="18"/>
                <w:color w:val="auto"/>
              </w:rPr>
              <w:t>to 1.00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pursuant to the February 2016 amendment to the Credit Agreement,</w:t>
      </w:r>
    </w:p>
    <w:p>
      <w:pPr>
        <w:spacing w:after="0" w:line="225" w:lineRule="exact"/>
        <w:rPr>
          <w:sz w:val="20"/>
          <w:szCs w:val="20"/>
          <w:color w:val="auto"/>
        </w:rPr>
      </w:pPr>
    </w:p>
    <w:p>
      <w:pPr>
        <w:ind w:left="5620" w:right="1780" w:hanging="5288"/>
        <w:spacing w:after="0" w:line="794"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revolving credit facility commitment under the Credit Agreement decreased from $600 million to $400 million. 69</w:t>
      </w:r>
    </w:p>
    <w:p>
      <w:pPr>
        <w:sectPr>
          <w:pgSz w:w="11900" w:h="16838" w:orient="portrait"/>
          <w:cols w:equalWidth="0" w:num="1">
            <w:col w:w="11420"/>
          </w:cols>
          <w:pgMar w:left="240" w:top="14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520"/>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(b) The minimum permitted Consolidated Interest Coverage Ratio was revised as follows:</w:t>
            </w: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2"/>
        </w:trPr>
        <w:tc>
          <w:tcPr>
            <w:tcW w:w="1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Minimum Consolidated</w:t>
            </w:r>
          </w:p>
        </w:tc>
      </w:tr>
      <w:tr>
        <w:trPr>
          <w:trHeight w:val="246"/>
        </w:trPr>
        <w:tc>
          <w:tcPr>
            <w:tcW w:w="8240" w:type="dxa"/>
            <w:vAlign w:val="bottom"/>
            <w:gridSpan w:val="2"/>
          </w:tcPr>
          <w:p>
            <w:pPr>
              <w:ind w:left="500"/>
              <w:spacing w:after="0"/>
              <w:rPr>
                <w:sz w:val="20"/>
                <w:szCs w:val="20"/>
                <w:color w:val="auto"/>
              </w:rPr>
            </w:pPr>
            <w:r>
              <w:rPr>
                <w:rFonts w:ascii="Arial" w:cs="Arial" w:eastAsia="Arial" w:hAnsi="Arial"/>
                <w:sz w:val="18"/>
                <w:szCs w:val="18"/>
                <w:b w:val="1"/>
                <w:bCs w:val="1"/>
                <w:color w:val="auto"/>
              </w:rPr>
              <w:t>Four Fiscal Quarters Ending</w:t>
            </w: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Interest Coverage Ratio</w:t>
            </w:r>
          </w:p>
        </w:tc>
      </w:tr>
      <w:tr>
        <w:trPr>
          <w:trHeight w:val="324"/>
        </w:trPr>
        <w:tc>
          <w:tcPr>
            <w:tcW w:w="1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2016 through and including September 30, 2016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1.00</w:t>
            </w:r>
          </w:p>
        </w:tc>
      </w:tr>
      <w:tr>
        <w:trPr>
          <w:trHeight w:val="250"/>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December 31, 2016 through and including March 31, 2017</w:t>
            </w:r>
          </w:p>
        </w:tc>
        <w:tc>
          <w:tcPr>
            <w:tcW w:w="1540" w:type="dxa"/>
            <w:vAlign w:val="bottom"/>
          </w:tcPr>
          <w:p>
            <w:pPr>
              <w:jc w:val="right"/>
              <w:spacing w:after="0"/>
              <w:rPr>
                <w:sz w:val="20"/>
                <w:szCs w:val="20"/>
                <w:color w:val="auto"/>
              </w:rPr>
            </w:pPr>
            <w:r>
              <w:rPr>
                <w:rFonts w:ascii="Arial" w:cs="Arial" w:eastAsia="Arial" w:hAnsi="Arial"/>
                <w:sz w:val="18"/>
                <w:szCs w:val="18"/>
                <w:color w:val="auto"/>
              </w:rPr>
              <w:t>2.75</w:t>
            </w:r>
          </w:p>
        </w:tc>
        <w:tc>
          <w:tcPr>
            <w:tcW w:w="1640" w:type="dxa"/>
            <w:vAlign w:val="bottom"/>
          </w:tcPr>
          <w:p>
            <w:pPr>
              <w:ind w:left="80"/>
              <w:spacing w:after="0"/>
              <w:rPr>
                <w:sz w:val="20"/>
                <w:szCs w:val="20"/>
                <w:color w:val="auto"/>
              </w:rPr>
            </w:pPr>
            <w:r>
              <w:rPr>
                <w:rFonts w:ascii="Arial" w:cs="Arial" w:eastAsia="Arial" w:hAnsi="Arial"/>
                <w:sz w:val="18"/>
                <w:szCs w:val="18"/>
                <w:color w:val="auto"/>
              </w:rPr>
              <w:t>to 1.00</w:t>
            </w:r>
          </w:p>
        </w:tc>
      </w:tr>
      <w:tr>
        <w:trPr>
          <w:trHeight w:val="26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30, 2017 and each fiscal quarter thereafter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1.00</w:t>
            </w:r>
          </w:p>
        </w:tc>
      </w:tr>
      <w:tr>
        <w:trPr>
          <w:trHeight w:val="486"/>
        </w:trPr>
        <w:tc>
          <w:tcPr>
            <w:tcW w:w="9780" w:type="dxa"/>
            <w:vAlign w:val="bottom"/>
            <w:gridSpan w:val="3"/>
          </w:tcPr>
          <w:p>
            <w:pPr>
              <w:ind w:left="340"/>
              <w:spacing w:after="0"/>
              <w:rPr>
                <w:sz w:val="20"/>
                <w:szCs w:val="20"/>
                <w:color w:val="auto"/>
              </w:rPr>
            </w:pPr>
            <w:r>
              <w:rPr>
                <w:rFonts w:ascii="Arial" w:cs="Arial" w:eastAsia="Arial" w:hAnsi="Arial"/>
                <w:sz w:val="18"/>
                <w:szCs w:val="18"/>
                <w:color w:val="auto"/>
              </w:rPr>
              <w:t>(c) We are required to maintain minimum cash balances based on Consolidated Leverage Ratio as follows:</w:t>
            </w:r>
          </w:p>
        </w:tc>
        <w:tc>
          <w:tcPr>
            <w:tcW w:w="1640" w:type="dxa"/>
            <w:vAlign w:val="bottom"/>
          </w:tcPr>
          <w:p>
            <w:pPr>
              <w:spacing w:after="0"/>
              <w:rPr>
                <w:sz w:val="24"/>
                <w:szCs w:val="24"/>
                <w:color w:val="auto"/>
              </w:rPr>
            </w:pPr>
          </w:p>
        </w:tc>
      </w:tr>
      <w:tr>
        <w:trPr>
          <w:trHeight w:val="385"/>
        </w:trPr>
        <w:tc>
          <w:tcPr>
            <w:tcW w:w="8240" w:type="dxa"/>
            <w:vAlign w:val="bottom"/>
            <w:gridSpan w:val="2"/>
          </w:tcPr>
          <w:p>
            <w:pPr>
              <w:ind w:left="500"/>
              <w:spacing w:after="0"/>
              <w:rPr>
                <w:sz w:val="20"/>
                <w:szCs w:val="20"/>
                <w:color w:val="auto"/>
              </w:rPr>
            </w:pPr>
            <w:r>
              <w:rPr>
                <w:rFonts w:ascii="Arial" w:cs="Arial" w:eastAsia="Arial" w:hAnsi="Arial"/>
                <w:sz w:val="18"/>
                <w:szCs w:val="18"/>
                <w:b w:val="1"/>
                <w:bCs w:val="1"/>
                <w:color w:val="auto"/>
              </w:rPr>
              <w:t>Consolidated Leverage Ratio</w:t>
            </w: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Minimum Cash</w:t>
            </w:r>
          </w:p>
        </w:tc>
      </w:tr>
      <w:tr>
        <w:trPr>
          <w:trHeight w:val="324"/>
        </w:trPr>
        <w:tc>
          <w:tcPr>
            <w:tcW w:w="1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Greater than or equal to 4.50x</w:t>
            </w:r>
          </w:p>
        </w:tc>
        <w:tc>
          <w:tcPr>
            <w:tcW w:w="3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$150,000,000.00</w:t>
            </w:r>
          </w:p>
        </w:tc>
      </w:tr>
      <w:tr>
        <w:trPr>
          <w:trHeight w:val="250"/>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Greater than or equal to 4.00x but less than 4.50x</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9"/>
              </w:rPr>
              <w:t>$100,000,000.00</w:t>
            </w:r>
          </w:p>
        </w:tc>
      </w:tr>
      <w:tr>
        <w:trPr>
          <w:trHeight w:val="26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Greater than or equal to 3.50x but less than 4.00x</w:t>
            </w:r>
          </w:p>
        </w:tc>
        <w:tc>
          <w:tcPr>
            <w:tcW w:w="3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$50,000,000.00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Less than 3.50x</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rPr>
              <w:t>$0.00</w:t>
            </w:r>
          </w:p>
        </w:tc>
      </w:tr>
    </w:tbl>
    <w:p>
      <w:pPr>
        <w:spacing w:after="0" w:line="22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designated five of our foreign subsidiaries, and may designate any newly established foreign subsidiaries, as subsidiaries that are not generally subject to the covenants in the Credit Agreement (the “Unrestricted Subsidiaries”), provided we meet certain liquidity requirements, in which case EBITDA (net of cash distributions to the parent) of the Unrestricted Subsidiaries is not included in the calculations with respect to our financial covenants. Our obligations under the Credit Agreement are guaranteed by our wholly owned domestic subsidiaries (except Cal Dive I – Title XI, Inc.) and Canyon Offshore Limited, a wholly owned Scottish subsidiary. Our obligations under the Credit Agreement, and of the guarantors under their guaranty, are secured by most of our assets of the parent and our wholly owned domestic subsidiaries (except Cal Dive I – Title XI, Inc.) and Canyon Offshore Limited, plus pledges of up to two-thirds of the shares of certain foreign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2032</w:t>
      </w:r>
    </w:p>
    <w:p>
      <w:pPr>
        <w:spacing w:after="0" w:line="24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March 2012, we completed a public offering and sale of $200 million in aggregate principal amount of Convertible Senior Notes due 2032 (the “2032 Notes”). The 2032 Notes bear interest at a rate of 3.25% per annum, and are payable semi-annually in arrears on March 15 and September 15 of each year, beginning on September 15, 2012. The 2032 Notes mature on March 15, 2032 unless earlier converted, redeemed or repurchased. The 2032 Notes are convertible in certain circumstances and during certain periods at an initial conversion rate of 39.9752 shares of common stock per $1,000 principal amount (which represents an initial conversion price of approximately $25.02 per share of common stock), subject to adjustment in certain circumstances as set forth in the Indenture governing the 2032 Notes. We have the right and the intention to settle any such future conversions in cash.</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Prior to March 20, 2018, the 2032 Notes are not redeemable. On or after March 20, 2018, we, at our option, may redeem some or all of the 2032 Notes in cash, at any time upon at least 30 days’ notice, at a price equal to 100% of the principal amount plus accrued and unpaid interest (including contingent interest, if any) up to but excluding the redemption date. In addition, the holders of the 2032 Notes may require us to purchase in cash some or all of their 2032 Notes at a repurchase price equal to 100% of the principal amount of the 2032 Notes, plus accrued and unpaid interest (including contingent interest, if any) up to but excluding the applicable repurchase date, on March 15, 2018, March 15, 2022 and March 15, 2027, or, subject to specified exceptions, at any time prior to the 2032 Notes’ maturity following a fundamental change (as defined in the Indenture governing the 2032 Notes).</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connection with the issuance of the 2032 Notes, we recorded a debt discount of $35.4 million as required under existing accounting rules. To arrive at this discount amount, we estimated the fair value of the liability component of the 2032 Notes as of the date of their issuance (March 12, 2012) using an income approach. To determine this estimated fair value, we used borrowing rates of similar market transactions involving comparable liabilities at the time of issuance and an expected life of 6 years. In selecting the expected life, we selected the earliest date the holders could require us to repurchase all or a portion of the 2032 Notes (March 15, 2018). The effective interest rate for the 2032 Notes is 6.9% after considering the effect of the accretion of the related debt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discount that represented the equity component of the 2032 Notes at their inception. We recorded $22.5 million related to the carrying amount of the equity component of the 2032 Notes. The remaining unamortized amount of the debt discount of the 2032 Notes was $15.0 million and $20.9 million at December 31, 2015 and 2014,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MARAD Debt</w:t>
      </w:r>
    </w:p>
    <w:p>
      <w:pPr>
        <w:spacing w:after="0" w:line="24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 xml:space="preserve">This U.S. government guaranteed financing (the “MARAD Debt”) is pursuant to Title XI of the Merchant Marine Act of 1936 administered by the Maritime Administration, and was used to finance the construction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MARAD Debt is payable in equal semi-annual installments beginning in August 2002 and matures in February 2027.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is guaranteed 50% by us, and initially bore interest at a floating rate that approximated AAA Commercial Paper yields plus 20 basis points. As required by the MARAD Debt agreements, in September 2005, we fixed the interest rate on the debt through the issuance of a 4.93% fixed-rate note with the same maturity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Nordea Credit Agreement</w:t>
      </w:r>
    </w:p>
    <w:p>
      <w:pPr>
        <w:spacing w:after="0" w:line="243"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 xml:space="preserve">In September 2014, a wholly owned subsidiary incorporated in Luxembourg, Helix Q5000 Holdings S.à r.l. (“Q5000 Holdings”), entered into a credit agreement (the “Nordea Credit Agreement”) with a syndicated bank lending group for a term loan (the “Nordea Q5000 Loan”) in an amount of up to $250 million. The Nordea Q5000 Loan was funded in the amount of $ 250 million in April 2015 at the time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vessel was delivered. The parent company of Q5000 Holdings, Helix Vessel Finance S.à r.l., also a wholly owned Luxembourg subsidiary, guaranteed the Nordea Q5000 Loan. The loan is secured by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its charter earnings as well as by a pledge of the shares of Q5000 Holdings. This indebtedness is non-recourse to Helix.</w:t>
      </w:r>
    </w:p>
    <w:p>
      <w:pPr>
        <w:spacing w:after="0" w:line="20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Nordea Q5000 Loan bears interest at a LIBOR rate plus a margin of 2.5%, with an undrawn fee of 0.875% prior to funding on April 30, 2015. The Nordea Q5000 Loan matures on April 30, 2020 and is repayable in scheduled principal installments of $8.9 million, payable quarterly, with a balloon payment of $80.4 million at maturity. Q5000 Holdings may elect to prepay amounts outstanding under the Nordea Q5000 Loan without premium or penalty, but may not reborrow any amounts prepaid. Installment amounts are subject to adjustment for any prepayments on this debt. In certain circumstances, Q5000 Holdings will be required to prepay the loan. In June 2015, we entered into various interest rate swap contracts to fix the one-month LIBOR rate on $187.5 million of our borrowings under the Nordea Q5000 Loan (Note 18). The fixed LIBOR rates are between 149 and 152 basis points.</w:t>
      </w:r>
    </w:p>
    <w:p>
      <w:pPr>
        <w:spacing w:after="0" w:line="207"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Nordea Credit Agreement and related loan documents include terms and conditions, including covenants, that are considered customary for this type of transaction. The covenants include restrictions on Q5000 Holdings’s ability to grant liens, incur indebtedness, make investments, merge or consolidate, sell or transfer assets, and pay dividends. In addition, the Nordea Credit Agreement obligates Q5000 Holdings to meet certain minimum financial requirements, including liquidity, consolidated debt service coverage and collateral maintenance. As of December 31, 2015, Q5000 Holdings was in compliance with these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In accordance with our Credit Agreement, the 2032 Notes, the MARAD Debt agreements, and the Nordea Credit Agreement, we are required to comply with certain covenants, including certain financial ratios such as a consolidated interest coverage ratio and a consolidated leverage ratio, as well as the maintenance of minimum net worth, working capital and debt-to-equity requirements. As of December 31, 2015, we were in compliance with these covenants.</w:t>
      </w:r>
    </w:p>
    <w:p>
      <w:pPr>
        <w:spacing w:after="0" w:line="204"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In 2013, we fully repaid the remaining indebtedness outstanding under our former credit facility. In connection with the repayments of this debt, we recorded charges totaling $3.5 million to accelerate a pro rata portion of deferred financing costs associated with the term loan component of the credit facility. This charge is reflected as a component of “Loss on early extinguishment of long-term debt” in the accompanying consolidated statements of operations. Also in 2013, we fully redeemed our former Senior Unsecured Notes. Our 2013 results of operations include a loss on early extinguishment of debt totaling $8.6 million, which reflects a $6.5 million call premium and a $2.1 million charge to accelerate the remaining deferred financing costs associated with the original issuance of the Senior Unsecured Notes.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41" w:right="25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paid financing costs associated with our debt totaling $1.7 million in 2015 and $3.6 million in 2014. Unamortized deferred financing costs are included in “Other assets, net” in the accompanying consolidated balance sheets and are amortized over the life of the respective debt agreements. The following table reflects the components of our deferred financing costs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December 31, 2015</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December 31, 2014</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207"/>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6"/>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0"/>
        </w:trPr>
        <w:tc>
          <w:tcPr>
            <w:tcW w:w="32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(matures June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rPr>
              <w:t>Revolving Credit Facility (matures June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328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9,293</w:t>
            </w: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2032 Notes (mature March 2032)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MARAD Debt (matures February 2027)</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5,977</w:t>
            </w:r>
          </w:p>
        </w:tc>
      </w:tr>
      <w:tr>
        <w:trPr>
          <w:trHeight w:val="235"/>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Nordea Q5000 Loan (matures April</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3,586</w:t>
            </w:r>
          </w:p>
        </w:tc>
      </w:tr>
      <w:tr>
        <w:trPr>
          <w:trHeight w:val="257"/>
        </w:trPr>
        <w:tc>
          <w:tcPr>
            <w:tcW w:w="3280" w:type="dxa"/>
            <w:vAlign w:val="bottom"/>
          </w:tcPr>
          <w:p>
            <w:pPr>
              <w:ind w:left="280"/>
              <w:spacing w:after="0"/>
              <w:rPr>
                <w:sz w:val="20"/>
                <w:szCs w:val="20"/>
                <w:color w:val="auto"/>
              </w:rPr>
            </w:pPr>
            <w:r>
              <w:rPr>
                <w:rFonts w:ascii="Arial" w:cs="Arial" w:eastAsia="Arial" w:hAnsi="Arial"/>
                <w:sz w:val="18"/>
                <w:szCs w:val="18"/>
                <w:color w:val="auto"/>
              </w:rPr>
              <w:t>Total deferred financing costs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38,195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19,856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36,458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(13,059)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23,399</w:t>
            </w: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long-term debt outstanding as of December 31, 2015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Term</w:t>
            </w:r>
          </w:p>
        </w:tc>
        <w:tc>
          <w:tcPr>
            <w:tcW w:w="240" w:type="dxa"/>
            <w:vAlign w:val="bottom"/>
          </w:tcPr>
          <w:p>
            <w:pPr>
              <w:spacing w:after="0"/>
              <w:rPr>
                <w:sz w:val="17"/>
                <w:szCs w:val="17"/>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2032</w:t>
            </w:r>
          </w:p>
        </w:tc>
        <w:tc>
          <w:tcPr>
            <w:tcW w:w="30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MARAD</w:t>
            </w: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Nordea Q5000</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2"/>
        </w:trPr>
        <w:tc>
          <w:tcPr>
            <w:tcW w:w="3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Loan</w:t>
            </w:r>
          </w:p>
        </w:tc>
        <w:tc>
          <w:tcPr>
            <w:tcW w:w="24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 xml:space="preserve">Notes </w:t>
            </w:r>
            <w:r>
              <w:rPr>
                <w:rFonts w:ascii="Arial" w:cs="Arial" w:eastAsia="Arial" w:hAnsi="Arial"/>
                <w:sz w:val="21"/>
                <w:szCs w:val="21"/>
                <w:b w:val="1"/>
                <w:bCs w:val="1"/>
                <w:color w:val="auto"/>
                <w:vertAlign w:val="superscript"/>
              </w:rPr>
              <w:t>(1)</w:t>
            </w:r>
          </w:p>
        </w:tc>
        <w:tc>
          <w:tcPr>
            <w:tcW w:w="30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Debt</w:t>
            </w:r>
          </w:p>
        </w:tc>
        <w:tc>
          <w:tcPr>
            <w:tcW w:w="140" w:type="dxa"/>
            <w:vAlign w:val="bottom"/>
          </w:tcPr>
          <w:p>
            <w:pPr>
              <w:spacing w:after="0"/>
              <w:rPr>
                <w:sz w:val="21"/>
                <w:szCs w:val="21"/>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Loan</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64"/>
        </w:trPr>
        <w:tc>
          <w:tcPr>
            <w:tcW w:w="38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than one year</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71,640</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One to two years</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35,715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71,937</w:t>
            </w: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Two to three years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237,246</w:t>
            </w:r>
          </w:p>
        </w:tc>
      </w:tr>
      <w:tr>
        <w:trPr>
          <w:trHeight w:val="263"/>
        </w:trPr>
        <w:tc>
          <w:tcPr>
            <w:tcW w:w="3880" w:type="dxa"/>
            <w:vAlign w:val="bottom"/>
          </w:tcPr>
          <w:p>
            <w:pPr>
              <w:ind w:left="40"/>
              <w:spacing w:after="0"/>
              <w:rPr>
                <w:sz w:val="20"/>
                <w:szCs w:val="20"/>
                <w:color w:val="auto"/>
              </w:rPr>
            </w:pPr>
            <w:r>
              <w:rPr>
                <w:rFonts w:ascii="Arial" w:cs="Arial" w:eastAsia="Arial" w:hAnsi="Arial"/>
                <w:sz w:val="18"/>
                <w:szCs w:val="18"/>
                <w:color w:val="auto"/>
              </w:rPr>
              <w:t>Three to four years</w:t>
            </w: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42,572</w:t>
            </w: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 to five years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96,486</w:t>
            </w:r>
          </w:p>
        </w:tc>
      </w:tr>
      <w:tr>
        <w:trPr>
          <w:trHeight w:val="264"/>
        </w:trPr>
        <w:tc>
          <w:tcPr>
            <w:tcW w:w="3880" w:type="dxa"/>
            <w:vAlign w:val="bottom"/>
          </w:tcPr>
          <w:p>
            <w:pPr>
              <w:ind w:left="40"/>
              <w:spacing w:after="0"/>
              <w:rPr>
                <w:sz w:val="20"/>
                <w:szCs w:val="20"/>
                <w:color w:val="auto"/>
              </w:rPr>
            </w:pPr>
            <w:r>
              <w:rPr>
                <w:rFonts w:ascii="Arial" w:cs="Arial" w:eastAsia="Arial" w:hAnsi="Arial"/>
                <w:sz w:val="18"/>
                <w:szCs w:val="18"/>
                <w:color w:val="auto"/>
              </w:rPr>
              <w:t>Over five years</w:t>
            </w:r>
          </w:p>
        </w:tc>
        <w:tc>
          <w:tcPr>
            <w:tcW w:w="3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56,410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256,410</w:t>
            </w:r>
          </w:p>
        </w:tc>
      </w:tr>
      <w:tr>
        <w:trPr>
          <w:trHeight w:val="270"/>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200,000</w:t>
            </w:r>
          </w:p>
        </w:tc>
        <w:tc>
          <w:tcPr>
            <w:tcW w:w="3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89,148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232,143</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776,291</w:t>
            </w: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maturities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(71,640)</w:t>
            </w: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83,222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196,429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704,651</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 xml:space="preserve">Unamortized debt discount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(14,963)</w:t>
            </w:r>
          </w:p>
        </w:tc>
        <w:tc>
          <w:tcPr>
            <w:tcW w:w="3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(14,963)</w:t>
            </w:r>
          </w:p>
        </w:tc>
      </w:tr>
      <w:tr>
        <w:trPr>
          <w:trHeight w:val="264"/>
        </w:trPr>
        <w:tc>
          <w:tcPr>
            <w:tcW w:w="38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185,037</w:t>
            </w: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83,222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196,429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689,688</w:t>
            </w:r>
          </w:p>
        </w:tc>
      </w:tr>
      <w:tr>
        <w:trPr>
          <w:trHeight w:val="20"/>
        </w:trPr>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380" w:hanging="652"/>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Beginning in March 2018, the holders of the 2032 Notes may require us to repurchase these notes or we may at our option elect to repurchase these notes. The notes will mature in March 2032.</w:t>
      </w:r>
    </w:p>
    <w:p>
      <w:pPr>
        <w:spacing w:after="0" w:line="34" w:lineRule="exact"/>
        <w:rPr>
          <w:rFonts w:ascii="Arial" w:cs="Arial" w:eastAsia="Arial" w:hAnsi="Arial"/>
          <w:sz w:val="18"/>
          <w:szCs w:val="18"/>
          <w:color w:val="auto"/>
        </w:rPr>
      </w:pPr>
    </w:p>
    <w:p>
      <w:pPr>
        <w:ind w:left="660" w:right="1340" w:hanging="652"/>
        <w:spacing w:after="0" w:line="43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2032 Notes will increase to their face amount through accretion of non-cash interest charges through March 2018. The following table details the components of our net interest expense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33,064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44,484</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17,859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32,898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660" w:right="600" w:hanging="652"/>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expense of $2.8 million was allocated to ERT during the year ended December 31, 2013 and is included in discontinued operations. Following the sale of ERT in February 2013, we ceased allocating interest expense to ERT, which then constituted a discontinued operation.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4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and our subsidiaries file a consolidated U.S. federal income tax return. We believe that our recorded assets and liabilities are reasonable. However, tax laws and regulations are subject to interpretation and tax litigation is inherently uncertain, and therefore our assessments can involve a series of complex judgments about future events and rely heavily on estimates and assumptions.</w:t>
      </w:r>
    </w:p>
    <w:p>
      <w:pPr>
        <w:spacing w:after="0" w:line="20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Components of income tax provision (benefit) on continuing operations reflected in the consolidated statements of operations consist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0"/>
        </w:trPr>
        <w:tc>
          <w:tcPr>
            <w:tcW w:w="6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43,817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57,128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23,154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(25,516)</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31,612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6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29,613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37,358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19,997</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31,612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(loss) before income taxes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73,700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188,821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107,412</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262,521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143,588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Income taxes are provided based on the U.S. statutory rate of 35% and at the local statutory rate for each foreign jurisdiction adjusted for items that are allowed as deductions for federal and foreign income tax reporting purposes, but not for book purposes. The primary differences between the U.S. statutory rate and our effective rate from continuing operations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760" w:type="dxa"/>
            <w:vAlign w:val="bottom"/>
            <w:tcBorders>
              <w:bottom w:val="single" w:sz="8" w:color="auto"/>
            </w:tcBorders>
            <w:gridSpan w:val="5"/>
          </w:tcPr>
          <w:p>
            <w:pPr>
              <w:ind w:left="138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4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63"/>
        </w:trPr>
        <w:tc>
          <w:tcPr>
            <w:tcW w:w="3520" w:type="dxa"/>
            <w:vAlign w:val="bottom"/>
          </w:tcPr>
          <w:p>
            <w:pPr>
              <w:ind w:left="40"/>
              <w:spacing w:after="0"/>
              <w:rPr>
                <w:sz w:val="20"/>
                <w:szCs w:val="20"/>
                <w:color w:val="auto"/>
              </w:rPr>
            </w:pPr>
            <w:r>
              <w:rPr>
                <w:rFonts w:ascii="Arial" w:cs="Arial" w:eastAsia="Arial" w:hAnsi="Arial"/>
                <w:sz w:val="18"/>
                <w:szCs w:val="18"/>
                <w:color w:val="auto"/>
              </w:rPr>
              <w:t>Foreign provision</w:t>
            </w:r>
          </w:p>
        </w:tc>
        <w:tc>
          <w:tcPr>
            <w:tcW w:w="4540" w:type="dxa"/>
            <w:vAlign w:val="bottom"/>
            <w:gridSpan w:val="2"/>
          </w:tcPr>
          <w:p>
            <w:pPr>
              <w:jc w:val="right"/>
              <w:ind w:right="9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520" w:type="dxa"/>
            <w:vAlign w:val="bottom"/>
          </w:tcPr>
          <w:p>
            <w:pPr>
              <w:ind w:left="380"/>
              <w:spacing w:after="0"/>
              <w:rPr>
                <w:sz w:val="20"/>
                <w:szCs w:val="20"/>
                <w:color w:val="auto"/>
              </w:rPr>
            </w:pPr>
            <w:r>
              <w:rPr>
                <w:rFonts w:ascii="Arial" w:cs="Arial" w:eastAsia="Arial" w:hAnsi="Arial"/>
                <w:sz w:val="18"/>
                <w:szCs w:val="18"/>
                <w:color w:val="auto"/>
              </w:rPr>
              <w:t>Effective rate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960" w:type="dxa"/>
            <w:vAlign w:val="bottom"/>
            <w:vMerge w:val="restart"/>
          </w:tcPr>
          <w:p>
            <w:pPr>
              <w:jc w:val="right"/>
              <w:ind w:right="590"/>
              <w:spacing w:after="0"/>
              <w:rPr>
                <w:sz w:val="20"/>
                <w:szCs w:val="20"/>
                <w:color w:val="auto"/>
              </w:rPr>
            </w:pPr>
            <w:r>
              <w:rPr>
                <w:rFonts w:ascii="Arial" w:cs="Arial" w:eastAsia="Arial" w:hAnsi="Arial"/>
                <w:sz w:val="18"/>
                <w:szCs w:val="18"/>
                <w:color w:val="auto"/>
              </w:rPr>
              <w:t>73</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Deferred income taxes result from the effect of transactions that are recognized in different periods for financial and tax reporting purposes. The nature of these differences and the income tax effect of each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173,863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211,903</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Original Issue Discount on 2032 Notes</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16,269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investments in production facilities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50,685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201,732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283,068</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Reserves, accrued liabilities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(53,973)</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(77,049)</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23,076</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229,095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is presented as: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deferred tax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deferred tax liabilities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180,974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260,275</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229,095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At December 31, 2015, our U.S. net operating losses available for carryforward or carryback totaled $47.2 million and our foreign tax credits available for carryforward or carryback totaled $7.9 million. The net operating loss carryforward would expire in 2035 if unused, while the foreign tax credit carryforward would expire in 2025 if unused. We anticipate fully utilizing the net operating loss and $4.6 million of the foreign tax credits via carryback claims. At December 31, 2015, the U.K. net operating losses of our well intervention company available for carryforward or carryback totaled $13.7 million. We anticipate fully utilizing the net operating loss via a carryback claim. At December 31, 2015, we had a $1.9 million valuation allowance related to certain non-U.S. deferred tax assets, primarily net operating losses generated from our oil and gas operations in the U.K., as management believes it is more likely than not that we will not be able to utilize the tax benefit. Additional valuation allowances may be made in the future if in management’s opinion it is more likely than not that the tax benefit will not be utilized.</w:t>
      </w:r>
    </w:p>
    <w:p>
      <w:pPr>
        <w:spacing w:after="0" w:line="20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consider the undistributed earnings of our non-U.S. subsidiaries without operations in the U.S. to be permanently reinvested. At December 31, 2015 and 2014, our non-U.S. subsidiaries without operations in the U.S. had accumulated earnings and profits of approximately $304.0 million and $338.0 million, respectively. We have not provided deferred U.S. income tax on the accumulated earnings and profits from our non-U.S. subsidiaries without operations in the U.S. as we consider them permanently reinvested.</w:t>
      </w:r>
    </w:p>
    <w:p>
      <w:pPr>
        <w:spacing w:after="0" w:line="20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had no uncertain tax positions as of December 31, 2015. In 2014, we recognized a $3.4 million tax benefit as a result of the completion of examination procedures for the 2006 through 2010 audit period by the U.S. Internal Revenue Service (see below). We account for tax-related interest in interest expense and tax penalties in selling, general and administrative expenses. We charged $0.2 million to income tax expense for interest and penalties accrued in 2013, which brought our total liabilities for interest and penalties to $1.3 million at December 31, 2013. In 2014, in connection with the recognition of the $3.4 million tax benefit from the completion of examination procedures by the Internal Revenue Service, we reversed approximately $1.3 million of accrued interest and penalties.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83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6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9940" w:type="dxa"/>
            <w:vAlign w:val="bottom"/>
            <w:gridSpan w:val="5"/>
          </w:tcPr>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4,506</w:t>
            </w:r>
          </w:p>
        </w:tc>
      </w:tr>
      <w:tr>
        <w:trPr>
          <w:trHeight w:val="26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0"/>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Balance at December 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4,723</w:t>
            </w:r>
          </w:p>
        </w:tc>
      </w:tr>
      <w:tr>
        <w:trPr>
          <w:trHeight w:val="20"/>
        </w:trPr>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file tax returns in the U.S. and in various state, local and non-U.S. jurisdictions. We anticipate that any potential adjustments to our state, local and non-U.S. jurisdiction tax returns by tax authorities would not have a material impact on our financial position. In June 2014, the Internal Revenue Service and the Joint Committee on Taxation completed the examination procedures including all appeals and administrative reviews that the taxing authorities are required and expected to perform for the 2006 through 2010 audit period, and in September 2014, we received an income tax refund in the amount of $35.2 million. The refund was primarily attributable to the utilization of a net operating loss carryback from 2010. The tax periods from 2012 through 2015 remain open to review and examination by the Internal Revenue Service. In non-U.S. jurisdictions, the open tax periods include 2009 through 2015.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Shareholders’ Equity</w:t>
      </w:r>
    </w:p>
    <w:p>
      <w:pPr>
        <w:spacing w:after="0" w:line="247"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Our amended and restated Articles of Incorporation provide for authorized Common Stock of 240,000,000 shares with no stated par value per share and 5,000,000 shares of preferred stock, $0.01 par value per share issuable in one or more series.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ind w:left="660"/>
              <w:spacing w:after="0"/>
              <w:rPr>
                <w:sz w:val="20"/>
                <w:szCs w:val="20"/>
                <w:color w:val="auto"/>
              </w:rPr>
            </w:pPr>
            <w:r>
              <w:rPr>
                <w:rFonts w:ascii="Arial" w:cs="Arial" w:eastAsia="Arial" w:hAnsi="Arial"/>
                <w:sz w:val="18"/>
                <w:szCs w:val="18"/>
                <w:color w:val="auto"/>
              </w:rPr>
              <w:t>The components of Accumulated OCI are as follows (in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9"/>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foreign currency translation adjustment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(30,161)</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Unrealized loss on hedges, net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(32,091)</w:t>
            </w: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40" w:hanging="652"/>
        <w:spacing w:after="0" w:line="26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Amounts relate to foreign currency hedges for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charters as well as interest rate swap contracts for the Term Loan and the Nordea Q5000 Loan, and are net of deferred income taxes totaling $15.1 million and $17.3 million as of December 31, 2015 and 2014, respectively (Note 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Buyback Program</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Our Board of Directors has granted us the authority to repurchase shares of our common stock in an amount equal to any equity issued to our employees, officers and directors under our stock-based compensation plans, including share-based awards issued under our existing long-term incentive plans and shares issued to our employees under our employee stock purchase plans (Note 12). We may continue to make repurchases pursuant to this authority from time to time as additional equity is issued under our stock based plans depending on prevailing market conditions and other factors. As described in an announced plan, all repurchases may be commenced or suspended at any time as determined by management. During 2015, we did not purchase any shares as then available under this program. As of December 31, 2015, we had repurchased a total of 3,589,425 shares of our common stock for $53.5 million or an average of $14.90 per share. We had 878,328 shares of our common stock available for repurchase under the program at December 31,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247"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computations of the numerator (income) and denominator (shares) to derive the basic and diluted EPS amounts presented on the face of the accompanying consolidated statements of operations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9"/>
              </w:rPr>
              <w:t>Year Ended December 31,</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Income</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2"/>
                <w:szCs w:val="22"/>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Income</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2"/>
                <w:szCs w:val="22"/>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Continuing operations: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applicable to common</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195,047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Less: Income from discontinued operations, net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195,047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108,849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Less: Undistributed income allocable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participating securities – continuing operations</w:t>
            </w:r>
          </w:p>
        </w:tc>
        <w:tc>
          <w:tcPr>
            <w:tcW w:w="200" w:type="dxa"/>
            <w:vAlign w:val="bottom"/>
          </w:tcPr>
          <w:p>
            <w:pPr>
              <w:spacing w:after="0"/>
              <w:rPr>
                <w:sz w:val="19"/>
                <w:szCs w:val="19"/>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applicable to common</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194,029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105,029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108,048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105,032</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 continuing operations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Less: Undistributed income allocable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participating securities – discontinued operations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applicable to common shareholders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105,029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105,032</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discontinued operations</w:t>
            </w:r>
          </w:p>
        </w:tc>
        <w:tc>
          <w:tcPr>
            <w:tcW w:w="200" w:type="dxa"/>
            <w:vAlign w:val="bottom"/>
            <w:vMerge w:val="continue"/>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Continuing operations: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applicable to common</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105,032</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awards other than participating</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Undistributed income reallocated to participating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9"/>
                <w:szCs w:val="19"/>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applicable to common</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(376,980)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194,029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105,045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108,049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105,184</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 continuing operations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105,184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had net losses from continuing operations for the year ended December 31, 2015. Accordingly, our diluted EPS calculation for 2015 was equivalent to our basic EPS calculation because it excluded any assumed exercise or conversion of common stock equivalents because they were deemed to be anti-dilutive, meaning their inclusion would have reduced the reported net loss per share in those respective years. Shares that otherwise would have been included in the diluted per share calculations for the year ended December 31, 2015, assuming we had earnings from continuing operations,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57"/>
        </w:trPr>
        <w:tc>
          <w:tcPr>
            <w:tcW w:w="99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 (as reported)</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105,416</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awards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r>
        <w:trPr>
          <w:trHeight w:val="25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105,475</w:t>
            </w: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In addition, approximately 8.0 million of potentially dilutive shares related to our Convertible Senior Notes Due 2032 (the “2032 Notes”) were excluded from the diluted EPS calculation for the years ended December 31, 2014 and 2013 because we have the right and the intention to settle any such future conversions in cash (Note 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sponsor a defined contribution 401(k) retirement plan covering substantially all of our employees. Our discretionary contributions are in the form of cash and, prior to 2014, consisted of a 50% match of each employee’s contribution up to 5% of the employee’s salary. Beginning in 2014, our matching contributions increased to 75% of the first 5% of the employee’s salary. At their meetings in February 2016 the Compensation Committee of our Board of Directors and our Board of Directors resolved to suspend Helix’s discretionary matching contributions for an indefinite period. For the years ended December 31, 2015, 2014 and 2013, our costs related to the 401(k) plan totaled $2.8 million, $2.2 million and $1.7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have an employee stock purchase plan (the “ESPP”). The ESPP has 1.5 million shares authorized for issuance, of which 0.9 million shares were available for issuance as of December 31, 2015. Eligible employees who participate in the ESPP may purchase shares of our common stock through payroll deductions on an after-tax basis over a four-month period beginning on January 1, May 1, and September 1 of each year during the term of the ESPP, subject to certain restrictions and limitations established by the Compensation Committee of our Board of Directors and Section 423 of the Internal Revenue Code. The per share price of common stock purchased under the ESPP is equal to 85% of the lesser of (i) its fair market value on the first trading day of the purchase period or (ii) its fair market value on the last trading day of the purchase period. The total value of the ESPP awards is calculated using the component approach where each award is computed as the sum of 15% of a share of non-vested stock, a call option on 85% of a share of non-vested stock, and a put option on 15% of a share of non-vested stock. For the years ended December 31, 2015, 2014 and 2013, share-based compensation expense with respect to the ESPP was $1.1 million, $ 1.0 million and $0.8 million, respectively. At their meetings in February 2016 the Compensation Committee of our Board of Directors and our Board of Directors amended the ESPP to give the Board or the Compensation Committee the authority to suspend purchases under the ESPP at any time, and to give Helix management the authority to limit the number of shares our employees can purchase during each ESPP purchase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1"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Stock-Based Plan</w:t>
      </w:r>
    </w:p>
    <w:p>
      <w:pPr>
        <w:spacing w:after="0" w:line="247"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color w:val="auto"/>
        </w:rPr>
        <w:t>We currently have one active long-term incentive stock-based plan, the 2005 Long-Term Incentive Plan, as amended and restated effective May 9, 2012 (the “2005 Incentive Plan”). In May 2012, the shareholders approved an amendment to and restatement of the 2005 Incentive Plan to: (i) authorize 4.3 million additional shares for issuance pursuant to our equity incentive compensation programs, (ii) authorize incentive stock options, stock appreciation rights, cash awards and performance awards to be made pursuant to the 2005 Incentive Plan, and</w:t>
      </w:r>
    </w:p>
    <w:p>
      <w:pPr>
        <w:spacing w:after="0" w:line="2" w:lineRule="exact"/>
        <w:rPr>
          <w:sz w:val="20"/>
          <w:szCs w:val="20"/>
          <w:color w:val="auto"/>
        </w:rPr>
      </w:pPr>
    </w:p>
    <w:p>
      <w:pPr>
        <w:ind w:right="20" w:firstLine="8"/>
        <w:spacing w:after="0" w:line="254" w:lineRule="auto"/>
        <w:tabs>
          <w:tab w:leader="none" w:pos="2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 performance criteria for awards that may be made contingent upon the achievement of one or more performance measures, as well as limits on individual awards, in accordance with the requirements for performance-based compensation under Section 162(m) of the Internal Revenue Code. As of December 31, 2015, there were 6.0 million shares available for issuance under the 2005 Incentive Plan, which includes a maximum of 2.0 million shares that may be granted as incentive stock options.</w:t>
      </w:r>
    </w:p>
    <w:p>
      <w:pPr>
        <w:spacing w:after="0" w:line="204"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18"/>
          <w:szCs w:val="18"/>
          <w:color w:val="auto"/>
        </w:rPr>
        <w:t>The 2005 Incentive Plan is administered by the Compensation Committee of our Board of Directors. The Compensation Committee also determines the type of award to be made to each participant and, as set forth in the related award agreement, the terms, conditions and limitations applicable to each award. The Compensation Committee may grant stock options, restricted stock, restricted stock units (“RSUs”), PSUs and cash awards. Prior to 2012, awards granted to employees under the incentive plans vested 20% per year over a five year period. Commencing in 2012, awards granted under the 2005 Incentive Plan have a vesting period of three years (or 33% per year).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grants of share-based awards were made in 2015 under the 2005 Incentive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9"/>
              </w:rPr>
              <w:t>Grant Date</w:t>
            </w:r>
          </w:p>
        </w:tc>
        <w:tc>
          <w:tcPr>
            <w:tcW w:w="43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tcPr>
          <w:p>
            <w:pPr>
              <w:jc w:val="center"/>
              <w:ind w:right="620"/>
              <w:spacing w:after="0" w:line="202" w:lineRule="exact"/>
              <w:rPr>
                <w:sz w:val="20"/>
                <w:szCs w:val="20"/>
                <w:color w:val="auto"/>
              </w:rPr>
            </w:pPr>
            <w:r>
              <w:rPr>
                <w:rFonts w:ascii="Arial" w:cs="Arial" w:eastAsia="Arial" w:hAnsi="Arial"/>
                <w:sz w:val="18"/>
                <w:szCs w:val="18"/>
                <w:b w:val="1"/>
                <w:bCs w:val="1"/>
                <w:color w:val="auto"/>
                <w:w w:val="99"/>
              </w:rPr>
              <w:t>Fair Value</w:t>
            </w:r>
          </w:p>
        </w:tc>
        <w:tc>
          <w:tcPr>
            <w:tcW w:w="4340" w:type="dxa"/>
            <w:vAlign w:val="bottom"/>
          </w:tcPr>
          <w:p>
            <w:pPr>
              <w:spacing w:after="0"/>
              <w:rPr>
                <w:sz w:val="17"/>
                <w:szCs w:val="17"/>
                <w:color w:val="auto"/>
              </w:rPr>
            </w:pPr>
          </w:p>
        </w:tc>
      </w:tr>
      <w:tr>
        <w:trPr>
          <w:trHeight w:val="246"/>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 Grant</w:t>
            </w:r>
          </w:p>
        </w:tc>
        <w:tc>
          <w:tcPr>
            <w:tcW w:w="2040" w:type="dxa"/>
            <w:vAlign w:val="bottom"/>
            <w:gridSpan w:val="2"/>
          </w:tcPr>
          <w:p>
            <w:pPr>
              <w:ind w:left="680"/>
              <w:spacing w:after="0"/>
              <w:rPr>
                <w:sz w:val="20"/>
                <w:szCs w:val="20"/>
                <w:color w:val="auto"/>
              </w:rPr>
            </w:pPr>
            <w:r>
              <w:rPr>
                <w:rFonts w:ascii="Arial" w:cs="Arial" w:eastAsia="Arial" w:hAnsi="Arial"/>
                <w:sz w:val="18"/>
                <w:szCs w:val="18"/>
                <w:b w:val="1"/>
                <w:bCs w:val="1"/>
                <w:color w:val="auto"/>
              </w:rPr>
              <w:t>Shares</w:t>
            </w:r>
          </w:p>
        </w:tc>
        <w:tc>
          <w:tcPr>
            <w:tcW w:w="520" w:type="dxa"/>
            <w:vAlign w:val="bottom"/>
          </w:tcPr>
          <w:p>
            <w:pPr>
              <w:spacing w:after="0"/>
              <w:rPr>
                <w:sz w:val="21"/>
                <w:szCs w:val="21"/>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9"/>
              </w:rPr>
              <w:t>Per Share</w:t>
            </w:r>
          </w:p>
        </w:tc>
        <w:tc>
          <w:tcPr>
            <w:tcW w:w="4340" w:type="dxa"/>
            <w:vAlign w:val="bottom"/>
          </w:tcPr>
          <w:p>
            <w:pPr>
              <w:ind w:left="1540"/>
              <w:spacing w:after="0"/>
              <w:rPr>
                <w:sz w:val="20"/>
                <w:szCs w:val="20"/>
                <w:color w:val="auto"/>
              </w:rPr>
            </w:pPr>
            <w:r>
              <w:rPr>
                <w:rFonts w:ascii="Arial" w:cs="Arial" w:eastAsia="Arial" w:hAnsi="Arial"/>
                <w:sz w:val="18"/>
                <w:szCs w:val="18"/>
                <w:b w:val="1"/>
                <w:bCs w:val="1"/>
                <w:color w:val="auto"/>
              </w:rPr>
              <w:t>Vesting Period</w:t>
            </w:r>
          </w:p>
        </w:tc>
      </w:tr>
      <w:tr>
        <w:trPr>
          <w:trHeight w:val="324"/>
        </w:trPr>
        <w:tc>
          <w:tcPr>
            <w:tcW w:w="2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January 2, 2015 </w:t>
            </w:r>
            <w:r>
              <w:rPr>
                <w:rFonts w:ascii="Arial" w:cs="Arial" w:eastAsia="Arial" w:hAnsi="Arial"/>
                <w:sz w:val="21"/>
                <w:szCs w:val="21"/>
                <w:color w:val="auto"/>
                <w:vertAlign w:val="superscript"/>
              </w:rPr>
              <w:t>(1)</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289,163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 per year over three years</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January 2, 2015 </w:t>
            </w:r>
            <w:r>
              <w:rPr>
                <w:rFonts w:ascii="Arial" w:cs="Arial" w:eastAsia="Arial" w:hAnsi="Arial"/>
                <w:sz w:val="21"/>
                <w:szCs w:val="21"/>
                <w:color w:val="auto"/>
                <w:vertAlign w:val="superscript"/>
              </w:rPr>
              <w:t>(2)</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289,163</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100% on January 1, 2018</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January 5, 2015 </w:t>
            </w:r>
            <w:r>
              <w:rPr>
                <w:rFonts w:ascii="Arial" w:cs="Arial" w:eastAsia="Arial" w:hAnsi="Arial"/>
                <w:sz w:val="21"/>
                <w:szCs w:val="21"/>
                <w:color w:val="auto"/>
                <w:vertAlign w:val="superscript"/>
              </w:rPr>
              <w:t>(3)</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 on January 1, 2017</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January 12, 2015 </w:t>
            </w:r>
            <w:r>
              <w:rPr>
                <w:rFonts w:ascii="Arial" w:cs="Arial" w:eastAsia="Arial" w:hAnsi="Arial"/>
                <w:sz w:val="21"/>
                <w:szCs w:val="21"/>
                <w:color w:val="auto"/>
                <w:vertAlign w:val="superscript"/>
              </w:rPr>
              <w:t>(1)</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33% per year over three years</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January 12, 2015 </w:t>
            </w:r>
            <w:r>
              <w:rPr>
                <w:rFonts w:ascii="Arial" w:cs="Arial" w:eastAsia="Arial" w:hAnsi="Arial"/>
                <w:sz w:val="21"/>
                <w:szCs w:val="21"/>
                <w:color w:val="auto"/>
                <w:vertAlign w:val="superscript"/>
              </w:rPr>
              <w:t>(2)</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 on January 11, 2018</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February 1, 2015 </w:t>
            </w:r>
            <w:r>
              <w:rPr>
                <w:rFonts w:ascii="Arial" w:cs="Arial" w:eastAsia="Arial" w:hAnsi="Arial"/>
                <w:sz w:val="21"/>
                <w:szCs w:val="21"/>
                <w:color w:val="auto"/>
                <w:vertAlign w:val="superscript"/>
              </w:rPr>
              <w:t>(1)</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33% per year over three years</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February 1, 2015 </w:t>
            </w:r>
            <w:r>
              <w:rPr>
                <w:rFonts w:ascii="Arial" w:cs="Arial" w:eastAsia="Arial" w:hAnsi="Arial"/>
                <w:sz w:val="21"/>
                <w:szCs w:val="21"/>
                <w:color w:val="auto"/>
                <w:vertAlign w:val="superscript"/>
              </w:rPr>
              <w:t>(2)</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 on January 31, 2018</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April 1, 2015 </w:t>
            </w:r>
            <w:r>
              <w:rPr>
                <w:rFonts w:ascii="Arial" w:cs="Arial" w:eastAsia="Arial" w:hAnsi="Arial"/>
                <w:sz w:val="21"/>
                <w:szCs w:val="21"/>
                <w:color w:val="auto"/>
                <w:vertAlign w:val="superscript"/>
              </w:rPr>
              <w:t>(3)</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6,476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100% on January 1, 2017</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July 1, 2015 </w:t>
            </w:r>
            <w:r>
              <w:rPr>
                <w:rFonts w:ascii="Arial" w:cs="Arial" w:eastAsia="Arial" w:hAnsi="Arial"/>
                <w:sz w:val="21"/>
                <w:szCs w:val="21"/>
                <w:color w:val="auto"/>
                <w:vertAlign w:val="superscript"/>
              </w:rPr>
              <w:t>(3)</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100% on January 1, 2017</w:t>
            </w: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October 1, 2015 </w:t>
            </w:r>
            <w:r>
              <w:rPr>
                <w:rFonts w:ascii="Arial" w:cs="Arial" w:eastAsia="Arial" w:hAnsi="Arial"/>
                <w:sz w:val="21"/>
                <w:szCs w:val="21"/>
                <w:color w:val="auto"/>
                <w:vertAlign w:val="superscript"/>
              </w:rPr>
              <w:t>(3)</w:t>
            </w:r>
          </w:p>
        </w:tc>
        <w:tc>
          <w:tcPr>
            <w:tcW w:w="1940" w:type="dxa"/>
            <w:vAlign w:val="bottom"/>
          </w:tcPr>
          <w:p>
            <w:pPr>
              <w:jc w:val="right"/>
              <w:ind w:right="490"/>
              <w:spacing w:after="0"/>
              <w:rPr>
                <w:sz w:val="20"/>
                <w:szCs w:val="20"/>
                <w:color w:val="auto"/>
              </w:rPr>
            </w:pPr>
            <w:r>
              <w:rPr>
                <w:rFonts w:ascii="Arial" w:cs="Arial" w:eastAsia="Arial" w:hAnsi="Arial"/>
                <w:sz w:val="18"/>
                <w:szCs w:val="18"/>
                <w:color w:val="auto"/>
              </w:rPr>
              <w:t>17,876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100% on January 1, 2017</w:t>
            </w: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December 3, 2015 </w:t>
            </w:r>
            <w:r>
              <w:rPr>
                <w:rFonts w:ascii="Arial" w:cs="Arial" w:eastAsia="Arial" w:hAnsi="Arial"/>
                <w:sz w:val="21"/>
                <w:szCs w:val="21"/>
                <w:color w:val="auto"/>
                <w:vertAlign w:val="superscript"/>
              </w:rPr>
              <w:t>(4)</w:t>
            </w:r>
          </w:p>
        </w:tc>
        <w:tc>
          <w:tcPr>
            <w:tcW w:w="19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170,454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3"/>
                <w:szCs w:val="23"/>
                <w:color w:val="auto"/>
              </w:rPr>
            </w:pP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 per year over three years</w:t>
            </w:r>
          </w:p>
        </w:tc>
      </w:tr>
    </w:tbl>
    <w:p>
      <w:pPr>
        <w:spacing w:after="0" w:line="10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grant of restricted stock to our executive officers and select management employees.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grant of PSUs to our executive officers and select management employees.</w:t>
      </w:r>
    </w:p>
    <w:p>
      <w:pPr>
        <w:spacing w:after="0" w:line="117"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grant of restricted stock to certain independent members of our Board of Directors who have made an election to take their quarterly fees in stock in lieu of cash.</w:t>
      </w:r>
    </w:p>
    <w:p>
      <w:pPr>
        <w:spacing w:after="0" w:line="88"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annual equity grants to each independent member of our Board of Directors.</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January 2016, we granted our executive officers and select management employees 1,143,062 shares of restricted stock under the 2005 Incentive Plan. The market value of the restricted shares was $5.26 per share or $6.0 million and the shares vest 33% per year for a three-year period. Separately, we issued our executive officers and select management employees 1,143,062 PSUs under the 2005 Incentive Plan.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1"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9"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We grant restricted stock to members of our Board of Directors, executive officers and select management employees. The following table summarizes information about our restricted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center"/>
              <w:ind w:right="11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ind w:right="109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Grant Date</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Grant Date</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52"/>
        </w:trPr>
        <w:tc>
          <w:tcPr>
            <w:tcW w:w="264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21"/>
                <w:szCs w:val="21"/>
                <w:b w:val="1"/>
                <w:bCs w:val="1"/>
                <w:color w:val="auto"/>
                <w:w w:val="96"/>
                <w:vertAlign w:val="superscript"/>
              </w:rPr>
              <w:t>(1)</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21"/>
                <w:szCs w:val="21"/>
                <w:b w:val="1"/>
                <w:bCs w:val="1"/>
                <w:color w:val="auto"/>
                <w:w w:val="94"/>
                <w:vertAlign w:val="superscript"/>
              </w:rPr>
              <w:t>(1)</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 xml:space="preserve">Fair Value </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outstanding at</w:t>
            </w: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554,960</w:t>
            </w:r>
          </w:p>
        </w:tc>
        <w:tc>
          <w:tcPr>
            <w:tcW w:w="3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771,942</w:t>
            </w:r>
          </w:p>
        </w:tc>
        <w:tc>
          <w:tcPr>
            <w:tcW w:w="3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1,191,402</w:t>
            </w:r>
          </w:p>
        </w:tc>
        <w:tc>
          <w:tcPr>
            <w:tcW w:w="32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501,076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139,455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168,468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(356,437)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(502,022)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outstanding at end of</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661,124</w:t>
            </w:r>
          </w:p>
        </w:tc>
        <w:tc>
          <w:tcPr>
            <w:tcW w:w="340" w:type="dxa"/>
            <w:vAlign w:val="bottom"/>
            <w:gridSpan w:val="3"/>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554,960</w:t>
            </w:r>
          </w:p>
        </w:tc>
        <w:tc>
          <w:tcPr>
            <w:tcW w:w="300" w:type="dxa"/>
            <w:vAlign w:val="bottom"/>
            <w:gridSpan w:val="3"/>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771,942</w:t>
            </w:r>
          </w:p>
        </w:tc>
        <w:tc>
          <w:tcPr>
            <w:tcW w:w="320" w:type="dxa"/>
            <w:vAlign w:val="bottom"/>
            <w:gridSpan w:val="3"/>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40"/>
              <w:spacing w:after="0" w:line="219" w:lineRule="exact"/>
              <w:rPr>
                <w:sz w:val="20"/>
                <w:szCs w:val="20"/>
                <w:color w:val="auto"/>
              </w:rPr>
            </w:pPr>
            <w:r>
              <w:rPr>
                <w:rFonts w:ascii="Arial" w:cs="Arial" w:eastAsia="Arial" w:hAnsi="Arial"/>
                <w:sz w:val="18"/>
                <w:szCs w:val="18"/>
                <w:color w:val="auto"/>
              </w:rPr>
              <w:t xml:space="preserve">year </w:t>
            </w:r>
            <w:r>
              <w:rPr>
                <w:rFonts w:ascii="Arial" w:cs="Arial" w:eastAsia="Arial" w:hAnsi="Arial"/>
                <w:sz w:val="21"/>
                <w:szCs w:val="21"/>
                <w:color w:val="auto"/>
                <w:vertAlign w:val="superscript"/>
              </w:rPr>
              <w:t>(3)</w:t>
            </w:r>
          </w:p>
        </w:tc>
        <w:tc>
          <w:tcPr>
            <w:tcW w:w="12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right="80" w:hanging="652"/>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34" w:lineRule="exact"/>
        <w:rPr>
          <w:rFonts w:ascii="Arial" w:cs="Arial" w:eastAsia="Arial" w:hAnsi="Arial"/>
          <w:sz w:val="18"/>
          <w:szCs w:val="18"/>
          <w:color w:val="auto"/>
        </w:rPr>
      </w:pPr>
    </w:p>
    <w:p>
      <w:pPr>
        <w:ind w:left="660" w:right="140" w:hanging="652"/>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fair value of restricted stock and RSUs that vested during the years ended December 31, 2015, 2014 and 2013 was $5.1 million, $8.2 million and $11.0 million, respectively.</w:t>
      </w:r>
    </w:p>
    <w:p>
      <w:pPr>
        <w:spacing w:after="0" w:line="34" w:lineRule="exact"/>
        <w:rPr>
          <w:rFonts w:ascii="Arial" w:cs="Arial" w:eastAsia="Arial" w:hAnsi="Arial"/>
          <w:sz w:val="18"/>
          <w:szCs w:val="18"/>
          <w:color w:val="auto"/>
        </w:rPr>
      </w:pPr>
    </w:p>
    <w:p>
      <w:pPr>
        <w:ind w:left="660" w:right="220" w:hanging="652"/>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vested and year-end amounts in 2014 each include 33,760 shares of RSUs with the grant date fair value of $15.80 per share. In December 2013, management elected to pay out the January 2014 vesting of these RSUs in cash. As a result, we recorded a $1.3 million liability associated with these RSUs at December 31, 2013 and an additional liability of $0.2 million during 2014. We paid $0.8 million of this liability in January 2014 and $0.7 million in January 2015.</w:t>
      </w:r>
    </w:p>
    <w:p>
      <w:pPr>
        <w:spacing w:after="0" w:line="15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For the years ended December 31, 2015, 2014 and 2013, $5.5 million, $5.0 million and $6.6 million, respectively, were recognized as stock-based compensation expense related to restricted stock and RSUs. Forfeitures on restricted stock totaled approximately 6% based on our most recent five-year average of historical forfeiture rates. Future compensation expense associated with unvested restricted stock at December 31, 2015 totaled approximately $6.5 million. The weighted average vesting period related to unvested restricted stock at December 31, 2015 was approximately 1.8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8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Since 2012, we have issued PSUs to our executive officers. We also have issued PSUs to select management employees since 2015. The PSUs provide for an award based on the performance of our common stock over a three-year period compared to the performance of other companies in a peer group selected by the Compensation Committee of our Board of Directors with the maximum amount of the award being 200% of the original awarded PSUs and the minimum amount being zero. The PSUs vest 100% on the three-year anniversary date of the grant. The vested PSUs may be settled in either cash or shares of our common stock at the discretion of the Compensation Committee of our Board of Directors.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issued 295,693 PSUs in 2015 with a grant date fair value of $25.06 per unit, 73,609 PSUs in 2014 with a grant date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$26.79 per unit and 89,329 PSUs in 2013 with a grant date fair value of $27.50 per unit. Until December 2014, the PSUs were being treated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In January 2015, in connection with the vesting of the 2012 PSU awards, the decision was made by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of our Board of Directors to settle these PSUs with a cash payment of $4.5 million (rather than an equivalent number of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which was the default payment method for the PSU awards). Accordingly, PSUs are accounted for as liability awards.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December 31, 2015, 2014 and 2013, $0.2 million, $5.4 million and $2.2 million, respectively, were recognized as stock-based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PSUs. For the year ended December 31, 2015, $2.9 million was recorded in equity reflecting the cumulative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recognized in excess of the estimated fair value of the modified liability PSU awards at December 31, 2015. The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for unvested PSUs was $0.7 million and $7.9 million at December 31, 2015 and 2014, respectively. We paid $4.5 million to cash settle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2012 grant of PSUs when they vested in January 2015. We paid $0.2 million to cash settle the 2013 grant of PSUs when they vested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2016.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41"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There have been no stock options granted since 2004. All of the remaining 52,800 stock options were exercised in 2013 at a weighted average price of $13.91 per share. The aggregate intrinsic value of the stock options exercised during the year ended December 31, 2013 was approximately $0.5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Cash Plans</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also have certain long-term incentive cash plans (the “LTI Cash Plans”) that provide long-term cash-based compensation to eligible employees. Cash awards historically have been both fixed sum amounts payable (for non-executive management only) as well as cash awards indexed to our common stock with the payment amount at each vesting date fluctuating based on the performance of our common stock (for both executive and non-executive management). Payment amounts under these awards are calculated based on the ratio of the average stock price during the applicable measurement period over the original base price determined by the Compensation Committee of our Board of Directors at the time of the award. The maximum amount payable under these share-based cash awards is twice the original amount of the award and if the average price during the measurement period is less than 75% of the base price, no payout will be made at the applicable vesting date. Cash payments under these awards are made each year during the vesting period on the anniversary date of the award. Cash awards granted since 2012 have a vesting period of three years while those granted prior to 2012 have a vesting period of five years. The LTI Cash Plans are considered liability plans and as such are re-measured to fair value each reporting period with corresponding changes in the liability amount being reflected in our results of operations.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The cash awards granted under the LTI Cash Plans to our executive officers and select management employees totaled $8.9 million in 2014 and $8.4 million in 2013. No long-term incentive cash awards were granted in 2015. For the year ended December 31, 2015, we recorded reductions of $3.7 million ($2.1 million related to our executive officers) of previously recognized compensation expense associated with the cash awards issued pursuant to the LTI Cash Plans, reflecting the effect the decrease in our stock price since December 31, 2014 had on the value of our liability plan. For the years ended December 31, 2014 and 2013, total compensation expense associated with the cash awards issued pursuant to the LTI Cash Plans was $7.2 million ($3.6 million related to our executive officers) and $9.1 million ($ 5.3 million related to our executive officers), respectively. The liability balance for the cash awards issued under the LTI Cash Plans was less than $ 0.1 million at December 31, 2015 and $12.8 million ($7.9 million related to our executive officers) at December 31, 2014. During 2015, 2014 and 2013, we paid $8.9 million, $9.2 million and $7.1 million of the liability associated with the LTI Cash Plans. No long-term incentive cash awards were paid or granted in January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Business Segment Information</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 xml:space="preserve">We have three reportable business segments: Well Intervention, Robotics and Production Facilities. Our U.S., U.K. and Brazil well intervention operating segments are aggregated into the Well Intervention business segment for financial reporting purposes. Our Well Intervention segment includes our vessels and equipment used to perform well intervention services primarily in the Gulf of Mexico and North Sea regions.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Skandi</w:t>
      </w:r>
      <w:r>
        <w:rPr>
          <w:rFonts w:ascii="Arial" w:cs="Arial" w:eastAsia="Arial" w:hAnsi="Arial"/>
          <w:sz w:val="18"/>
          <w:szCs w:val="18"/>
          <w:color w:val="auto"/>
        </w:rPr>
        <w:t xml:space="preserve"> </w:t>
      </w:r>
      <w:r>
        <w:rPr>
          <w:rFonts w:ascii="Arial" w:cs="Arial" w:eastAsia="Arial" w:hAnsi="Arial"/>
          <w:sz w:val="18"/>
          <w:szCs w:val="18"/>
          <w:i w:val="1"/>
          <w:iCs w:val="1"/>
          <w:color w:val="auto"/>
        </w:rPr>
        <w:t>Constructor</w:t>
      </w:r>
      <w:r>
        <w:rPr>
          <w:rFonts w:ascii="Arial" w:cs="Arial" w:eastAsia="Arial" w:hAnsi="Arial"/>
          <w:sz w:val="18"/>
          <w:szCs w:val="18"/>
          <w:color w:val="auto"/>
        </w:rPr>
        <w:t>, which is a chartered vessel. Our well intervention segment also includes IRSs, some of which we rent out on a stand-alone basis,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SILs. Our Robotics segment includes ROVs, trenchers and ROVDrills designed to complement offshore construction and well intervention services, and currently operates four chartered ROV support vessels. The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as well as our investments in Deepwater Gateway and Independence Hub that are accounted for under the equity method. Our Subsea Construction results diminished following the sale in 2013 and early 2014 of essentially all of our assets related to this previously reported business segment. All material intercompany transactions between the segments have been eliminated. We sold ERT in February 2013, and as a result, the historical operating results of our former Oil and Gas segment are presented as discontinued operations in the accompanying consolidated financial statements. See Note 1 for additional information regarding our discontinued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41" w:right="25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evaluate our performance based on operating income and income before income taxes of each reportable segment. Segment assets are comprised of all assets attributable to each reportable segment. Corporate and other includes all assets not directly identifiable with our business segments. Certain financial data by reportable segment are summarized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10"/>
          </w:tcPr>
          <w:p>
            <w:pPr>
              <w:ind w:left="9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Net revenues —</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Well Intervention</w:t>
            </w:r>
          </w:p>
        </w:tc>
        <w:tc>
          <w:tcPr>
            <w:tcW w:w="2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452,452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Robotics</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301,026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420,224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333,246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Facilities</w:t>
            </w: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Subsea Construction</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elimination</w:t>
            </w:r>
          </w:p>
        </w:tc>
        <w:tc>
          <w:tcPr>
            <w:tcW w:w="2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(54,473)</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695,802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1,107,156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876,561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Income (loss) from operations —</w:t>
            </w: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Well Intervention </w:t>
            </w:r>
            <w:r>
              <w:rPr>
                <w:rFonts w:ascii="Arial" w:cs="Arial" w:eastAsia="Arial" w:hAnsi="Arial"/>
                <w:sz w:val="21"/>
                <w:szCs w:val="21"/>
                <w:color w:val="auto"/>
                <w:vertAlign w:val="superscript"/>
              </w:rPr>
              <w:t>(1)</w:t>
            </w:r>
          </w:p>
        </w:tc>
        <w:tc>
          <w:tcPr>
            <w:tcW w:w="25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204,810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131,840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Robotics</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27,832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68,329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44,132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Production Facilities </w:t>
            </w:r>
            <w:r>
              <w:rPr>
                <w:rFonts w:ascii="Arial" w:cs="Arial" w:eastAsia="Arial" w:hAnsi="Arial"/>
                <w:sz w:val="21"/>
                <w:szCs w:val="21"/>
                <w:color w:val="auto"/>
                <w:vertAlign w:val="superscript"/>
              </w:rPr>
              <w:t>(2)</w:t>
            </w: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41,138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 xml:space="preserve">Subsea Construction </w:t>
            </w:r>
            <w:r>
              <w:rPr>
                <w:rFonts w:ascii="Arial" w:cs="Arial" w:eastAsia="Arial" w:hAnsi="Arial"/>
                <w:sz w:val="21"/>
                <w:szCs w:val="21"/>
                <w:color w:val="auto"/>
                <w:vertAlign w:val="superscript"/>
              </w:rPr>
              <w:t>(3)</w:t>
            </w:r>
          </w:p>
        </w:tc>
        <w:tc>
          <w:tcPr>
            <w:tcW w:w="2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33,685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other</w:t>
            </w:r>
          </w:p>
        </w:tc>
        <w:tc>
          <w:tcPr>
            <w:tcW w:w="2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Intercompany elimination</w:t>
            </w:r>
          </w:p>
        </w:tc>
        <w:tc>
          <w:tcPr>
            <w:tcW w:w="22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(307,360)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261,756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179,034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interest expense —</w:t>
            </w:r>
          </w:p>
        </w:tc>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Well Intervention</w:t>
            </w:r>
          </w:p>
        </w:tc>
        <w:tc>
          <w:tcPr>
            <w:tcW w:w="2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Robotics</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Facilities</w:t>
            </w: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Corporate and eliminations </w:t>
            </w:r>
            <w:r>
              <w:rPr>
                <w:rFonts w:ascii="Arial" w:cs="Arial" w:eastAsia="Arial" w:hAnsi="Arial"/>
                <w:sz w:val="21"/>
                <w:szCs w:val="21"/>
                <w:color w:val="auto"/>
                <w:vertAlign w:val="superscript"/>
              </w:rPr>
              <w:t>(4)</w:t>
            </w:r>
          </w:p>
        </w:tc>
        <w:tc>
          <w:tcPr>
            <w:tcW w:w="22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26,602</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17,732</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in earnings (losses) of investments</w:t>
            </w:r>
          </w:p>
        </w:tc>
        <w:tc>
          <w:tcPr>
            <w:tcW w:w="2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before income taxes —</w:t>
            </w:r>
          </w:p>
        </w:tc>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Well Intervention </w:t>
            </w:r>
            <w:r>
              <w:rPr>
                <w:rFonts w:ascii="Arial" w:cs="Arial" w:eastAsia="Arial" w:hAnsi="Arial"/>
                <w:sz w:val="21"/>
                <w:szCs w:val="21"/>
                <w:color w:val="auto"/>
                <w:vertAlign w:val="superscript"/>
              </w:rPr>
              <w:t>(1)</w:t>
            </w:r>
          </w:p>
        </w:tc>
        <w:tc>
          <w:tcPr>
            <w:tcW w:w="2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132,057</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 xml:space="preserve">Robotics </w:t>
            </w:r>
            <w:r>
              <w:rPr>
                <w:rFonts w:ascii="Arial" w:cs="Arial" w:eastAsia="Arial" w:hAnsi="Arial"/>
                <w:sz w:val="21"/>
                <w:szCs w:val="21"/>
                <w:color w:val="auto"/>
                <w:vertAlign w:val="superscript"/>
              </w:rPr>
              <w:t>(5)</w:t>
            </w:r>
          </w:p>
        </w:tc>
        <w:tc>
          <w:tcPr>
            <w:tcW w:w="2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61,025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Production Facilities </w:t>
            </w:r>
            <w:r>
              <w:rPr>
                <w:rFonts w:ascii="Arial" w:cs="Arial" w:eastAsia="Arial" w:hAnsi="Arial"/>
                <w:sz w:val="21"/>
                <w:szCs w:val="21"/>
                <w:color w:val="auto"/>
                <w:vertAlign w:val="superscript"/>
              </w:rPr>
              <w:t>(2)</w:t>
            </w:r>
          </w:p>
        </w:tc>
        <w:tc>
          <w:tcPr>
            <w:tcW w:w="2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(231,577)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 xml:space="preserve">Subsea Construction </w:t>
            </w:r>
            <w:r>
              <w:rPr>
                <w:rFonts w:ascii="Arial" w:cs="Arial" w:eastAsia="Arial" w:hAnsi="Arial"/>
                <w:sz w:val="21"/>
                <w:szCs w:val="21"/>
                <w:color w:val="auto"/>
                <w:vertAlign w:val="superscript"/>
              </w:rPr>
              <w:t>(3)</w:t>
            </w:r>
          </w:p>
        </w:tc>
        <w:tc>
          <w:tcPr>
            <w:tcW w:w="2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(55,528)</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(63,063)</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(478,170)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262,521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143,588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tax provision (benefit) —</w:t>
            </w: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Well Intervention</w:t>
            </w:r>
          </w:p>
        </w:tc>
        <w:tc>
          <w:tcPr>
            <w:tcW w:w="2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Robotics</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Facilities</w:t>
            </w: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Subsea Construction</w:t>
            </w: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(39,524)</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(101,190)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vMerge w:val="restart"/>
          </w:tcPr>
          <w:p>
            <w:pPr>
              <w:jc w:val="right"/>
              <w:ind w:right="83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gridSpan w:val="4"/>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ind w:left="92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Identifiable assets —</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1,245,229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274,926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299,701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282,373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459,427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495,829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Subsea Construction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10,027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452,091</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443,674</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482,795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2,411,952</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2,700,698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2,544,280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gridSpan w:val="3"/>
            <w:vMerge w:val="restart"/>
          </w:tcPr>
          <w:p>
            <w:pPr>
              <w:ind w:left="20"/>
              <w:spacing w:after="0"/>
              <w:rPr>
                <w:sz w:val="20"/>
                <w:szCs w:val="20"/>
                <w:color w:val="auto"/>
              </w:rPr>
            </w:pPr>
            <w:r>
              <w:rPr>
                <w:rFonts w:ascii="Arial" w:cs="Arial" w:eastAsia="Arial" w:hAnsi="Arial"/>
                <w:sz w:val="18"/>
                <w:szCs w:val="18"/>
                <w:color w:val="auto"/>
              </w:rPr>
              <w:t>Capital expenditures —</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67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307,879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283,635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51,348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39,655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Corporate and other</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336,912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324,426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Depreciation and amortization —</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26,724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Subsea Construction</w:t>
            </w:r>
          </w:p>
        </w:tc>
        <w:tc>
          <w:tcPr>
            <w:tcW w:w="340" w:type="dxa"/>
            <w:vAlign w:val="bottom"/>
          </w:tcPr>
          <w:p>
            <w:pPr>
              <w:spacing w:after="0"/>
              <w:rPr>
                <w:sz w:val="22"/>
                <w:szCs w:val="22"/>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120,401</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right="220" w:hanging="652"/>
        <w:spacing w:after="0" w:line="28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Amount in 2015 includes impairment charges of $205.2 million for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$6.3 million for certain capitalized vessel project costs and a $16.4 million impairment charge on goodwill related to our U.K. well intervention reporting unit.</w:t>
      </w:r>
    </w:p>
    <w:p>
      <w:pPr>
        <w:spacing w:after="0" w:line="53"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Amount in 2015 includes a $133.4 million impairment charge for the </w:t>
      </w:r>
      <w:r>
        <w:rPr>
          <w:rFonts w:ascii="Arial" w:cs="Arial" w:eastAsia="Arial" w:hAnsi="Arial"/>
          <w:sz w:val="18"/>
          <w:szCs w:val="18"/>
          <w:i w:val="1"/>
          <w:iCs w:val="1"/>
          <w:color w:val="auto"/>
        </w:rPr>
        <w:t>HP I</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660" w:right="260" w:hanging="652"/>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Amount in 2014 includes the $10.5 million gain on the sale of our Ingleside spoolbase in January 2014. Amount in 2013 includes the $1.1 million loss on the sale of the </w:t>
      </w:r>
      <w:r>
        <w:rPr>
          <w:rFonts w:ascii="Arial" w:cs="Arial" w:eastAsia="Arial" w:hAnsi="Arial"/>
          <w:sz w:val="18"/>
          <w:szCs w:val="18"/>
          <w:i w:val="1"/>
          <w:iCs w:val="1"/>
          <w:color w:val="auto"/>
        </w:rPr>
        <w:t>Caesar</w:t>
      </w:r>
      <w:r>
        <w:rPr>
          <w:rFonts w:ascii="Arial" w:cs="Arial" w:eastAsia="Arial" w:hAnsi="Arial"/>
          <w:sz w:val="18"/>
          <w:szCs w:val="18"/>
          <w:color w:val="auto"/>
        </w:rPr>
        <w:t xml:space="preserve"> in June 2013 and the $15.6 million gain on the sale of the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in July 2013.</w:t>
      </w:r>
    </w:p>
    <w:p>
      <w:pPr>
        <w:spacing w:after="0" w:line="88" w:lineRule="exact"/>
        <w:rPr>
          <w:rFonts w:ascii="Arial" w:cs="Arial" w:eastAsia="Arial" w:hAnsi="Arial"/>
          <w:sz w:val="18"/>
          <w:szCs w:val="18"/>
          <w:color w:val="auto"/>
        </w:rPr>
      </w:pPr>
    </w:p>
    <w:p>
      <w:pPr>
        <w:ind w:left="660" w:right="40" w:hanging="652"/>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in 2014 includes $16.9 million of income with $7.2 million from an insurance reimbursement related to asset retirement work previously performed and the remaining income associated with our overriding royalty interests in ERT’s Wang well, which commenced production in April 2013. Amount in 2013 includes the $12.1 million loss on early extinguishment of debt.</w:t>
      </w:r>
    </w:p>
    <w:p>
      <w:pPr>
        <w:spacing w:after="0" w:line="75"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Amount in 2015 includes unrealized losses totaling $18.3 million on our foreign currency exchange contracts associated with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Canyon</w:t>
      </w:r>
      <w:r>
        <w:rPr>
          <w:rFonts w:ascii="Arial" w:cs="Arial" w:eastAsia="Arial" w:hAnsi="Arial"/>
          <w:sz w:val="18"/>
          <w:szCs w:val="18"/>
          <w:color w:val="auto"/>
        </w:rPr>
        <w:t>,</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chartered vessels.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at rates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80" w:type="dxa"/>
            <w:vAlign w:val="bottom"/>
            <w:gridSpan w:val="5"/>
          </w:tcPr>
          <w:p>
            <w:pPr>
              <w:spacing w:after="0"/>
              <w:rPr>
                <w:sz w:val="20"/>
                <w:szCs w:val="20"/>
                <w:color w:val="auto"/>
              </w:rPr>
            </w:pPr>
            <w:r>
              <w:rPr>
                <w:rFonts w:ascii="Arial" w:cs="Arial" w:eastAsia="Arial" w:hAnsi="Arial"/>
                <w:sz w:val="18"/>
                <w:szCs w:val="18"/>
                <w:color w:val="auto"/>
              </w:rPr>
              <w:t>consistent with those charged to third parties. Intercompany segment revenues are as follows (in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99"/>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Well Intervention</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22,448</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Robotics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31,618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44,575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41,169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Facilities</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Subsea Construction</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68,607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Revenues by individually significant region are as follows (in thousands):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99"/>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298,391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403,994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345,525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North Sea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263,438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504,016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403,816</w:t>
            </w: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133,973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199,146</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127,220</w:t>
            </w:r>
          </w:p>
        </w:tc>
        <w:tc>
          <w:tcPr>
            <w:tcW w:w="0" w:type="dxa"/>
            <w:vAlign w:val="bottom"/>
          </w:tcPr>
          <w:p>
            <w:pPr>
              <w:spacing w:after="0"/>
              <w:rPr>
                <w:sz w:val="1"/>
                <w:szCs w:val="1"/>
                <w:color w:val="auto"/>
              </w:rPr>
            </w:pP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695,802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1,107,156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876,561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revenues of $187.7 million, $362.7 million and $327.1 million, respectively, which were from the U.K.</w:t>
      </w:r>
    </w:p>
    <w:p>
      <w:pPr>
        <w:spacing w:after="0" w:line="225" w:lineRule="exact"/>
        <w:rPr>
          <w:sz w:val="20"/>
          <w:szCs w:val="20"/>
          <w:color w:val="auto"/>
        </w:rPr>
      </w:pPr>
    </w:p>
    <w:p>
      <w:pPr>
        <w:jc w:val="both"/>
        <w:ind w:right="320" w:firstLine="648"/>
        <w:spacing w:after="0" w:line="256" w:lineRule="auto"/>
        <w:rPr>
          <w:sz w:val="20"/>
          <w:szCs w:val="20"/>
          <w:color w:val="auto"/>
        </w:rPr>
      </w:pPr>
      <w:r>
        <w:rPr>
          <w:rFonts w:ascii="Arial" w:cs="Arial" w:eastAsia="Arial" w:hAnsi="Arial"/>
          <w:sz w:val="18"/>
          <w:szCs w:val="18"/>
          <w:color w:val="auto"/>
        </w:rPr>
        <w:t>Our assets related to operations, primarily our vessels, operate throughout the year in various regions around the world such as the U.S. Gulf of Mexico, North Sea, Asia Pacific and West Africa. The following table provides our property and equipment, net of accumulated depreciation, by individually significant geographic location of our assets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1,024,691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893,106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352,740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355,996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Singapore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434,319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113,265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51,963</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1,603,009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1,735,384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Primarily includes vessels under construction.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1"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 and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Related to Our Fleet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In February 2013, we contracted to charter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for use in our robotics operations. The terms of the charters are for five years from their respective delivery dates. We took delivery of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in April 2015 and received a $4.7 million non-refundable payment from the shipyard that constructed the vessel related to the delayed delivery of the vessel. This payment is amortized as a reduction in our cost of sales over the five-year charter for the vessel. The delivery of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has been deferred until May 2016.</w:t>
      </w:r>
    </w:p>
    <w:p>
      <w:pPr>
        <w:spacing w:after="0" w:line="184"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 xml:space="preserve">In September 2013, we executed a contract with the same shipyard in Singapore that constructed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This contract is for the construction of a newbuild semi-submersible well intervention vessel,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which is being built to North Sea standards. This $346.0 million shipyard contract represents the majority of the expected costs associated with the construction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Pursuant to the original terms of this contract, 20% of the contract price was paid upon the signing of the contract and the remaining 80% was to be paid upon the delivery of the vessel. Pursuant to the first amendment, we agreed to pay the shipyard incremental costs of up to $14.5 million to extend the scheduled delivery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from mid-2016 to July 30, 2017. We paid $7.3 million of these costs in July 2015 and the remaining costs will be paid upon the delivery of the vessel. Pursuant to the second amendment we entered into in December 2015, the remaining 80% will be paid in three installments, with 20% in June 2016, 20% upon issuance of the Completion Certificate, which is to be issued on or before December 31, 2017, and 40% upon the delivery of the vessel, which at our option can be deferred until December 30, 2018. We agreed to reimburse the shipyard for incremental costs in connection with the further deferment of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’s delivery. Incremental costs are capitalized as they are incurred during the construction of the vessel. At December 31, 2015, our total investment in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was $112.2 million, including the $69.2 million paid to the shipyard upon signing the contract.</w:t>
      </w:r>
    </w:p>
    <w:p>
      <w:pPr>
        <w:spacing w:after="0" w:line="3"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 xml:space="preserve">In February 2014, we entered into agreements with Petróleo Brasileiro S.A. (“Petrobras”) to provide well intervention services offshore Brazil. The initial term of the agreements with Petrobras is for four years with options to extend. In connection with the Petrobras agreements, we entered into charter agreements with Siem Offshore AS for two newbuild monohull vessels, the </w:t>
      </w:r>
      <w:r>
        <w:rPr>
          <w:rFonts w:ascii="Arial" w:cs="Arial" w:eastAsia="Arial" w:hAnsi="Arial"/>
          <w:sz w:val="18"/>
          <w:szCs w:val="18"/>
          <w:i w:val="1"/>
          <w:iCs w:val="1"/>
          <w:color w:val="auto"/>
        </w:rPr>
        <w:t>Siem Helix I</w:t>
      </w:r>
      <w:r>
        <w:rPr>
          <w:rFonts w:ascii="Arial" w:cs="Arial" w:eastAsia="Arial" w:hAnsi="Arial"/>
          <w:sz w:val="18"/>
          <w:szCs w:val="18"/>
          <w:color w:val="auto"/>
        </w:rPr>
        <w:t xml:space="preserve">, which is expected to be in service for Petrobras in the second half of 2016, and the </w:t>
      </w:r>
      <w:r>
        <w:rPr>
          <w:rFonts w:ascii="Arial" w:cs="Arial" w:eastAsia="Arial" w:hAnsi="Arial"/>
          <w:sz w:val="18"/>
          <w:szCs w:val="18"/>
          <w:i w:val="1"/>
          <w:iCs w:val="1"/>
          <w:color w:val="auto"/>
        </w:rPr>
        <w:t>Siem Helix II</w:t>
      </w:r>
      <w:r>
        <w:rPr>
          <w:rFonts w:ascii="Arial" w:cs="Arial" w:eastAsia="Arial" w:hAnsi="Arial"/>
          <w:sz w:val="18"/>
          <w:szCs w:val="18"/>
          <w:color w:val="auto"/>
        </w:rPr>
        <w:t>, which is expected to be in service in 2017. At December 31, 2015, our total investment in the topside equipment for the two vessels was $113.3 million. In November 2014, we paid a charter fee deposit of $12.5 million, which will be used to reduce our future charter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43"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We lease facilities and charter vessels under non-cancelable operating leases and vessel charters expiring at various dates through 2025. Future minimum rentals at December 31, 2015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Facilities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Vessels</w:t>
            </w: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and Other</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144,389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149,362</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2017</w:t>
            </w:r>
          </w:p>
        </w:tc>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160,215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165,020</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131,331</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2019</w:t>
            </w:r>
          </w:p>
        </w:tc>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122,004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126,464</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107,484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111,525</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199,867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16,706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216,573</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lease commitments</w:t>
            </w:r>
          </w:p>
        </w:tc>
        <w:tc>
          <w:tcPr>
            <w:tcW w:w="3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860,849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39,426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900,275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For the years ended December 31, 2015, 2014 and 2013, total rental expense was approximately $134.3 million, $147.2 million and $102.1 million, respectively.</w:t>
      </w:r>
    </w:p>
    <w:p>
      <w:pPr>
        <w:spacing w:after="0" w:line="196"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We sublease some of our facilities under non-cancelable sublease agreements. For the years ended December 31, 2015, 2014 and 2013, total rental income was $1.4 million, $0.8 million and $0.4 million, respectively. As of December 31, 2015, the minimum rentals to be received in the future totaled $1.6 million.</w:t>
      </w:r>
    </w:p>
    <w:p>
      <w:pPr>
        <w:spacing w:after="0" w:line="20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January 2016, we entered into an agreement to lease back our former office and warehouse property located in Aberdeen, Scotland for 15 years with two five-year options to extend the lease. The annual minimum lease payment is approximately $0.9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18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there are currently no contingencies that would have a material adverse effect on our financial position, results of operations and cash flows. During 2015, we concluded that a potential contractual obligation to reimburse a third party for certain foreign taxes was no longer probable and thus we reversed a previous accrual in the amount of $5.2 million for this contingent liability as a reduction in our cost of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On July 31, 2015, a purported stockholder, Parviz Izadjoo, filed a class action lawsuit styled </w:t>
      </w:r>
      <w:r>
        <w:rPr>
          <w:rFonts w:ascii="Arial" w:cs="Arial" w:eastAsia="Arial" w:hAnsi="Arial"/>
          <w:sz w:val="18"/>
          <w:szCs w:val="18"/>
          <w:i w:val="1"/>
          <w:iCs w:val="1"/>
          <w:color w:val="auto"/>
        </w:rPr>
        <w:t>Parviz Izadjoo v. Owen Kratz and Helix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Energy Solutions Group, Inc. </w:t>
      </w:r>
      <w:r>
        <w:rPr>
          <w:rFonts w:ascii="Arial" w:cs="Arial" w:eastAsia="Arial" w:hAnsi="Arial"/>
          <w:sz w:val="18"/>
          <w:szCs w:val="18"/>
          <w:color w:val="auto"/>
        </w:rPr>
        <w:t>against the Company and Owen Kratz, our President and Chief Executive Officer, in the United States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Court for the Southern District of Texas on behalf of a putative class of all purchasers of shares of our common stock between October 21, 2014, and July 21, 2015, inclusive. The lawsuit asserts violations of Section 10(b) of the Securities Exchange Act of 1934, as amended (the “Exchange Act”) and SEC Rule 10b-5 as to both us and Mr. Kratz, and Section 20(a) of the Exchange Act against Mr. Kratz based on alleged misrepresentations and omissions in SEC filings and other public disclosures regarding projections for 2015 dry docks of two of our vessels working in the Gulf of Mexico that allegedly caused the price at which putative class members bought stock during the proposed class period to be artificially inflated. The deadline to apply for appointment as lead plaintiff was September 29, 2015. On January 28, 2016, the judge approved a motion for the appointment of lead plaintiff and lead counsel, and the plaintiff has until March 14, 2016 to amend the complaint. We believe this lawsuit to be without merit and intend to vigorously defend against it.</w:t>
      </w:r>
    </w:p>
    <w:p>
      <w:pPr>
        <w:spacing w:after="0" w:line="20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are involved in various legal proceedings, some involving claims for personal injury under the General Maritime Laws of the United States and the Jones Act based on alleged negligence. In addition, from time to time we incur other claims, such as contract disputes, in the normal course of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Statement of Cash Flow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supplemental cash flow information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21"/>
                <w:szCs w:val="2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net of interest capitalized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39,040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16,905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70,509</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113,331</w:t>
            </w:r>
          </w:p>
        </w:tc>
      </w:tr>
    </w:tbl>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non-cash investing activities include accruals for property and equipment capital expenditures. As of December 31, 2015 and 2014, these non-cash investing accruals totaled $18.7 million and $14.1 million, respectively. Additionally, our non-cash investing activities for the year ended December 31, 2014 included a $27.5 million non-cash transaction related to the promissory note we received in connection with the sale of our Ingleside spoolbase in January 2014 (Note 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1"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Allowance Accounts</w:t>
      </w:r>
    </w:p>
    <w:p>
      <w:pPr>
        <w:spacing w:after="0" w:line="24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The following table sets forth the activity in our valuation accounts for each of the three years in the period ended December 31, 2015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Allowance</w:t>
            </w:r>
          </w:p>
        </w:tc>
        <w:tc>
          <w:tcPr>
            <w:tcW w:w="240" w:type="dxa"/>
            <w:vAlign w:val="bottom"/>
          </w:tcPr>
          <w:p>
            <w:pPr>
              <w:spacing w:after="0"/>
              <w:rPr>
                <w:sz w:val="17"/>
                <w:szCs w:val="17"/>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Deferred</w:t>
            </w:r>
          </w:p>
        </w:tc>
      </w:tr>
      <w:tr>
        <w:trPr>
          <w:trHeight w:val="203"/>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for</w:t>
            </w:r>
          </w:p>
        </w:tc>
        <w:tc>
          <w:tcPr>
            <w:tcW w:w="240" w:type="dxa"/>
            <w:vAlign w:val="bottom"/>
          </w:tcPr>
          <w:p>
            <w:pPr>
              <w:spacing w:after="0"/>
              <w:rPr>
                <w:sz w:val="17"/>
                <w:szCs w:val="17"/>
                <w:color w:val="auto"/>
              </w:rPr>
            </w:pPr>
          </w:p>
        </w:tc>
        <w:tc>
          <w:tcPr>
            <w:tcW w:w="13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Tax Asset</w:t>
            </w:r>
          </w:p>
        </w:tc>
      </w:tr>
      <w:tr>
        <w:trPr>
          <w:trHeight w:val="203"/>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Uncollectible</w:t>
            </w:r>
          </w:p>
        </w:tc>
        <w:tc>
          <w:tcPr>
            <w:tcW w:w="240" w:type="dxa"/>
            <w:vAlign w:val="bottom"/>
          </w:tcPr>
          <w:p>
            <w:pPr>
              <w:spacing w:after="0"/>
              <w:rPr>
                <w:sz w:val="17"/>
                <w:szCs w:val="17"/>
                <w:color w:val="auto"/>
              </w:rPr>
            </w:pPr>
          </w:p>
        </w:tc>
        <w:tc>
          <w:tcPr>
            <w:tcW w:w="13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Valuation</w:t>
            </w:r>
          </w:p>
        </w:tc>
      </w:tr>
      <w:tr>
        <w:trPr>
          <w:trHeight w:val="246"/>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Accounts</w:t>
            </w:r>
          </w:p>
        </w:tc>
        <w:tc>
          <w:tcPr>
            <w:tcW w:w="240" w:type="dxa"/>
            <w:vAlign w:val="bottom"/>
          </w:tcPr>
          <w:p>
            <w:pPr>
              <w:spacing w:after="0"/>
              <w:rPr>
                <w:sz w:val="21"/>
                <w:szCs w:val="21"/>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Allowance</w:t>
            </w:r>
          </w:p>
        </w:tc>
      </w:tr>
      <w:tr>
        <w:trPr>
          <w:trHeight w:val="324"/>
        </w:trPr>
        <w:tc>
          <w:tcPr>
            <w:tcW w:w="8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16,391</w:t>
            </w:r>
          </w:p>
        </w:tc>
      </w:tr>
      <w:tr>
        <w:trPr>
          <w:trHeight w:val="270"/>
        </w:trPr>
        <w:tc>
          <w:tcPr>
            <w:tcW w:w="8100" w:type="dxa"/>
            <w:vAlign w:val="bottom"/>
          </w:tcPr>
          <w:p>
            <w:pPr>
              <w:ind w:left="20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(2) (3)</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22,860</w:t>
            </w:r>
          </w:p>
        </w:tc>
      </w:tr>
      <w:tr>
        <w:trPr>
          <w:trHeight w:val="277"/>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Pr>
          <w:p>
            <w:pPr>
              <w:ind w:left="200"/>
              <w:spacing w:after="0"/>
              <w:rPr>
                <w:sz w:val="20"/>
                <w:szCs w:val="20"/>
                <w:color w:val="auto"/>
              </w:rPr>
            </w:pPr>
            <w:r>
              <w:rPr>
                <w:rFonts w:ascii="Arial" w:cs="Arial" w:eastAsia="Arial" w:hAnsi="Arial"/>
                <w:sz w:val="18"/>
                <w:szCs w:val="18"/>
                <w:color w:val="auto"/>
              </w:rPr>
              <w:t xml:space="preserve">Deductions </w:t>
            </w:r>
            <w:r>
              <w:rPr>
                <w:rFonts w:ascii="Arial" w:cs="Arial" w:eastAsia="Arial" w:hAnsi="Arial"/>
                <w:sz w:val="21"/>
                <w:szCs w:val="21"/>
                <w:color w:val="auto"/>
                <w:vertAlign w:val="superscript"/>
              </w:rPr>
              <w:t>(4)</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4,735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23,076</w:t>
            </w:r>
          </w:p>
        </w:tc>
      </w:tr>
      <w:tr>
        <w:trPr>
          <w:trHeight w:val="277"/>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tcPr>
          <w:p>
            <w:pPr>
              <w:ind w:left="200"/>
              <w:spacing w:after="0"/>
              <w:rPr>
                <w:sz w:val="20"/>
                <w:szCs w:val="20"/>
                <w:color w:val="auto"/>
              </w:rPr>
            </w:pPr>
            <w:r>
              <w:rPr>
                <w:rFonts w:ascii="Arial" w:cs="Arial" w:eastAsia="Arial" w:hAnsi="Arial"/>
                <w:sz w:val="18"/>
                <w:szCs w:val="18"/>
                <w:color w:val="auto"/>
              </w:rPr>
              <w:t xml:space="preserve">Deductions </w:t>
            </w:r>
            <w:r>
              <w:rPr>
                <w:rFonts w:ascii="Arial" w:cs="Arial" w:eastAsia="Arial" w:hAnsi="Arial"/>
                <w:sz w:val="21"/>
                <w:szCs w:val="21"/>
                <w:color w:val="auto"/>
                <w:vertAlign w:val="superscript"/>
              </w:rPr>
              <w:t>(4)</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w:t>
            </w:r>
          </w:p>
        </w:tc>
      </w:tr>
      <w:tr>
        <w:trPr>
          <w:trHeight w:val="25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1,936</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allowance for uncollectible accounts primarily reflects charges associated with the provision for uncertain collection of a portion of our existing trade receivables related to our Robotics segment.</w:t>
      </w:r>
    </w:p>
    <w:p>
      <w:pPr>
        <w:spacing w:after="0" w:line="34" w:lineRule="exact"/>
        <w:rPr>
          <w:rFonts w:ascii="Arial" w:cs="Arial" w:eastAsia="Arial" w:hAnsi="Arial"/>
          <w:sz w:val="18"/>
          <w:szCs w:val="18"/>
          <w:color w:val="auto"/>
        </w:rPr>
      </w:pPr>
    </w:p>
    <w:p>
      <w:pPr>
        <w:jc w:val="both"/>
        <w:ind w:left="660" w:right="640" w:hanging="652"/>
        <w:spacing w:after="0" w:line="25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decrease in allowance for uncollectible accounts primarily reflects the reversal of a $4.0 million allowance against our trade receivables for work performed offshore India in 2007 as we collected the previously adjusted receivable balance pursuant to a settlement agreement.</w:t>
      </w:r>
    </w:p>
    <w:p>
      <w:pPr>
        <w:spacing w:after="0" w:line="39"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 in valuation allowance includes $6.5 million related to our net operating losses generated in Australia.</w:t>
      </w:r>
    </w:p>
    <w:p>
      <w:pPr>
        <w:spacing w:after="0" w:line="63" w:lineRule="exact"/>
        <w:rPr>
          <w:rFonts w:ascii="Arial" w:cs="Arial" w:eastAsia="Arial" w:hAnsi="Arial"/>
          <w:sz w:val="18"/>
          <w:szCs w:val="18"/>
          <w:color w:val="auto"/>
        </w:rPr>
      </w:pPr>
    </w:p>
    <w:p>
      <w:pPr>
        <w:ind w:left="660" w:right="580" w:hanging="652"/>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decrease in allowance for uncollectible accounts reflects the write-offs of trade receivables that are either settled or deemed uncollectible.</w:t>
      </w:r>
    </w:p>
    <w:p>
      <w:pPr>
        <w:spacing w:after="0" w:line="34" w:lineRule="exact"/>
        <w:rPr>
          <w:rFonts w:ascii="Arial" w:cs="Arial" w:eastAsia="Arial" w:hAnsi="Arial"/>
          <w:sz w:val="18"/>
          <w:szCs w:val="18"/>
          <w:color w:val="auto"/>
        </w:rPr>
      </w:pPr>
    </w:p>
    <w:p>
      <w:pPr>
        <w:ind w:left="660" w:right="680" w:hanging="652"/>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decrease in valuation allowance primarily reflects a $20.6 million reduction related to the loss of deferred tax assets for net operating losses within our Australian subsidiaries.</w:t>
      </w:r>
    </w:p>
    <w:p>
      <w:pPr>
        <w:spacing w:after="0" w:line="142"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See Note 2 for a detailed discussion regarding our accounting policy on accounts receivable and allowance for uncollectible accounts and Note 8 for a detailed discussion of the valuation allowance related to our deferred tax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are based on one or more of three valuation techniques as follows:</w:t>
      </w:r>
    </w:p>
    <w:p>
      <w:pPr>
        <w:spacing w:after="0" w:line="171" w:lineRule="exact"/>
        <w:rPr>
          <w:sz w:val="20"/>
          <w:szCs w:val="20"/>
          <w:color w:val="auto"/>
        </w:rPr>
      </w:pPr>
    </w:p>
    <w:p>
      <w:pPr>
        <w:ind w:left="660" w:right="14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spacing w:after="0" w:line="63"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14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financial instruments include cash and cash equivalents, accounts receivable, accounts payable, long-term debt and various derivative instruments. The carrying amount of cash and cash equivalents, accounts receivable and accounts payable approximates fair value due to the short-term nature of these instruments. The following tables provide additional information relating to other financial instruments measured at fair value on a recurring basis (in thousands):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4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35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592"/>
        </w:trPr>
        <w:tc>
          <w:tcPr>
            <w:tcW w:w="12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gridSpan w:val="6"/>
          </w:tcPr>
          <w:p>
            <w:pPr>
              <w:jc w:val="center"/>
              <w:ind w:right="630"/>
              <w:spacing w:after="0"/>
              <w:rPr>
                <w:sz w:val="20"/>
                <w:szCs w:val="20"/>
                <w:color w:val="auto"/>
              </w:rPr>
            </w:pPr>
            <w:r>
              <w:rPr>
                <w:rFonts w:ascii="Arial" w:cs="Arial" w:eastAsia="Arial" w:hAnsi="Arial"/>
                <w:sz w:val="18"/>
                <w:szCs w:val="18"/>
                <w:b w:val="1"/>
                <w:bCs w:val="1"/>
                <w:color w:val="auto"/>
                <w:w w:val="99"/>
              </w:rPr>
              <w:t>Fair Value Measurements at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6"/>
        </w:trPr>
        <w:tc>
          <w:tcPr>
            <w:tcW w:w="12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center"/>
              <w:ind w:right="630"/>
              <w:spacing w:after="0"/>
              <w:rPr>
                <w:sz w:val="20"/>
                <w:szCs w:val="20"/>
                <w:color w:val="auto"/>
              </w:rPr>
            </w:pPr>
            <w:r>
              <w:rPr>
                <w:rFonts w:ascii="Arial" w:cs="Arial" w:eastAsia="Arial" w:hAnsi="Arial"/>
                <w:sz w:val="18"/>
                <w:szCs w:val="18"/>
                <w:b w:val="1"/>
                <w:bCs w:val="1"/>
                <w:color w:val="auto"/>
              </w:rPr>
              <w:t>December 31, 2015 Using</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Valuation</w:t>
            </w:r>
          </w:p>
        </w:tc>
      </w:tr>
      <w:tr>
        <w:trPr>
          <w:trHeight w:val="270"/>
        </w:trPr>
        <w:tc>
          <w:tcPr>
            <w:tcW w:w="1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 xml:space="preserve">Level 2 </w:t>
            </w:r>
            <w:r>
              <w:rPr>
                <w:rFonts w:ascii="Arial" w:cs="Arial" w:eastAsia="Arial" w:hAnsi="Arial"/>
                <w:sz w:val="21"/>
                <w:szCs w:val="21"/>
                <w:b w:val="1"/>
                <w:bCs w:val="1"/>
                <w:color w:val="auto"/>
                <w:w w:val="93"/>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Technique</w:t>
            </w:r>
          </w:p>
        </w:tc>
      </w:tr>
      <w:tr>
        <w:trPr>
          <w:trHeight w:val="25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7"/>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324"/>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11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61,427</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61,427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0"/>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57"/>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Total net liability</w:t>
            </w: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62,487</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62,487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22"/>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gridSpan w:val="6"/>
          </w:tcPr>
          <w:p>
            <w:pPr>
              <w:jc w:val="center"/>
              <w:ind w:right="630"/>
              <w:spacing w:after="0"/>
              <w:rPr>
                <w:sz w:val="20"/>
                <w:szCs w:val="20"/>
                <w:color w:val="auto"/>
              </w:rPr>
            </w:pPr>
            <w:r>
              <w:rPr>
                <w:rFonts w:ascii="Arial" w:cs="Arial" w:eastAsia="Arial" w:hAnsi="Arial"/>
                <w:sz w:val="18"/>
                <w:szCs w:val="18"/>
                <w:b w:val="1"/>
                <w:bCs w:val="1"/>
                <w:color w:val="auto"/>
                <w:w w:val="99"/>
              </w:rPr>
              <w:t>Fair Value Measurements at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6"/>
        </w:trPr>
        <w:tc>
          <w:tcPr>
            <w:tcW w:w="12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center"/>
              <w:ind w:right="630"/>
              <w:spacing w:after="0"/>
              <w:rPr>
                <w:sz w:val="20"/>
                <w:szCs w:val="20"/>
                <w:color w:val="auto"/>
              </w:rPr>
            </w:pPr>
            <w:r>
              <w:rPr>
                <w:rFonts w:ascii="Arial" w:cs="Arial" w:eastAsia="Arial" w:hAnsi="Arial"/>
                <w:sz w:val="18"/>
                <w:szCs w:val="18"/>
                <w:b w:val="1"/>
                <w:bCs w:val="1"/>
                <w:color w:val="auto"/>
              </w:rPr>
              <w:t>December 31, 2014 Using</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Valuation</w:t>
            </w:r>
          </w:p>
        </w:tc>
      </w:tr>
      <w:tr>
        <w:trPr>
          <w:trHeight w:val="270"/>
        </w:trPr>
        <w:tc>
          <w:tcPr>
            <w:tcW w:w="12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 xml:space="preserve">Level 2 </w:t>
            </w:r>
            <w:r>
              <w:rPr>
                <w:rFonts w:ascii="Arial" w:cs="Arial" w:eastAsia="Arial" w:hAnsi="Arial"/>
                <w:sz w:val="21"/>
                <w:szCs w:val="21"/>
                <w:b w:val="1"/>
                <w:bCs w:val="1"/>
                <w:color w:val="auto"/>
                <w:w w:val="93"/>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Technique</w:t>
            </w:r>
          </w:p>
        </w:tc>
      </w:tr>
      <w:tr>
        <w:trPr>
          <w:trHeight w:val="25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7"/>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324"/>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Foreign exchange contracts</w:t>
            </w:r>
          </w:p>
        </w:tc>
        <w:tc>
          <w:tcPr>
            <w:tcW w:w="11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0"/>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57"/>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Total net liability</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50,620</w:t>
            </w:r>
          </w:p>
        </w:tc>
        <w:tc>
          <w:tcPr>
            <w:tcW w:w="100" w:type="dxa"/>
            <w:vAlign w:val="bottom"/>
          </w:tcPr>
          <w:p>
            <w:pPr>
              <w:spacing w:after="0"/>
              <w:rPr>
                <w:sz w:val="22"/>
                <w:szCs w:val="22"/>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50,620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right="140" w:hanging="652"/>
        <w:spacing w:after="0" w:line="25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indicated, the fair value of our Level 2 derivative instruments reflects our best estimate and is based upon exchange or over-the-counter quotations whenever they are available. Quoted valuations may not be available due to location differences or terms that extend beyond the period for which quotations are available. Where quotes are not available, we utilize other valuation techniques or models to estimate market values. These modeling techniques require us to make estimations of future prices, price correlation and market volatility and liquidity based on market data. Our actual results may differ from our estimates, and these differences could be positive or negative. See Note 18 for further discussion on fair value of our derivative instruments.</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carrying values and estimated fair values of our long-term debt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64"/>
        </w:trPr>
        <w:tc>
          <w:tcPr>
            <w:tcW w:w="5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200" w:type="dxa"/>
            <w:vAlign w:val="bottom"/>
            <w:tcBorders>
              <w:bottom w:val="single" w:sz="8" w:color="auto"/>
            </w:tcBorders>
          </w:tcPr>
          <w:p>
            <w:pPr>
              <w:spacing w:after="0"/>
              <w:rPr>
                <w:sz w:val="22"/>
                <w:szCs w:val="22"/>
                <w:color w:val="auto"/>
              </w:rPr>
            </w:pPr>
          </w:p>
        </w:tc>
      </w:tr>
      <w:tr>
        <w:trPr>
          <w:trHeight w:val="207"/>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Carrying</w:t>
            </w:r>
          </w:p>
        </w:tc>
        <w:tc>
          <w:tcPr>
            <w:tcW w:w="30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Carrying</w:t>
            </w:r>
          </w:p>
        </w:tc>
        <w:tc>
          <w:tcPr>
            <w:tcW w:w="280" w:type="dxa"/>
            <w:vAlign w:val="bottom"/>
          </w:tcPr>
          <w:p>
            <w:pPr>
              <w:spacing w:after="0"/>
              <w:rPr>
                <w:sz w:val="17"/>
                <w:szCs w:val="17"/>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52"/>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c>
          <w:tcPr>
            <w:tcW w:w="30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21"/>
                <w:szCs w:val="21"/>
                <w:b w:val="1"/>
                <w:bCs w:val="1"/>
                <w:color w:val="auto"/>
                <w:w w:val="94"/>
                <w:vertAlign w:val="superscript"/>
              </w:rPr>
              <w:t>(2)</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Value</w:t>
            </w:r>
          </w:p>
        </w:tc>
        <w:tc>
          <w:tcPr>
            <w:tcW w:w="28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1"/>
                <w:szCs w:val="21"/>
                <w:b w:val="1"/>
                <w:bCs w:val="1"/>
                <w:color w:val="auto"/>
                <w:vertAlign w:val="superscript"/>
              </w:rPr>
              <w:t>(2)</w:t>
            </w:r>
          </w:p>
        </w:tc>
      </w:tr>
      <w:tr>
        <w:trPr>
          <w:trHeight w:val="318"/>
        </w:trPr>
        <w:tc>
          <w:tcPr>
            <w:tcW w:w="5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(matures June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248,467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270,563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Nordea Q5000 Loan (matures April 2020)</w:t>
            </w: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232,143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221,553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MARAD Debt (matures February 2027)</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104,897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104,830</w:t>
            </w: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2032 Notes (mature March 2032)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150,250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222,900</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725,167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598,293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260" w:hanging="652"/>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Carrying amount excludes the related unamortized debt discount of $15.0 million and $20.9 million at December 31, 2015 and 2014, respectively.</w:t>
      </w:r>
    </w:p>
    <w:p>
      <w:pPr>
        <w:spacing w:after="0" w:line="88" w:lineRule="exact"/>
        <w:rPr>
          <w:rFonts w:ascii="Arial" w:cs="Arial" w:eastAsia="Arial" w:hAnsi="Arial"/>
          <w:sz w:val="18"/>
          <w:szCs w:val="18"/>
          <w:color w:val="auto"/>
        </w:rPr>
      </w:pPr>
    </w:p>
    <w:p>
      <w:pPr>
        <w:ind w:left="660" w:hanging="652"/>
        <w:spacing w:after="0" w:line="25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estimated fair value of the 2032 Notes was determined using Level 1 inputs under the market approach. The fair value of the Term Loan, the Nordea Q5000 Loan and the MARAD Debt was estimated using Level 2 fair value inputs under the market approach. The fair value of the Term Loan, the Nordea Q5000 Loan and the MARAD Debt was determined using a third party evaluation of the remaining average life and outstanding principal balance of the indebtedness as compared to other obligations in the marketplace with similar terms.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 Instruments and Hedging Activities</w:t>
      </w:r>
    </w:p>
    <w:p>
      <w:pPr>
        <w:spacing w:after="0" w:line="193" w:lineRule="exact"/>
        <w:rPr>
          <w:sz w:val="20"/>
          <w:szCs w:val="20"/>
          <w:color w:val="auto"/>
        </w:rPr>
      </w:pPr>
    </w:p>
    <w:p>
      <w:pPr>
        <w:ind w:right="580" w:firstLine="648"/>
        <w:spacing w:after="0" w:line="262" w:lineRule="auto"/>
        <w:rPr>
          <w:sz w:val="20"/>
          <w:szCs w:val="20"/>
          <w:color w:val="auto"/>
        </w:rPr>
      </w:pPr>
      <w:r>
        <w:rPr>
          <w:rFonts w:ascii="Arial" w:cs="Arial" w:eastAsia="Arial" w:hAnsi="Arial"/>
          <w:sz w:val="18"/>
          <w:szCs w:val="18"/>
          <w:color w:val="auto"/>
        </w:rPr>
        <w:t>The following table presents the fair value and balance sheet classification of our derivative instruments that were designated as hedging instruments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64"/>
        </w:trPr>
        <w:tc>
          <w:tcPr>
            <w:tcW w:w="3100" w:type="dxa"/>
            <w:vAlign w:val="bottom"/>
          </w:tcPr>
          <w:p>
            <w:pPr>
              <w:spacing w:after="0"/>
              <w:rPr>
                <w:sz w:val="22"/>
                <w:szCs w:val="22"/>
                <w:color w:val="auto"/>
              </w:rPr>
            </w:pPr>
          </w:p>
        </w:tc>
        <w:tc>
          <w:tcPr>
            <w:tcW w:w="2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7"/>
        </w:trPr>
        <w:tc>
          <w:tcPr>
            <w:tcW w:w="3100" w:type="dxa"/>
            <w:vAlign w:val="bottom"/>
          </w:tcPr>
          <w:p>
            <w:pPr>
              <w:spacing w:after="0"/>
              <w:rPr>
                <w:sz w:val="17"/>
                <w:szCs w:val="17"/>
                <w:color w:val="auto"/>
              </w:rPr>
            </w:pPr>
          </w:p>
        </w:tc>
        <w:tc>
          <w:tcPr>
            <w:tcW w:w="27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9"/>
              </w:rPr>
              <w:t>Balance Sheet</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c>
          <w:tcPr>
            <w:tcW w:w="27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w:t>
            </w:r>
          </w:p>
        </w:tc>
      </w:tr>
      <w:tr>
        <w:trPr>
          <w:trHeight w:val="246"/>
        </w:trPr>
        <w:tc>
          <w:tcPr>
            <w:tcW w:w="3100" w:type="dxa"/>
            <w:vAlign w:val="bottom"/>
          </w:tcPr>
          <w:p>
            <w:pPr>
              <w:spacing w:after="0"/>
              <w:rPr>
                <w:sz w:val="21"/>
                <w:szCs w:val="21"/>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Location</w:t>
            </w:r>
          </w:p>
        </w:tc>
        <w:tc>
          <w:tcPr>
            <w:tcW w:w="30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1"/>
                <w:szCs w:val="21"/>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color w:val="auto"/>
              </w:rPr>
              <w:t>Asset Derivatives:</w:t>
            </w: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Other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90"/>
        </w:trPr>
        <w:tc>
          <w:tcPr>
            <w:tcW w:w="310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2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w:t>
            </w:r>
          </w:p>
        </w:tc>
      </w:tr>
      <w:tr>
        <w:trPr>
          <w:trHeight w:val="311"/>
        </w:trPr>
        <w:tc>
          <w:tcPr>
            <w:tcW w:w="31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color w:val="auto"/>
              </w:rPr>
              <w:t>Liability Derivatives:</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Accrued liabilities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14,955</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12,661</w:t>
            </w:r>
          </w:p>
        </w:tc>
      </w:tr>
      <w:tr>
        <w:trPr>
          <w:trHeight w:val="263"/>
        </w:trPr>
        <w:tc>
          <w:tcPr>
            <w:tcW w:w="31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Accrued liabilities</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2"/>
                <w:szCs w:val="22"/>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28,458</w:t>
            </w: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37,767</w:t>
            </w:r>
          </w:p>
        </w:tc>
      </w:tr>
      <w:tr>
        <w:trPr>
          <w:trHeight w:val="250"/>
        </w:trPr>
        <w:tc>
          <w:tcPr>
            <w:tcW w:w="3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44,886</w:t>
            </w: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50,989</w:t>
            </w:r>
          </w:p>
        </w:tc>
      </w:tr>
      <w:tr>
        <w:trPr>
          <w:trHeight w:val="20"/>
        </w:trPr>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The following table presents the fair value and balance sheet classification of our derivative instruments that were not designated as hedging instruments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64"/>
        </w:trPr>
        <w:tc>
          <w:tcPr>
            <w:tcW w:w="3100" w:type="dxa"/>
            <w:vAlign w:val="bottom"/>
          </w:tcPr>
          <w:p>
            <w:pPr>
              <w:spacing w:after="0"/>
              <w:rPr>
                <w:sz w:val="22"/>
                <w:szCs w:val="22"/>
                <w:color w:val="auto"/>
              </w:rPr>
            </w:pPr>
          </w:p>
        </w:tc>
        <w:tc>
          <w:tcPr>
            <w:tcW w:w="2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7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7"/>
        </w:trPr>
        <w:tc>
          <w:tcPr>
            <w:tcW w:w="3100" w:type="dxa"/>
            <w:vAlign w:val="bottom"/>
          </w:tcPr>
          <w:p>
            <w:pPr>
              <w:spacing w:after="0"/>
              <w:rPr>
                <w:sz w:val="17"/>
                <w:szCs w:val="17"/>
                <w:color w:val="auto"/>
              </w:rPr>
            </w:pPr>
          </w:p>
        </w:tc>
        <w:tc>
          <w:tcPr>
            <w:tcW w:w="27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9"/>
              </w:rPr>
              <w:t>Balance Sheet</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c>
          <w:tcPr>
            <w:tcW w:w="27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Fair</w:t>
            </w:r>
          </w:p>
        </w:tc>
      </w:tr>
      <w:tr>
        <w:trPr>
          <w:trHeight w:val="246"/>
        </w:trPr>
        <w:tc>
          <w:tcPr>
            <w:tcW w:w="3100" w:type="dxa"/>
            <w:vAlign w:val="bottom"/>
          </w:tcPr>
          <w:p>
            <w:pPr>
              <w:spacing w:after="0"/>
              <w:rPr>
                <w:sz w:val="21"/>
                <w:szCs w:val="21"/>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Location</w:t>
            </w:r>
          </w:p>
        </w:tc>
        <w:tc>
          <w:tcPr>
            <w:tcW w:w="30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1"/>
                <w:szCs w:val="21"/>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rPr>
                <w:sz w:val="21"/>
                <w:szCs w:val="21"/>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Value</w:t>
            </w:r>
          </w:p>
        </w:tc>
      </w:tr>
      <w:tr>
        <w:trPr>
          <w:trHeight w:val="263"/>
        </w:trPr>
        <w:tc>
          <w:tcPr>
            <w:tcW w:w="3100" w:type="dxa"/>
            <w:vAlign w:val="bottom"/>
          </w:tcPr>
          <w:p>
            <w:pPr>
              <w:ind w:left="40"/>
              <w:spacing w:after="0"/>
              <w:rPr>
                <w:sz w:val="20"/>
                <w:szCs w:val="20"/>
                <w:color w:val="auto"/>
              </w:rPr>
            </w:pPr>
            <w:r>
              <w:rPr>
                <w:rFonts w:ascii="Arial" w:cs="Arial" w:eastAsia="Arial" w:hAnsi="Arial"/>
                <w:sz w:val="18"/>
                <w:szCs w:val="18"/>
                <w:color w:val="auto"/>
              </w:rPr>
              <w:t>Liability Derivatives:</w:t>
            </w: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2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Accrued liabilities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64"/>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exchange contracts</w:t>
            </w:r>
          </w:p>
        </w:tc>
        <w:tc>
          <w:tcPr>
            <w:tcW w:w="27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Other non-current liabilities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11,251</w:t>
            </w:r>
          </w:p>
        </w:tc>
        <w:tc>
          <w:tcPr>
            <w:tcW w:w="12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50"/>
        </w:trPr>
        <w:tc>
          <w:tcPr>
            <w:tcW w:w="3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18,014</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As a result of the announcement in December 2012 of the sale of ERT, we de-designated all of our then remaining oil and gas derivative contracts and our then existing interest rate swaps as hedging instruments. In February 2013, we cash settled all of these commodity derivative contracts and interest rate swap contracts.</w:t>
      </w:r>
    </w:p>
    <w:p>
      <w:pPr>
        <w:spacing w:after="0" w:line="148"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In January 2013, we entered into foreign currency exchange contracts to hedge through September 2017 the foreign currency exposure associated with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charter payments ($104.6 million) denominated in Norwegian kroner (NOK591.3 million). In February 2013, we entered into similar foreign currency exchange contracts to hedge our foreign currency exposure with respect to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charter payments ($100.4 million and $98.8 million, respectively) denominated in Norwegian kroner</w:t>
      </w:r>
      <w:r>
        <w:rPr>
          <w:rFonts w:ascii="Arial" w:cs="Arial" w:eastAsia="Arial" w:hAnsi="Arial"/>
          <w:sz w:val="18"/>
          <w:szCs w:val="18"/>
          <w:i w:val="1"/>
          <w:iCs w:val="1"/>
          <w:color w:val="auto"/>
        </w:rPr>
        <w:t xml:space="preserve"> </w:t>
      </w:r>
      <w:r>
        <w:rPr>
          <w:rFonts w:ascii="Arial" w:cs="Arial" w:eastAsia="Arial" w:hAnsi="Arial"/>
          <w:sz w:val="18"/>
          <w:szCs w:val="18"/>
          <w:color w:val="auto"/>
        </w:rPr>
        <w:t>(NOK594.7 million and NOK595.0 million, respectively), through July 2019 and February 2020, respectively.</w:t>
      </w:r>
    </w:p>
    <w:p>
      <w:pPr>
        <w:spacing w:after="0" w:line="13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During renegotiations on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charters, it became apparent in December 2015 that a portion of previously forecasted charter payments in NOK would no longer be made. We concluded that the foreign currency exchange contracts associated with the charter payments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vessels no longer qualified for hedge accounting treatment. As a result, we de-designated these hedges and re-designated the hedging relationship between a portion of our foreign currency exchange contracts and our forecasted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 payments of NOK434.1 million and NOK185.2 million, respectively, that were expected to remain highly probable of occurring. We recognized unrealized losses of $18.0 million related to the foreign currency exchange contracts associated with the portion of previously forecasted charter payments that would no longer be made. These unrealized losses are reflected in “Other income (expense), net” in the accompanying consolidated statement of operations. As of December 31, 2015, our Accumulated OCI (net of tax) included unrealized losses of $19.8 million associated with the re-designated foreign currency exchange contracts that qualify for hedge accounting treatment.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1"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Hedge ineffectiveness is reflected in “Other income (expense), net” in the accompanying consolidated statement of operations. For the year ended December 31, 2015, we recorded realized losses of $3.6 million related to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hedge ineffectiveness and unrealized losses of $1.5 million related to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hedge ineffectiveness. For the year ended December 31, 2014, we recorded realized losses of $0.5 million and unrealized losses of $1.2 million related to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hedge ineffectiveness. Ineffectiveness associated with our cash flow hedges was immaterial for the year ended December 31, 2013.</w:t>
      </w:r>
    </w:p>
    <w:p>
      <w:pPr>
        <w:spacing w:after="0" w:line="2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September 2013, we entered into various interest rate swap contracts to fix the interest rate on $148.1 million of our Term Loan borrowings (Note 7). These contracts, which are settled monthly, began in October 2013 and extend through October 2016. Additionally, in June 2015 we entered into various interest rate swap contracts to fix the interest rate on $187.5 million of our Nordea Q5000 Loan borrowings (Note 7). These swap contracts, which are settled monthly, began in June 2015 and extend through April 2020. Our interest rate swap contracts qualify for cash flow hedge accounting treatment.</w:t>
      </w:r>
    </w:p>
    <w:p>
      <w:pPr>
        <w:spacing w:after="0" w:line="20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following tables present the impact that derivative instruments designated as cash flow hedges had on our Accumulated OCI (net of tax) and our consolidated statements of operations (in thousands). We estimate that as of December 31, 2015, $9.6 million of losses in Accumulated OCI associated with our derivatives is expected to be reclassified into earnings within the next 12 months.</w:t>
      </w:r>
    </w:p>
    <w:p>
      <w:pPr>
        <w:spacing w:after="0" w:line="126"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Gain (Loss) Recognized in OCI</w:t>
      </w:r>
    </w:p>
    <w:p>
      <w:pPr>
        <w:spacing w:after="0" w:line="13"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on Derivatives, Net of Tax</w:t>
      </w:r>
    </w:p>
    <w:p>
      <w:pPr>
        <w:jc w:val="center"/>
        <w:ind w:left="6780"/>
        <w:spacing w:after="0"/>
        <w:rPr>
          <w:sz w:val="20"/>
          <w:szCs w:val="20"/>
          <w:color w:val="auto"/>
        </w:rPr>
      </w:pPr>
      <w:r>
        <w:rPr>
          <w:rFonts w:ascii="Arial" w:cs="Arial" w:eastAsia="Arial" w:hAnsi="Arial"/>
          <w:sz w:val="18"/>
          <w:szCs w:val="18"/>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28575</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9"/>
              </w:rPr>
              <w:t>Loss Reclassified from</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3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Location of Loss</w:t>
            </w:r>
          </w:p>
        </w:tc>
        <w:tc>
          <w:tcPr>
            <w:tcW w:w="340" w:type="dxa"/>
            <w:vAlign w:val="bottom"/>
          </w:tcPr>
          <w:p>
            <w:pPr>
              <w:spacing w:after="0"/>
              <w:rPr>
                <w:sz w:val="17"/>
                <w:szCs w:val="17"/>
                <w:color w:val="auto"/>
              </w:rPr>
            </w:pPr>
          </w:p>
        </w:tc>
        <w:tc>
          <w:tcPr>
            <w:tcW w:w="3380" w:type="dxa"/>
            <w:vAlign w:val="bottom"/>
            <w:gridSpan w:val="6"/>
          </w:tcPr>
          <w:p>
            <w:pPr>
              <w:jc w:val="center"/>
              <w:ind w:left="550"/>
              <w:spacing w:after="0" w:line="202" w:lineRule="exact"/>
              <w:rPr>
                <w:sz w:val="20"/>
                <w:szCs w:val="20"/>
                <w:color w:val="auto"/>
              </w:rPr>
            </w:pPr>
            <w:r>
              <w:rPr>
                <w:rFonts w:ascii="Arial" w:cs="Arial" w:eastAsia="Arial" w:hAnsi="Arial"/>
                <w:sz w:val="18"/>
                <w:szCs w:val="18"/>
                <w:b w:val="1"/>
                <w:bCs w:val="1"/>
                <w:color w:val="auto"/>
                <w:w w:val="99"/>
              </w:rPr>
              <w:t>Accumulated OCI into Earnings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4"/>
          </w:tcPr>
          <w:p>
            <w:pPr>
              <w:jc w:val="center"/>
              <w:spacing w:after="0" w:line="185" w:lineRule="exact"/>
              <w:rPr>
                <w:sz w:val="20"/>
                <w:szCs w:val="20"/>
                <w:color w:val="auto"/>
              </w:rPr>
            </w:pPr>
            <w:r>
              <w:rPr>
                <w:rFonts w:ascii="Arial" w:cs="Arial" w:eastAsia="Arial" w:hAnsi="Arial"/>
                <w:sz w:val="18"/>
                <w:szCs w:val="18"/>
                <w:b w:val="1"/>
                <w:bCs w:val="1"/>
                <w:color w:val="auto"/>
              </w:rPr>
              <w:t>(Effective Portion)</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3400" w:type="dxa"/>
            <w:vAlign w:val="bottom"/>
            <w:gridSpan w:val="2"/>
            <w:vMerge w:val="restart"/>
          </w:tcPr>
          <w:p>
            <w:pPr>
              <w:jc w:val="center"/>
              <w:ind w:right="100"/>
              <w:spacing w:after="0" w:line="166" w:lineRule="exact"/>
              <w:rPr>
                <w:sz w:val="20"/>
                <w:szCs w:val="20"/>
                <w:color w:val="auto"/>
              </w:rPr>
            </w:pPr>
            <w:r>
              <w:rPr>
                <w:rFonts w:ascii="Arial" w:cs="Arial" w:eastAsia="Arial" w:hAnsi="Arial"/>
                <w:sz w:val="18"/>
                <w:szCs w:val="18"/>
                <w:b w:val="1"/>
                <w:bCs w:val="1"/>
                <w:color w:val="auto"/>
                <w:w w:val="99"/>
              </w:rPr>
              <w:t>Reclassified from</w:t>
            </w: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3340" w:type="dxa"/>
            <w:vAlign w:val="bottom"/>
          </w:tcPr>
          <w:p>
            <w:pPr>
              <w:spacing w:after="0"/>
              <w:rPr>
                <w:sz w:val="6"/>
                <w:szCs w:val="6"/>
                <w:color w:val="auto"/>
              </w:rPr>
            </w:pPr>
          </w:p>
        </w:tc>
        <w:tc>
          <w:tcPr>
            <w:tcW w:w="34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3380" w:type="dxa"/>
            <w:vAlign w:val="bottom"/>
            <w:gridSpan w:val="6"/>
            <w:vMerge w:val="restart"/>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400" w:type="dxa"/>
            <w:vAlign w:val="bottom"/>
            <w:gridSpan w:val="2"/>
          </w:tcPr>
          <w:p>
            <w:pPr>
              <w:jc w:val="center"/>
              <w:ind w:right="100"/>
              <w:spacing w:after="0" w:line="165" w:lineRule="exact"/>
              <w:rPr>
                <w:sz w:val="20"/>
                <w:szCs w:val="20"/>
                <w:color w:val="auto"/>
              </w:rPr>
            </w:pPr>
            <w:r>
              <w:rPr>
                <w:rFonts w:ascii="Arial" w:cs="Arial" w:eastAsia="Arial" w:hAnsi="Arial"/>
                <w:sz w:val="18"/>
                <w:szCs w:val="18"/>
                <w:b w:val="1"/>
                <w:bCs w:val="1"/>
                <w:color w:val="auto"/>
                <w:w w:val="99"/>
              </w:rPr>
              <w:t>Accumulated OCI</w:t>
            </w:r>
          </w:p>
        </w:tc>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into Earnings</w:t>
            </w:r>
          </w:p>
        </w:tc>
        <w:tc>
          <w:tcPr>
            <w:tcW w:w="34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Cost of sales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swaps</w:t>
            </w:r>
          </w:p>
        </w:tc>
        <w:tc>
          <w:tcPr>
            <w:tcW w:w="34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Net interest expense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420" w:type="dxa"/>
            <w:vAlign w:val="bottom"/>
            <w:gridSpan w:val="11"/>
          </w:tcPr>
          <w:p>
            <w:pPr>
              <w:jc w:val="right"/>
              <w:ind w:right="270"/>
              <w:spacing w:after="0"/>
              <w:rPr>
                <w:sz w:val="20"/>
                <w:szCs w:val="20"/>
                <w:color w:val="auto"/>
              </w:rPr>
            </w:pPr>
            <w:r>
              <w:rPr>
                <w:rFonts w:ascii="Arial" w:cs="Arial" w:eastAsia="Arial" w:hAnsi="Arial"/>
                <w:sz w:val="18"/>
                <w:szCs w:val="18"/>
                <w:color w:val="auto"/>
              </w:rPr>
              <w:t>The following table presents the impact that derivative instruments not designated as hedges had on our consolidated statement of</w:t>
            </w: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operations (in thousands):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9"/>
              </w:rPr>
              <w:t>Gain (Loss) Recognized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340" w:type="dxa"/>
            <w:vAlign w:val="bottom"/>
          </w:tcPr>
          <w:p>
            <w:pPr>
              <w:spacing w:after="0"/>
              <w:rPr>
                <w:sz w:val="21"/>
                <w:szCs w:val="21"/>
                <w:color w:val="auto"/>
              </w:rPr>
            </w:pPr>
          </w:p>
        </w:tc>
        <w:tc>
          <w:tcPr>
            <w:tcW w:w="3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Location of Gain (Loss)</w:t>
            </w:r>
          </w:p>
        </w:tc>
        <w:tc>
          <w:tcPr>
            <w:tcW w:w="3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9"/>
              </w:rPr>
              <w:t>in Earnings on Derivatives</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3340" w:type="dxa"/>
            <w:vAlign w:val="bottom"/>
          </w:tcPr>
          <w:p>
            <w:pPr>
              <w:spacing w:after="0"/>
              <w:rPr>
                <w:sz w:val="7"/>
                <w:szCs w:val="7"/>
                <w:color w:val="auto"/>
              </w:rPr>
            </w:pPr>
          </w:p>
        </w:tc>
        <w:tc>
          <w:tcPr>
            <w:tcW w:w="3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3380" w:type="dxa"/>
            <w:vAlign w:val="bottom"/>
            <w:gridSpan w:val="6"/>
            <w:vMerge w:val="restart"/>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400" w:type="dxa"/>
            <w:vAlign w:val="bottom"/>
            <w:gridSpan w:val="2"/>
          </w:tcPr>
          <w:p>
            <w:pPr>
              <w:jc w:val="center"/>
              <w:ind w:right="120"/>
              <w:spacing w:after="0" w:line="165" w:lineRule="exact"/>
              <w:rPr>
                <w:sz w:val="20"/>
                <w:szCs w:val="20"/>
                <w:color w:val="auto"/>
              </w:rPr>
            </w:pPr>
            <w:r>
              <w:rPr>
                <w:rFonts w:ascii="Arial" w:cs="Arial" w:eastAsia="Arial" w:hAnsi="Arial"/>
                <w:sz w:val="18"/>
                <w:szCs w:val="18"/>
                <w:b w:val="1"/>
                <w:bCs w:val="1"/>
                <w:color w:val="auto"/>
                <w:w w:val="99"/>
              </w:rPr>
              <w:t>Recognized in Earnings</w:t>
            </w:r>
          </w:p>
        </w:tc>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on Derivatives</w:t>
            </w:r>
          </w:p>
        </w:tc>
        <w:tc>
          <w:tcPr>
            <w:tcW w:w="34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commodity contracts</w:t>
            </w:r>
          </w:p>
        </w:tc>
        <w:tc>
          <w:tcPr>
            <w:tcW w:w="3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Loss on commodity derivative contracts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63"/>
        </w:trPr>
        <w:tc>
          <w:tcPr>
            <w:tcW w:w="33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Other income (expense),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(18,014)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300" w:type="dxa"/>
            <w:vAlign w:val="bottom"/>
            <w:vMerge w:val="restart"/>
          </w:tcPr>
          <w:p>
            <w:pPr>
              <w:jc w:val="right"/>
              <w:ind w:right="75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Financial Information (Unaudited)</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Offshore marine construction activities may fluctuate as a result of weather conditions as well as the timing of capital expenditures by oil and gas companies. Historically, a substantial portion of our services has been performed during the summer and fall months. As a result, historically a disproportionate portion of our revenues and net income is earned during such period. The following is a summary of consolidated quarterly financial information (in thousands,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2"/>
                <w:szCs w:val="22"/>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2"/>
                <w:szCs w:val="22"/>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4460" w:type="dxa"/>
            <w:vAlign w:val="bottom"/>
          </w:tcPr>
          <w:p>
            <w:pPr>
              <w:ind w:left="50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166,016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182,462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157,683</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 xml:space="preserve">Gross profit (loss) </w:t>
            </w:r>
            <w:r>
              <w:rPr>
                <w:rFonts w:ascii="Arial" w:cs="Arial" w:eastAsia="Arial" w:hAnsi="Arial"/>
                <w:sz w:val="21"/>
                <w:szCs w:val="21"/>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34,947</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23"/>
                <w:szCs w:val="23"/>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31,969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(324,898)</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applicable to common shareholders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(403,867)</w:t>
            </w:r>
          </w:p>
        </w:tc>
        <w:tc>
          <w:tcPr>
            <w:tcW w:w="0" w:type="dxa"/>
            <w:vAlign w:val="bottom"/>
          </w:tcPr>
          <w:p>
            <w:pPr>
              <w:spacing w:after="0"/>
              <w:rPr>
                <w:sz w:val="1"/>
                <w:szCs w:val="1"/>
                <w:color w:val="auto"/>
              </w:rPr>
            </w:pPr>
          </w:p>
        </w:tc>
      </w:tr>
      <w:tr>
        <w:trPr>
          <w:trHeight w:val="152"/>
        </w:trPr>
        <w:tc>
          <w:tcPr>
            <w:tcW w:w="446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240" w:type="dxa"/>
            <w:vAlign w:val="bottom"/>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rPr>
              <w:t>Quarter Ended</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264"/>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2"/>
                <w:szCs w:val="22"/>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2"/>
                <w:szCs w:val="22"/>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4460" w:type="dxa"/>
            <w:vAlign w:val="bottom"/>
          </w:tcPr>
          <w:p>
            <w:pPr>
              <w:ind w:left="50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305,587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340,837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207,160</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126,247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32,805</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applicable to common shareholders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7,960</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bl>
    <w:p>
      <w:pPr>
        <w:spacing w:after="0" w:line="89" w:lineRule="exact"/>
        <w:rPr>
          <w:sz w:val="20"/>
          <w:szCs w:val="20"/>
          <w:color w:val="auto"/>
        </w:rPr>
      </w:pPr>
    </w:p>
    <w:p>
      <w:pPr>
        <w:ind w:left="660" w:right="340" w:hanging="652"/>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Amount in the fourth quarter of 2015 includes impairment charges of $205.2 million for the </w:t>
      </w:r>
      <w:r>
        <w:rPr>
          <w:rFonts w:ascii="Arial" w:cs="Arial" w:eastAsia="Arial" w:hAnsi="Arial"/>
          <w:sz w:val="18"/>
          <w:szCs w:val="18"/>
          <w:i w:val="1"/>
          <w:iCs w:val="1"/>
          <w:color w:val="auto"/>
        </w:rPr>
        <w:t>Helix 534</w:t>
      </w:r>
      <w:r>
        <w:rPr>
          <w:rFonts w:ascii="Arial" w:cs="Arial" w:eastAsia="Arial" w:hAnsi="Arial"/>
          <w:sz w:val="18"/>
          <w:szCs w:val="18"/>
          <w:color w:val="auto"/>
        </w:rPr>
        <w:t xml:space="preserve"> and $133.4 million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and $6.3 million for certain capitalized vessel project costs (Note 4).</w:t>
      </w:r>
    </w:p>
    <w:p>
      <w:pPr>
        <w:spacing w:after="0" w:line="71" w:lineRule="exact"/>
        <w:rPr>
          <w:rFonts w:ascii="Arial" w:cs="Arial" w:eastAsia="Arial" w:hAnsi="Arial"/>
          <w:sz w:val="18"/>
          <w:szCs w:val="18"/>
          <w:color w:val="auto"/>
        </w:rPr>
      </w:pPr>
    </w:p>
    <w:p>
      <w:pPr>
        <w:ind w:left="660" w:right="220" w:hanging="652"/>
        <w:spacing w:after="0" w:line="25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Amount in the fourth quarter of 2015 includes a $16.4 million impairment charge on goodwill related to our U.K. well intervention reporting unit (Notes 2 and 6), losses totaling $123.8 million related to our equity investments in Deepwater Gateway and Independence Hub (Note 5), and unrealized losses totaling $19.0 million on our foreign currency exchange contracts associated with the </w:t>
      </w:r>
      <w:r>
        <w:rPr>
          <w:rFonts w:ascii="Arial" w:cs="Arial" w:eastAsia="Arial" w:hAnsi="Arial"/>
          <w:sz w:val="18"/>
          <w:szCs w:val="18"/>
          <w:i w:val="1"/>
          <w:iCs w:val="1"/>
          <w:color w:val="auto"/>
        </w:rPr>
        <w:t>Grand Canyon</w:t>
      </w:r>
      <w:r>
        <w:rPr>
          <w:rFonts w:ascii="Arial" w:cs="Arial" w:eastAsia="Arial" w:hAnsi="Arial"/>
          <w:sz w:val="18"/>
          <w:szCs w:val="18"/>
          <w:color w:val="auto"/>
        </w:rPr>
        <w:t xml:space="preserv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chartered vessels (Note 18).</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1"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right="200" w:firstLine="656"/>
        <w:spacing w:after="0" w:line="255" w:lineRule="auto"/>
        <w:tabs>
          <w:tab w:leader="none" w:pos="91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We carried out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the effectiveness of the design and operation of our disclosure controls and procedures, as such term is defined in Rules 13a-15(e) and 15d-15(e) under the Securities Exchange Act of 1934, as amended (the “Exchange Act”). Based on this evaluation, our principal executive officer and principal financial officer concluded that our disclosure controls and procedures were effective as of December 31, 2015 to provide reasonable assurance that information required to be disclosed in our reports under the Exchange Act is (i) recorded, processed, summarized and reported within the time periods specified in the Securities and Exchange Commission’s rules and forms; and (ii) accumulated and communicated to our management, including our principal executive officer and principal financial officer, as appropriate, to allow timely decisions regarding required disclosure.</w:t>
      </w:r>
    </w:p>
    <w:p>
      <w:pPr>
        <w:spacing w:after="0" w:line="185" w:lineRule="exact"/>
        <w:rPr>
          <w:rFonts w:ascii="Arial" w:cs="Arial" w:eastAsia="Arial" w:hAnsi="Arial"/>
          <w:sz w:val="18"/>
          <w:szCs w:val="18"/>
          <w:color w:val="auto"/>
        </w:rPr>
      </w:pPr>
    </w:p>
    <w:p>
      <w:pPr>
        <w:ind w:right="40" w:firstLine="656"/>
        <w:spacing w:after="0" w:line="254" w:lineRule="auto"/>
        <w:tabs>
          <w:tab w:leader="none" w:pos="91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adequate internal control over financial reporting, as such term is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U.S. generally accepted accounting principles. This process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at December 31,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framework). Based on this assessment, management concluded that, as of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was effective based on those criteria.</w:t>
      </w:r>
    </w:p>
    <w:p>
      <w:pPr>
        <w:spacing w:after="0" w:line="20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Ernst &amp; Young LLP, our independent registered public accounting firm, as stated in its report which appears in Item 8 of this Annual Report on Form 10-K.</w:t>
      </w:r>
    </w:p>
    <w:p>
      <w:pPr>
        <w:spacing w:after="0" w:line="178" w:lineRule="exact"/>
        <w:rPr>
          <w:sz w:val="20"/>
          <w:szCs w:val="20"/>
          <w:color w:val="auto"/>
        </w:rPr>
      </w:pPr>
    </w:p>
    <w:p>
      <w:pPr>
        <w:ind w:right="120" w:firstLine="656"/>
        <w:spacing w:after="0" w:line="266" w:lineRule="auto"/>
        <w:tabs>
          <w:tab w:leader="none" w:pos="90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fourth quarter of fiscal 2015 that have materially affected, or are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1"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definitive Proxy Statement to be filed pursuant to Regulation 14A under the Securities Exchange Act of 1934 in connection with our 2016 Annual Meeting of Shareholders to be held on May 12, 2016. See also “Executive Officers of the Company” appearing in Part I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We have adopted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for all directors, officers and employees as well as a </w:t>
      </w:r>
      <w:r>
        <w:rPr>
          <w:rFonts w:ascii="Arial" w:cs="Arial" w:eastAsia="Arial" w:hAnsi="Arial"/>
          <w:sz w:val="18"/>
          <w:szCs w:val="18"/>
          <w:i w:val="1"/>
          <w:iCs w:val="1"/>
          <w:color w:val="auto"/>
        </w:rPr>
        <w:t>Code of Ethics for Chief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and Senior Financial Officers </w:t>
      </w:r>
      <w:r>
        <w:rPr>
          <w:rFonts w:ascii="Arial" w:cs="Arial" w:eastAsia="Arial" w:hAnsi="Arial"/>
          <w:sz w:val="18"/>
          <w:szCs w:val="18"/>
          <w:color w:val="auto"/>
        </w:rPr>
        <w:t>specific to those officers. Copies of these documents are available at our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www.helixesg.com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Interested parties may also request a free copy of these documents from: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Helix Energy Solutions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3505 W. Sam Houston Parkway N., Suite 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77043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14A under the Securities Exchange Act of 1934 in connection with our 2016 Annual Meeting of Shareholders to be held on May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14A under the Securities Exchange Act of 1934 in connection with our 2016 Annual Meeting of Shareholders to be held on May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14A under the Securities Exchange Act of 1934 in connection with our 2016 Annual Meeting of Shareholders to be held on May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14A under the Securities Exchange Act of 1934 in connection with our 2016 Annual Meeting of Shareholders to be held on May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41"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included on pages 48 through 90 in this Annual Report are for the fiscal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 Deepwater Gateway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 Independence Hub</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2015, 2014 and 2013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2015, 2014 and 2013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Shareholders’ Equity for the Years Ended December 31, 2015, 2014 and 2013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2015, 2014 and 2013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All financial statement schedules are omitted because the information is not required or because the information required is in the financial statements or notes thereto.</w:t>
      </w:r>
    </w:p>
    <w:p>
      <w:pPr>
        <w:spacing w:after="0" w:line="174"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Item 601(b)(4)(iii), the Registrant agrees to forward to the commission, upon request, a copy of any instrument with respect to long-term debt not exceeding 10% of the total assets of the Registrant and its consolidated subsidiaries. Reference is made to Exhibit listing beginning on page 95 hereof.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41" w:right="2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HELIX ENERGY SOLUTIONS GROUP, INC.</w:t>
      </w:r>
    </w:p>
    <w:p>
      <w:pPr>
        <w:spacing w:after="0" w:line="200" w:lineRule="exact"/>
        <w:rPr>
          <w:sz w:val="20"/>
          <w:szCs w:val="20"/>
          <w:color w:val="auto"/>
        </w:rPr>
      </w:pPr>
    </w:p>
    <w:p>
      <w:pPr>
        <w:spacing w:after="0" w:line="2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TRIPODO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9673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Anthony Tripodo</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25"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1" w:right="419" w:bottom="1440" w:gutter="0" w:footer="0" w:header="0"/>
        </w:sectPr>
      </w:pPr>
    </w:p>
    <w:p>
      <w:pPr>
        <w:spacing w:after="0" w:line="336"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2466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3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Owen Kratz</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ANTHONY TRIPODO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Anthony Tripodo</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Erik Staffeldt</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JOHN V. LOVOI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John V. Lovoi</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T. WILLIAM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 William Porter</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NANCY K.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Nancy K. Quinn</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JAN A. RASK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Jan A. Rask</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WILLIAM L. TRANSIER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William L. Transier</w:t>
      </w:r>
    </w:p>
    <w:p>
      <w:pPr>
        <w:spacing w:after="0" w:line="32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JAMES A.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5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James A. Watt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28575</wp:posOffset>
            </wp:positionV>
            <wp:extent cx="32670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President, Chief Executive Officer and Director (principal</w:t>
      </w:r>
    </w:p>
    <w:p>
      <w:pPr>
        <w:jc w:val="center"/>
        <w:ind w:right="20"/>
        <w:spacing w:after="0"/>
        <w:rPr>
          <w:sz w:val="20"/>
          <w:szCs w:val="20"/>
          <w:color w:val="auto"/>
        </w:rPr>
      </w:pPr>
      <w:r>
        <w:rPr>
          <w:rFonts w:ascii="Arial" w:cs="Arial" w:eastAsia="Arial" w:hAnsi="Arial"/>
          <w:sz w:val="18"/>
          <w:szCs w:val="18"/>
          <w:color w:val="auto"/>
        </w:rPr>
        <w:t>executive officer)</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Executive Vice President, Chief Financial Officer and Director</w:t>
      </w:r>
    </w:p>
    <w:p>
      <w:pPr>
        <w:jc w:val="center"/>
        <w:ind w:right="20"/>
        <w:spacing w:after="0"/>
        <w:rPr>
          <w:sz w:val="20"/>
          <w:szCs w:val="20"/>
          <w:color w:val="auto"/>
        </w:rPr>
      </w:pPr>
      <w:r>
        <w:rPr>
          <w:rFonts w:ascii="Arial" w:cs="Arial" w:eastAsia="Arial" w:hAnsi="Arial"/>
          <w:sz w:val="18"/>
          <w:szCs w:val="18"/>
          <w:color w:val="auto"/>
        </w:rPr>
        <w:t>(principal financial officer)</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Vice President — Finance and Accounting</w:t>
      </w:r>
    </w:p>
    <w:p>
      <w:pPr>
        <w:jc w:val="center"/>
        <w:ind w:right="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28575</wp:posOffset>
            </wp:positionV>
            <wp:extent cx="1449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483" w:lineRule="exact"/>
        <w:rPr>
          <w:sz w:val="20"/>
          <w:szCs w:val="20"/>
          <w:color w:val="auto"/>
        </w:rPr>
      </w:pPr>
    </w:p>
    <w:p>
      <w:pPr>
        <w:sectPr>
          <w:pgSz w:w="11900" w:h="16838" w:orient="portrait"/>
          <w:cols w:equalWidth="0" w:num="3">
            <w:col w:w="3180" w:space="720"/>
            <w:col w:w="4920" w:space="720"/>
            <w:col w:w="1700"/>
          </w:cols>
          <w:pgMar w:left="240" w:top="141" w:right="419" w:bottom="1440" w:gutter="0" w:footer="0" w:header="0"/>
          <w:type w:val="continuous"/>
        </w:sect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240" w:top="141" w:right="41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96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5460" w:type="dxa"/>
            <w:vAlign w:val="bottom"/>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33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2005  Amended  and  Restated  Articles  of  Incorporation,  as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amended, of registrant.</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Second Amended and Restated By-Laws of Helix, as amended.</w:t>
            </w:r>
          </w:p>
        </w:tc>
      </w:tr>
      <w:tr>
        <w:trPr>
          <w:trHeight w:val="567"/>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Common Stock certificate.</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Credit  Agreement  among  Cal  Dive  I-Title  XI,  Inc.,  GOVCO</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Incorporated, Citibank N.A. and Citibank International LLC dated as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of August 16, 2000.</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1 to Credit Agreement among Cal Dive I-Title XI,</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Inc., GOVCO Incorporated, Citibank N.A. and Citibank International</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LLC dated as of January 25, 2002.</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2 to Credit Agreement among Cal Dive I-Title XI,</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Inc., GOVCO Incorporated, Citibank N.A. and Citibank International</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LLC dated as of November 15, 2002.</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w w:val="99"/>
              </w:rPr>
              <w:t>Amendment No. 3 Credit Agreement among Cal Dive I-Title XI, Inc.,</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GOVCO Incorporated, Citibank N.A. and Citibank International LLC</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dated as of July 31, 2003.</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4 to Credit Agreement among Cal Dive I-Title XI,</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Inc., GOVCO Incorporated, Citibank N.A. and Citibank International</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LLC dated as of December 15, 2004.</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Registration  Rights  Agreement  dated  as  of  March  30,  2005,</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between  Cal  Dive  International,  Inc.  and  Banc  of  America</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Securities LLC, as representative of the initial purchasers.</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Trust Indenture, dated as of August 16, 2000, between Cal Dive I-</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Title XI, Inc. and Wilmington Trust, as Indenture Trustee.</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Supplement No. 1 to Trust Indenture, dated as of January 25, 2002,</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between Cal Dive I-Title XI, Inc. and Wilmington Trust, as Indenture</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Supplement No. 2 to Trust Indenture, dated as of November 15,</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2002, between Cal Dive I-Title XI, Inc. and Wilmington Trust, as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Indenture Trustee.</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Supplement No. 3 to Trust Indenture, dated as of December 14,</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2004, between Cal Dive I-Title XI, Inc. and Wilmington Trust, as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Indenture Trustee.</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Supplement No. 4 to Trust Indenture, dated September 30, 2005,</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between Cal Dive I-Title XI, Inc. and Wilmington Trust, as Indenture</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332"/>
        </w:trPr>
        <w:tc>
          <w:tcPr>
            <w:tcW w:w="1160" w:type="dxa"/>
            <w:vAlign w:val="bottom"/>
          </w:tcPr>
          <w:p>
            <w:pPr>
              <w:ind w:left="40"/>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United States Government Guaranteed Ship Financing</w:t>
            </w:r>
          </w:p>
        </w:tc>
      </w:tr>
      <w:tr>
        <w:trPr>
          <w:trHeight w:val="221"/>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 xml:space="preserve">Bonds, </w:t>
            </w:r>
            <w:r>
              <w:rPr>
                <w:rFonts w:ascii="Arial" w:cs="Arial" w:eastAsia="Arial" w:hAnsi="Arial"/>
                <w:sz w:val="18"/>
                <w:szCs w:val="18"/>
                <w:i w:val="1"/>
                <w:iCs w:val="1"/>
                <w:color w:val="auto"/>
              </w:rPr>
              <w:t>Q4000</w:t>
            </w:r>
            <w:r>
              <w:rPr>
                <w:rFonts w:ascii="Arial" w:cs="Arial" w:eastAsia="Arial" w:hAnsi="Arial"/>
                <w:sz w:val="18"/>
                <w:szCs w:val="18"/>
                <w:color w:val="auto"/>
              </w:rPr>
              <w:t xml:space="preserve"> Series 4.93% Sinking Fund Bonds Due February 1,</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2027.</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Third Amended and Restated Promissory Note to United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States of America.</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Indenture dated as of March 12, 2012 between Helix Energy</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Solutions Group, Inc. and The Bank of New York Mellon Trust</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Company, N.A., as Trustee.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9"/>
        <w:spacing w:after="0" w:line="253"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25984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3.1 to the Current Report on Form 8-K filed on September 28, 2006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4.7 to the Form 8-A filed on June 30, 2006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4.4 to the 2001 Form 10-K filed on March 28, 2002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4.9 to the 2002 Form 10-K/A filed on April 8, 2003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4.4 to the Form S-3 filed on February 26, 2003 (333-103451)</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4.12 to the 2004 Form 10-K filed on March 16,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4.13 to the 2004 Form 10-K filed on March 16,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4.3 to the Current Report on Form 8-K filed on April 4,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October 6, 2005 (000-22739)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4.2 to the Current Report on Form 8-K filed on October 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4.3 to the Current Report on Form 8-K filed on October 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4.4 to the Current Report on Form 8-K filed on October 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4.5 to the Current Report on Form 8-K filed on October 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A to Exhibit 4.5 to the Current Report on Form 8-K filed on October 6, 2005 (000-22739)</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4.6 to the Current Report on Form 8-K filed on October 6, 2005 (000-22739)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March 12, 2012 (001-32936)</w:t>
      </w:r>
    </w:p>
    <w:p>
      <w:pPr>
        <w:spacing w:after="0" w:line="397" w:lineRule="exact"/>
        <w:rPr>
          <w:sz w:val="20"/>
          <w:szCs w:val="20"/>
          <w:color w:val="auto"/>
        </w:rPr>
      </w:pPr>
    </w:p>
    <w:p>
      <w:pPr>
        <w:sectPr>
          <w:pgSz w:w="11900" w:h="16838" w:orient="portrait"/>
          <w:cols w:equalWidth="0" w:num="2">
            <w:col w:w="6960" w:space="360"/>
            <w:col w:w="4040"/>
          </w:cols>
          <w:pgMar w:left="240" w:top="141" w:right="29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60"/>
          </w:cols>
          <w:pgMar w:left="240" w:top="141" w:right="29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5460" w:type="dxa"/>
            <w:vAlign w:val="bottom"/>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33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340" w:type="dxa"/>
            <w:vAlign w:val="bottom"/>
          </w:tcPr>
          <w:p>
            <w:pPr>
              <w:spacing w:after="0"/>
              <w:rPr>
                <w:sz w:val="24"/>
                <w:szCs w:val="24"/>
                <w:color w:val="auto"/>
              </w:rPr>
            </w:pPr>
          </w:p>
        </w:tc>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Credit Agreement dated June 19, 2013 by and among Helix Energy</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Solutions Group, Inc., as borrower, Bank of America, N.A., as</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administrative agent, swing line lender and letters of credit issuer,</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and other lender parties named thereto.</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1 to the Credit Agreement, dated as of May 13,</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2015, by and among Helix Energy Solutions Group, Inc. and Bank</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of America, N.A., as administrative agent, swing line lender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letters of credit issuer, together with the other lenders party thereto.</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2 to the Credit Agreement, dated as of January 19,</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2016, by and among Helix Energy Solutions Group, Inc. and Bank</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of America, N.A., as administrative agent, swing line lender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letters of credit issuer, together with the other lenders party thereto.</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3 to the Credit Agreement, dated as of February 9,</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2016, by and among Helix Energy Solutions Group, Inc. and Bank</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of America, N.A., as administrative agent, swing line lender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letters of credit issuer, together with the other lenders party thereto.</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Credit Agreement dated September 26, 2014, by and among Helix</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Q5000 Holdings S.à r.l., Helix Vessel Finance S.à r.l. and Nordea</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Bank Finland PLC, London Branch as administrative agent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collateral agent, together with the other lenders party thereto.</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10.1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1995 Long Term Incentive Plan, as amended.</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10.2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to 1995 Long Term Incentive Plan of Helix Energy</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Solutions Group, Inc.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10.3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2009 Long-Term Incentive Cash Plan of Helix Energy Solutions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Group, Inc.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10.4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w w:val="99"/>
              </w:rPr>
              <w:t>Form of Award Letter related to the 2009 Long-Term Incentive Cash</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Plan.</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10.5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Helix  2005  Long  Term  Incentive  Plan,  including  the  Form  of</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Restricted Stock Award Agreement.</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10.6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to 2005 Long Term Incentive Plan of Helix Energy</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Solutions Group, Inc.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10.7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Amended and Restated 2005 Long-Term Incentive Plan of Helix</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Energy Solutions Group, Inc. dated May 9, 2012.</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10.8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Cash Award Agreement.</w:t>
            </w:r>
          </w:p>
        </w:tc>
      </w:tr>
      <w:tr>
        <w:trPr>
          <w:trHeight w:val="567"/>
        </w:trPr>
        <w:tc>
          <w:tcPr>
            <w:tcW w:w="1160" w:type="dxa"/>
            <w:vAlign w:val="bottom"/>
          </w:tcPr>
          <w:p>
            <w:pPr>
              <w:ind w:left="40"/>
              <w:spacing w:after="0"/>
              <w:rPr>
                <w:sz w:val="20"/>
                <w:szCs w:val="20"/>
                <w:color w:val="auto"/>
              </w:rPr>
            </w:pPr>
            <w:r>
              <w:rPr>
                <w:rFonts w:ascii="Arial" w:cs="Arial" w:eastAsia="Arial" w:hAnsi="Arial"/>
                <w:sz w:val="18"/>
                <w:szCs w:val="18"/>
                <w:color w:val="auto"/>
              </w:rPr>
              <w:t>10.9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Performance Share Unit Award Agreement.</w:t>
            </w:r>
          </w:p>
        </w:tc>
      </w:tr>
      <w:tr>
        <w:trPr>
          <w:trHeight w:val="567"/>
        </w:trPr>
        <w:tc>
          <w:tcPr>
            <w:tcW w:w="1160" w:type="dxa"/>
            <w:vAlign w:val="bottom"/>
          </w:tcPr>
          <w:p>
            <w:pPr>
              <w:ind w:left="40"/>
              <w:spacing w:after="0"/>
              <w:rPr>
                <w:sz w:val="20"/>
                <w:szCs w:val="20"/>
                <w:color w:val="auto"/>
              </w:rPr>
            </w:pPr>
            <w:r>
              <w:rPr>
                <w:rFonts w:ascii="Arial" w:cs="Arial" w:eastAsia="Arial" w:hAnsi="Arial"/>
                <w:sz w:val="18"/>
                <w:szCs w:val="18"/>
                <w:color w:val="auto"/>
              </w:rPr>
              <w:t>10.10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Restricted Stock Award Agreement.</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10.11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Employee Stock Purchase Plan of Helix Energy Solutions Group,</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Inc. dated May 9, 2012.</w:t>
            </w:r>
          </w:p>
        </w:tc>
      </w:tr>
      <w:tr>
        <w:trPr>
          <w:trHeight w:val="47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ind w:left="4120"/>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left="-19"/>
        <w:spacing w:after="0" w:line="253"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25984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June 19, 2013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May 14, 2015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January 25, 2016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February 10, 2016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4.1 to the Current Report on Form 8-K filed on September 30, 2014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Form S-1 filed on September 4, 1996 (333-11399)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10.2 to the 2008 Form 10-K filed on March 2, 2009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January 6, 2009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10.2 to the Current Report on Form 8-K filed on January 6, 2009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May 12, 2005 (000-22739)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10.10 to the 2008 Form 10-K filed on March 2, 2009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Quarterly Report on Form 10-Q filed on July 25, 2012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December 15, 2011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December 10, 2014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Current Report on Form 8-K filed on December 15, 2011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10.4 to the Quarterly Report on Form 10-Q filed on July 25, 2012 (001-32936)</w:t>
      </w:r>
    </w:p>
    <w:p>
      <w:pPr>
        <w:sectPr>
          <w:pgSz w:w="11900" w:h="16838" w:orient="portrait"/>
          <w:cols w:equalWidth="0" w:num="2">
            <w:col w:w="6960" w:space="360"/>
            <w:col w:w="4040"/>
          </w:cols>
          <w:pgMar w:left="240" w:top="141" w:right="29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5460" w:type="dxa"/>
            <w:vAlign w:val="bottom"/>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33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10.12 *</w:t>
            </w:r>
          </w:p>
        </w:tc>
        <w:tc>
          <w:tcPr>
            <w:tcW w:w="340" w:type="dxa"/>
            <w:vAlign w:val="bottom"/>
          </w:tcPr>
          <w:p>
            <w:pPr>
              <w:spacing w:after="0"/>
              <w:rPr>
                <w:sz w:val="24"/>
                <w:szCs w:val="24"/>
                <w:color w:val="auto"/>
              </w:rPr>
            </w:pPr>
          </w:p>
        </w:tc>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Amendment to the Helix Energy Solutions Group, Inc. Employee</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Stock Purchase Plan.</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10.13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Employment Agreement between Owen Kratz and the Company</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dated February 28, 1999.</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10.14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Employment Agreement between Owen Kratz and the Company</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dated November 17, 2008.</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10.15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Employment  Agreement  between  Alisa  B.  Johnson  and  the</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Company dated November 17, 2008.</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10.16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Employment  Agreement  between  Anthony  Tripodo  and  the</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Company dated June 25, 2008.</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10.17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First Amendment to Employment Agreement between Anthony</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Tripodo and the Company dated November 17, 2008.</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10.18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Employment Agreement by and between Helix Energy Solutions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Group, Inc. and Clifford Chamblee dated May 11, 2011.</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10.19 *</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Separation and Release Agreement dated April 24, 2013 between</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Helix Energy Solutions Group, Inc. and Lloyd A. Hajdik.</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Registration Rights Agreement dated as of December 21, 2007 by</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and among Helix Energy Solutions Group, Inc., the Guarantors</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named  therein  and  Banc  of  America  Securities  LLC,  as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representative of the Initial Purchasers.</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Purchase Agreement dated as of December 18, 2007 by and</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among Helix Energy Solutions Group, Inc., the Guarantors named</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therein and Banc of America Securities LLC, and the other Initial</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Purchasers named therein.</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Equity Purchase Agreement dated December 12, 2012, between</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Helix Energy Solutions Group, Inc. and Talos Production LLC.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Form  of  Indemnification  Agreement,  by  and  among  Talos</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Production LLC, Energy Resource Technology GOM, LLC, CKB</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Petroleum, LLC, and Helix Energy Solutions Group, Inc.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1  to  Equity  Purchase  Agreement  dated</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January 27, 2013, between Helix Energy Solutions Group, Inc.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Talos Production LLC.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2  to  Equity  Purchase  Agreement  dated</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February 6, 2013, between Helix Energy Solutions Group, Inc.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Talos Production LLC.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Construction contract dated as of March 12, 2012 between Helix</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Energy Solution Group, Inc. and Jurong Shipyard Pte Ltd.</w:t>
            </w:r>
          </w:p>
        </w:tc>
      </w:tr>
      <w:tr>
        <w:trPr>
          <w:trHeight w:val="332"/>
        </w:trPr>
        <w:tc>
          <w:tcPr>
            <w:tcW w:w="1160" w:type="dxa"/>
            <w:vAlign w:val="bottom"/>
          </w:tcPr>
          <w:p>
            <w:pPr>
              <w:ind w:left="4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Construction Contract dated as of September 11, 2013 between</w:t>
            </w:r>
          </w:p>
        </w:tc>
      </w:tr>
      <w:tr>
        <w:trPr>
          <w:trHeight w:val="235"/>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 xml:space="preserve">Helix </w:t>
            </w:r>
            <w:r>
              <w:rPr>
                <w:rFonts w:ascii="Arial" w:cs="Arial" w:eastAsia="Arial" w:hAnsi="Arial"/>
                <w:sz w:val="18"/>
                <w:szCs w:val="18"/>
                <w:i w:val="1"/>
                <w:iCs w:val="1"/>
                <w:color w:val="auto"/>
              </w:rPr>
              <w:t>Q7000</w:t>
            </w:r>
            <w:r>
              <w:rPr>
                <w:rFonts w:ascii="Arial" w:cs="Arial" w:eastAsia="Arial" w:hAnsi="Arial"/>
                <w:sz w:val="18"/>
                <w:szCs w:val="18"/>
                <w:color w:val="auto"/>
              </w:rPr>
              <w:t xml:space="preserve"> Vessel Holdings S.à r.l. and Jurong Shipyard Pte Ltd.</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1, dated as of June 8, 2015, to Construction</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Contract between Helix Q7000 Vessel Holdings S.à r.l. and Jurong</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Shipyard Pte Ltd.</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Amendment No. 2, dated December 2, 2015, to Construction</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Contract between Helix Q7000 Vessel Holdings S.à r.l. and Jurong</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Shipyard Pte Ltd.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left="-19"/>
        <w:spacing w:after="0" w:line="253"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25984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10.5 to the 1998 Form 10-K filed on March 31, 1999 (000-22739)</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November 19, 2008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Current Report on Form 8-K filed on November 19, 2008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10.2 to the Current Report on Form 8-K filed on June 30, 2008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10.5 to the Current Report on Form 8-K filed on November 19, 2008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Quarterly Report on Form 10-Q filed on July 27, 2011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Quarterly Report on Form 10-Q filed on April 24, 2013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December 21, 2007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10.2 to the Current Report on Form 8-K filed on December 21, 2007 (001-32936)</w:t>
      </w: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December 13, 2012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10.3 to the Current Report on Form 8-K filed on December 13, 2012 (001-32936)</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January 28, 2013 (001-32936)</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February 12, 2013 (001-32936)</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March 16, 2012 (001-32936)</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September 13, 2013 (001-32936)</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June 11, 2015 (001-32936)</w:t>
      </w:r>
    </w:p>
    <w:p>
      <w:pPr>
        <w:spacing w:after="0" w:line="3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December 7, 2015 (001-32936)</w:t>
      </w:r>
    </w:p>
    <w:p>
      <w:pPr>
        <w:spacing w:after="0" w:line="200" w:lineRule="exact"/>
        <w:rPr>
          <w:sz w:val="20"/>
          <w:szCs w:val="20"/>
          <w:color w:val="auto"/>
        </w:rPr>
      </w:pPr>
    </w:p>
    <w:p>
      <w:pPr>
        <w:sectPr>
          <w:pgSz w:w="11900" w:h="16838" w:orient="portrait"/>
          <w:cols w:equalWidth="0" w:num="2">
            <w:col w:w="6960" w:space="360"/>
            <w:col w:w="4040"/>
          </w:cols>
          <w:pgMar w:left="240" w:top="141" w:right="299" w:bottom="1440" w:gutter="0" w:footer="0" w:header="0"/>
        </w:sectPr>
      </w:pP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60"/>
          </w:cols>
          <w:pgMar w:left="240" w:top="141" w:right="29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5460" w:type="dxa"/>
            <w:vAlign w:val="bottom"/>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337"/>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Strategic Alliance Agreement dated January 5, 2015 among Helix</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Energy Solutions Group, Inc., OneSubsea LLC, OneSubsea B.V.,</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Schlumberger Technology Corporation, Schlumberger B.V., and</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Schlumberger Oilfield Holdings Ltd.</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Code of Ethics for Chief Executive Officer and Senior Financial</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Officers.</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List of Subsidiaries of the Company.</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Consent of Deloitte &amp; Touche LLP. (Deepwater Gateway L.L.C.).</w:t>
            </w:r>
          </w:p>
        </w:tc>
      </w:tr>
      <w:tr>
        <w:trPr>
          <w:trHeight w:val="365"/>
        </w:trPr>
        <w:tc>
          <w:tcPr>
            <w:tcW w:w="1160" w:type="dxa"/>
            <w:vAlign w:val="bottom"/>
          </w:tcPr>
          <w:p>
            <w:pPr>
              <w:ind w:left="4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Consent of Deloitte &amp; Touche LLP. (Independence Hub LLC).</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Certification  Pursuant  to  Rule  13a-14(a)  under  the  Securities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Exchange Act of 1934 by Owen Kratz, Chief Executive Officer.</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Certification  Pursuant  to  Rule  13a-14(a)  under  the  Securities</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Exchange Act of 1934 by Anthony Tripodo, Chief Financial Officer.</w:t>
            </w:r>
          </w:p>
        </w:tc>
      </w:tr>
      <w:tr>
        <w:trPr>
          <w:trHeight w:val="350"/>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Certification of Helix’s Chief Executive Officer and Chief Financial</w:t>
            </w:r>
          </w:p>
        </w:tc>
      </w:tr>
      <w:tr>
        <w:trPr>
          <w:trHeight w:val="203"/>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60" w:type="dxa"/>
            <w:vAlign w:val="bottom"/>
          </w:tcPr>
          <w:p>
            <w:pPr>
              <w:ind w:left="40"/>
              <w:spacing w:after="0" w:line="202" w:lineRule="exact"/>
              <w:rPr>
                <w:sz w:val="20"/>
                <w:szCs w:val="20"/>
                <w:color w:val="auto"/>
              </w:rPr>
            </w:pPr>
            <w:r>
              <w:rPr>
                <w:rFonts w:ascii="Arial" w:cs="Arial" w:eastAsia="Arial" w:hAnsi="Arial"/>
                <w:sz w:val="18"/>
                <w:szCs w:val="18"/>
                <w:color w:val="auto"/>
              </w:rPr>
              <w:t>Officer pursuant to Section 906 of the Sarbanes — Oxley Act of</w:t>
            </w:r>
          </w:p>
        </w:tc>
      </w:tr>
      <w:tr>
        <w:trPr>
          <w:trHeight w:val="21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Arial" w:cs="Arial" w:eastAsia="Arial" w:hAnsi="Arial"/>
                <w:sz w:val="18"/>
                <w:szCs w:val="18"/>
                <w:color w:val="auto"/>
              </w:rPr>
              <w:t>2002.</w:t>
            </w:r>
          </w:p>
        </w:tc>
      </w:tr>
      <w:tr>
        <w:trPr>
          <w:trHeight w:val="689"/>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546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36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546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36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546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36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546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36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546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5460" w:type="dxa"/>
            <w:vAlign w:val="bottom"/>
          </w:tcPr>
          <w:p>
            <w:pPr>
              <w:ind w:left="40"/>
              <w:spacing w:after="0"/>
              <w:rPr>
                <w:sz w:val="20"/>
                <w:szCs w:val="20"/>
                <w:color w:val="auto"/>
              </w:rPr>
            </w:pPr>
            <w:r>
              <w:rPr>
                <w:rFonts w:ascii="Arial" w:cs="Arial" w:eastAsia="Arial" w:hAnsi="Arial"/>
                <w:sz w:val="18"/>
                <w:szCs w:val="18"/>
                <w:color w:val="auto"/>
              </w:rPr>
              <w:t>XBRL Label Linkbase Document.</w:t>
            </w:r>
          </w:p>
        </w:tc>
      </w:tr>
    </w:tbl>
    <w:p>
      <w:pPr>
        <w:spacing w:after="0" w:line="229" w:lineRule="exact"/>
        <w:rPr>
          <w:sz w:val="20"/>
          <w:szCs w:val="20"/>
          <w:color w:val="auto"/>
        </w:rPr>
      </w:pPr>
    </w:p>
    <w:p>
      <w:pPr>
        <w:ind w:left="5620" w:right="1160" w:hanging="5567"/>
        <w:spacing w:after="0" w:line="415" w:lineRule="auto"/>
        <w:tabs>
          <w:tab w:leader="none" w:pos="6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Management contracts or compensatory plans or arrangements 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left="-19"/>
        <w:spacing w:after="0" w:line="253"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25984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Exhibit 10.1 to the Current Report on Form 8-K filed on January 6, 2015 (001-32936)</w:t>
      </w:r>
    </w:p>
    <w:p>
      <w:pPr>
        <w:spacing w:after="0" w:line="200" w:lineRule="exact"/>
        <w:rPr>
          <w:sz w:val="20"/>
          <w:szCs w:val="20"/>
          <w:color w:val="auto"/>
        </w:rPr>
      </w:pPr>
    </w:p>
    <w:p>
      <w:pPr>
        <w:spacing w:after="0" w:line="348"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color w:val="auto"/>
        </w:rPr>
        <w:t>Exhibit 14.1 to the Registrant’s Current Report on Form 8-K filed on December 8, 2009 (001-32936)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960" w:space="360"/>
            <w:col w:w="4040"/>
          </w:cols>
          <w:pgMar w:left="240" w:top="141" w:right="29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HELIX ENERGY SOLUTIONS GROUP, INC.</w:t>
      </w:r>
    </w:p>
    <w:p>
      <w:pPr>
        <w:jc w:val="center"/>
        <w:spacing w:after="0"/>
        <w:rPr>
          <w:sz w:val="20"/>
          <w:szCs w:val="20"/>
          <w:color w:val="auto"/>
        </w:rPr>
      </w:pPr>
      <w:r>
        <w:rPr>
          <w:rFonts w:ascii="Arial" w:cs="Arial" w:eastAsia="Arial" w:hAnsi="Arial"/>
          <w:sz w:val="20"/>
          <w:szCs w:val="20"/>
          <w:b w:val="1"/>
          <w:bCs w:val="1"/>
          <w:color w:val="auto"/>
        </w:rPr>
        <w:t>EMPLOYEE STOCK PURCHASE PLAN</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Compensation Committee of the Board of Directors of Helix Energy Solutions Group, Inc., having reserved the right under section 19 of the Helix Energy Solutions Group, Inc. Employee Stock Purchase Plan (the “Plan”) to amend the Plan, does hereby adopt the following amendments to the Plan. Capitalized terms used herein but not defined shall have the meanings ascribed to such terms in the Plan.</w:t>
      </w:r>
    </w:p>
    <w:p>
      <w:pPr>
        <w:spacing w:after="0" w:line="220" w:lineRule="exact"/>
        <w:rPr>
          <w:sz w:val="20"/>
          <w:szCs w:val="20"/>
          <w:color w:val="auto"/>
        </w:rPr>
      </w:pPr>
    </w:p>
    <w:p>
      <w:pPr>
        <w:ind w:left="660" w:hanging="328"/>
        <w:spacing w:after="0" w:line="247"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Effective February 19, 2016, Section 19 is hereby amended to add the following paragraph between the first and final paragraphs of Section 19:</w:t>
      </w:r>
    </w:p>
    <w:p>
      <w:pPr>
        <w:spacing w:after="0" w:line="215" w:lineRule="exact"/>
        <w:rPr>
          <w:sz w:val="20"/>
          <w:szCs w:val="20"/>
          <w:color w:val="auto"/>
        </w:rPr>
      </w:pPr>
    </w:p>
    <w:p>
      <w:pPr>
        <w:jc w:val="both"/>
        <w:ind w:left="660" w:firstLine="648"/>
        <w:spacing w:after="0" w:line="239" w:lineRule="auto"/>
        <w:rPr>
          <w:sz w:val="20"/>
          <w:szCs w:val="20"/>
          <w:color w:val="auto"/>
        </w:rPr>
      </w:pPr>
      <w:r>
        <w:rPr>
          <w:rFonts w:ascii="Arial" w:cs="Arial" w:eastAsia="Arial" w:hAnsi="Arial"/>
          <w:sz w:val="20"/>
          <w:szCs w:val="20"/>
          <w:color w:val="auto"/>
        </w:rPr>
        <w:t>In its sole discretion, the Board or the Committee may cease operations under the Plan, freeze the Plan, or suspend purchases under the Plan at any time (including during a Purchase Period) and for any length of time as it may deem advisable. No suspension shall operate to (i) reduce any amounts previously allocated to a Participant’s account or</w:t>
      </w:r>
    </w:p>
    <w:p>
      <w:pPr>
        <w:spacing w:after="0" w:line="2" w:lineRule="exact"/>
        <w:rPr>
          <w:sz w:val="20"/>
          <w:szCs w:val="20"/>
          <w:color w:val="auto"/>
        </w:rPr>
      </w:pPr>
    </w:p>
    <w:p>
      <w:pPr>
        <w:jc w:val="both"/>
        <w:ind w:left="660" w:hanging="4"/>
        <w:spacing w:after="0" w:line="242" w:lineRule="auto"/>
        <w:tabs>
          <w:tab w:leader="none" w:pos="999" w:val="left"/>
        </w:tabs>
        <w:numPr>
          <w:ilvl w:val="1"/>
          <w:numId w:val="57"/>
        </w:numPr>
        <w:rPr>
          <w:rFonts w:ascii="Arial" w:cs="Arial" w:eastAsia="Arial" w:hAnsi="Arial"/>
          <w:sz w:val="20"/>
          <w:szCs w:val="20"/>
          <w:color w:val="auto"/>
        </w:rPr>
      </w:pPr>
      <w:r>
        <w:rPr>
          <w:rFonts w:ascii="Arial" w:cs="Arial" w:eastAsia="Arial" w:hAnsi="Arial"/>
          <w:sz w:val="20"/>
          <w:szCs w:val="20"/>
          <w:color w:val="auto"/>
        </w:rPr>
        <w:t>reduce a Participant’s rights with respect to shares of Common Stock previously purchased and held on the Participant’s behalf under the Plan. If the Board or Committee determines to suspend the Plan, all funds contributed under the Plan (determined in accordance with Section 7) that have not been used to purchase shares of Common Stock shall be returned to the Participants without interest as soon as administratively feasible.</w:t>
      </w:r>
    </w:p>
    <w:p>
      <w:pPr>
        <w:spacing w:after="0" w:line="220"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Effective with respect to Purchase Periods commencing after February 19, 2016, Section (iii) is hereby amended and restated to provide as follows:</w:t>
      </w:r>
    </w:p>
    <w:p>
      <w:pPr>
        <w:spacing w:after="0" w:line="215" w:lineRule="exact"/>
        <w:rPr>
          <w:rFonts w:ascii="Arial" w:cs="Arial" w:eastAsia="Arial" w:hAnsi="Arial"/>
          <w:sz w:val="20"/>
          <w:szCs w:val="20"/>
          <w:color w:val="auto"/>
        </w:rPr>
      </w:pPr>
    </w:p>
    <w:p>
      <w:pPr>
        <w:jc w:val="both"/>
        <w:ind w:left="1300" w:hanging="644"/>
        <w:spacing w:after="0"/>
        <w:tabs>
          <w:tab w:leader="none" w:pos="13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the Director of Human Resources as the Administrator shall establish and announce to Participants prior to a Purchase Period a maximum number of shares of Common Stock that may be purchased by a Participant during the Purchase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notwithstanding any other provision of the Plan, unless the Administrator determines otherwise with respect to a Purchase Period the maximum number of shares of Common Stock a Participant shall be permitted to purchase during a Purchase Period shall be 130 shares;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the maximum number of shares of Common Stock that may be purchased by a Participant during any Purchase Period shall never exceed 10,000 shares.</w:t>
      </w:r>
    </w:p>
    <w:p>
      <w:pPr>
        <w:spacing w:after="0" w:line="227"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Except as the Plan is expressly modified by this Amendment, all terms and conditions of the Plan shall remain in full force and effect.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Adopted on February 19, 2016</w:t>
      </w:r>
    </w:p>
    <w:p>
      <w:pPr>
        <w:sectPr>
          <w:pgSz w:w="11900" w:h="16838" w:orient="portrait"/>
          <w:cols w:equalWidth="0" w:num="1">
            <w:col w:w="11420"/>
          </w:cols>
          <w:pgMar w:left="240" w:top="57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21.1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Name of Subsidiary</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b w:val="1"/>
                <w:bCs w:val="1"/>
                <w:color w:val="auto"/>
                <w:w w:val="98"/>
              </w:rPr>
              <w:t>Jurisdiction of Formation</w:t>
            </w: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Cal Dive I-Title XI, Inc.</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Canyon Offshore, Inc.</w:t>
            </w:r>
          </w:p>
        </w:tc>
        <w:tc>
          <w:tcPr>
            <w:tcW w:w="1740" w:type="dxa"/>
            <w:vAlign w:val="bottom"/>
          </w:tcPr>
          <w:p>
            <w:pPr>
              <w:spacing w:after="0"/>
              <w:rPr>
                <w:sz w:val="23"/>
                <w:szCs w:val="23"/>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Canyon Offshore International Corp.</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Canyon Offshore Limited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Scotland</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Deepwater Gateway, L.L.C. (50%)</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9"/>
              </w:rPr>
              <w:t>Delaware</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Energy Resource Technology (U.K.) Limited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Scotland</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ERT Camelot Limited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rPr>
              <w:t>Scotland</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do Brasil Serviços de Petróleo Ltda</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w w:val="99"/>
              </w:rPr>
              <w:t>Brazil</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Energy Services PTE. Limited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w w:val="98"/>
              </w:rPr>
              <w:t>Singapore</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Energy Services Pty Ltd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Australia</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Energy Solutions B.V.</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w w:val="98"/>
              </w:rPr>
              <w:t>The Netherlands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Energy Solutions (U.K.) Limited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Scotland</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HR Services Limited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rPr>
              <w:t>Scotland</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Ingleside LLC</w:t>
            </w:r>
          </w:p>
        </w:tc>
        <w:tc>
          <w:tcPr>
            <w:tcW w:w="1740" w:type="dxa"/>
            <w:vAlign w:val="bottom"/>
          </w:tcPr>
          <w:p>
            <w:pPr>
              <w:spacing w:after="0"/>
              <w:rPr>
                <w:sz w:val="23"/>
                <w:szCs w:val="23"/>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20"/>
                <w:szCs w:val="20"/>
                <w:color w:val="auto"/>
                <w:w w:val="99"/>
              </w:rPr>
              <w:t>Delaware</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Crewing Services PTE. Ltd.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w w:val="98"/>
              </w:rPr>
              <w:t>Singapore</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Offshore International Holdings S.à r.l.</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International, Inc.</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Offshore International S.à r.l.</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Ltd.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w w:val="99"/>
              </w:rPr>
              <w:t>Cayman Islands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Offshore Services S.à r.l.</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Property Corp.</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Q5000 Holdings S.à r.l.</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Q7000 Vessel Holdings S.à r.l.</w:t>
            </w:r>
          </w:p>
        </w:tc>
        <w:tc>
          <w:tcPr>
            <w:tcW w:w="5120" w:type="dxa"/>
            <w:vAlign w:val="bottom"/>
            <w:gridSpan w:val="3"/>
            <w:shd w:val="clear" w:color="auto" w:fill="CCEEFF"/>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RDS Sdn. Bhd. (30%)</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w w:val="98"/>
              </w:rPr>
              <w:t>Malaysia</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Subsea Construction, Inc.</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9"/>
              </w:rPr>
              <w:t>Delaware</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Vessel Finance S.à r.l.</w:t>
            </w:r>
          </w:p>
        </w:tc>
        <w:tc>
          <w:tcPr>
            <w:tcW w:w="5120" w:type="dxa"/>
            <w:vAlign w:val="bottom"/>
            <w:gridSpan w:val="3"/>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Inc.</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5"/>
              </w:rPr>
              <w:t>Texas</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Well Ops Offshore Services Limited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Scotland</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S.à r.l.</w:t>
            </w:r>
          </w:p>
        </w:tc>
        <w:tc>
          <w:tcPr>
            <w:tcW w:w="5120" w:type="dxa"/>
            <w:vAlign w:val="bottom"/>
            <w:gridSpan w:val="3"/>
            <w:shd w:val="clear" w:color="auto" w:fill="CCEEFF"/>
          </w:tcPr>
          <w:p>
            <w:pPr>
              <w:jc w:val="center"/>
              <w:ind w:left="641"/>
              <w:spacing w:after="0"/>
              <w:rPr>
                <w:sz w:val="20"/>
                <w:szCs w:val="20"/>
                <w:color w:val="auto"/>
              </w:rPr>
            </w:pPr>
            <w:r>
              <w:rPr>
                <w:rFonts w:ascii="Arial" w:cs="Arial" w:eastAsia="Arial" w:hAnsi="Arial"/>
                <w:sz w:val="20"/>
                <w:szCs w:val="20"/>
                <w:color w:val="auto"/>
                <w:w w:val="98"/>
              </w:rPr>
              <w:t>Grand Duchy of Luxembourg</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Helix Well Ops SEA Pty Ltd</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rPr>
              <w:t>Australia</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(U.K.) Limited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rPr>
              <w:t>Scotland</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Independence Hub, LLC (20%)</w:t>
            </w:r>
          </w:p>
        </w:tc>
        <w:tc>
          <w:tcPr>
            <w:tcW w:w="1740" w:type="dxa"/>
            <w:vAlign w:val="bottom"/>
          </w:tcPr>
          <w:p>
            <w:pPr>
              <w:spacing w:after="0"/>
              <w:rPr>
                <w:sz w:val="23"/>
                <w:szCs w:val="23"/>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20"/>
                <w:szCs w:val="20"/>
                <w:color w:val="auto"/>
                <w:w w:val="99"/>
              </w:rPr>
              <w:t>Delaware</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Kommandor LLC</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980"/>
              <w:spacing w:after="0"/>
              <w:rPr>
                <w:sz w:val="20"/>
                <w:szCs w:val="20"/>
                <w:color w:val="auto"/>
              </w:rPr>
            </w:pPr>
            <w:r>
              <w:rPr>
                <w:rFonts w:ascii="Arial" w:cs="Arial" w:eastAsia="Arial" w:hAnsi="Arial"/>
                <w:sz w:val="20"/>
                <w:szCs w:val="20"/>
                <w:color w:val="auto"/>
                <w:w w:val="99"/>
              </w:rPr>
              <w:t>Delaware</w:t>
            </w:r>
          </w:p>
        </w:tc>
      </w:tr>
      <w:tr>
        <w:trPr>
          <w:trHeight w:val="265"/>
        </w:trPr>
        <w:tc>
          <w:tcPr>
            <w:tcW w:w="20" w:type="dxa"/>
            <w:vAlign w:val="bottom"/>
          </w:tcPr>
          <w:p>
            <w:pPr>
              <w:spacing w:after="0"/>
              <w:rPr>
                <w:sz w:val="23"/>
                <w:szCs w:val="23"/>
                <w:color w:val="auto"/>
              </w:rPr>
            </w:pPr>
          </w:p>
        </w:tc>
        <w:tc>
          <w:tcPr>
            <w:tcW w:w="5500" w:type="dxa"/>
            <w:vAlign w:val="bottom"/>
            <w:gridSpan w:val="2"/>
          </w:tcPr>
          <w:p>
            <w:pPr>
              <w:spacing w:after="0"/>
              <w:rPr>
                <w:sz w:val="20"/>
                <w:szCs w:val="20"/>
                <w:color w:val="auto"/>
              </w:rPr>
            </w:pPr>
            <w:r>
              <w:rPr>
                <w:rFonts w:ascii="Arial" w:cs="Arial" w:eastAsia="Arial" w:hAnsi="Arial"/>
                <w:sz w:val="20"/>
                <w:szCs w:val="20"/>
                <w:color w:val="auto"/>
              </w:rPr>
              <w:t>Offshore Well Services, S. de R.L. de C.V.</w:t>
            </w:r>
          </w:p>
        </w:tc>
        <w:tc>
          <w:tcPr>
            <w:tcW w:w="1740" w:type="dxa"/>
            <w:vAlign w:val="bottom"/>
          </w:tcPr>
          <w:p>
            <w:pPr>
              <w:spacing w:after="0"/>
              <w:rPr>
                <w:sz w:val="23"/>
                <w:szCs w:val="23"/>
                <w:color w:val="auto"/>
              </w:rPr>
            </w:pPr>
          </w:p>
        </w:tc>
        <w:tc>
          <w:tcPr>
            <w:tcW w:w="3380" w:type="dxa"/>
            <w:vAlign w:val="bottom"/>
            <w:gridSpan w:val="2"/>
          </w:tcPr>
          <w:p>
            <w:pPr>
              <w:jc w:val="center"/>
              <w:ind w:right="1000"/>
              <w:spacing w:after="0"/>
              <w:rPr>
                <w:sz w:val="20"/>
                <w:szCs w:val="20"/>
                <w:color w:val="auto"/>
              </w:rPr>
            </w:pPr>
            <w:r>
              <w:rPr>
                <w:rFonts w:ascii="Arial" w:cs="Arial" w:eastAsia="Arial" w:hAnsi="Arial"/>
                <w:sz w:val="20"/>
                <w:szCs w:val="20"/>
                <w:color w:val="auto"/>
                <w:w w:val="97"/>
              </w:rPr>
              <w:t>Mexico</w:t>
            </w:r>
          </w:p>
        </w:tc>
      </w:tr>
      <w:tr>
        <w:trPr>
          <w:trHeight w:val="275"/>
        </w:trPr>
        <w:tc>
          <w:tcPr>
            <w:tcW w:w="20" w:type="dxa"/>
            <w:vAlign w:val="bottom"/>
            <w:shd w:val="clear" w:color="auto" w:fill="CCEEFF"/>
          </w:tcPr>
          <w:p>
            <w:pPr>
              <w:spacing w:after="0"/>
              <w:rPr>
                <w:sz w:val="23"/>
                <w:szCs w:val="23"/>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Well Ops SEA Pty Ltd</w:t>
            </w:r>
          </w:p>
        </w:tc>
        <w:tc>
          <w:tcPr>
            <w:tcW w:w="1740" w:type="dxa"/>
            <w:vAlign w:val="bottom"/>
            <w:shd w:val="clear" w:color="auto" w:fill="CCEEFF"/>
          </w:tcPr>
          <w:p>
            <w:pPr>
              <w:spacing w:after="0"/>
              <w:rPr>
                <w:sz w:val="23"/>
                <w:szCs w:val="23"/>
                <w:color w:val="auto"/>
              </w:rPr>
            </w:pPr>
          </w:p>
        </w:tc>
        <w:tc>
          <w:tcPr>
            <w:tcW w:w="3380" w:type="dxa"/>
            <w:vAlign w:val="bottom"/>
            <w:gridSpan w:val="2"/>
            <w:shd w:val="clear" w:color="auto" w:fill="CCEEFF"/>
          </w:tcPr>
          <w:p>
            <w:pPr>
              <w:jc w:val="center"/>
              <w:ind w:right="1000"/>
              <w:spacing w:after="0"/>
              <w:rPr>
                <w:sz w:val="20"/>
                <w:szCs w:val="20"/>
                <w:color w:val="auto"/>
              </w:rPr>
            </w:pPr>
            <w:r>
              <w:rPr>
                <w:rFonts w:ascii="Arial" w:cs="Arial" w:eastAsia="Arial" w:hAnsi="Arial"/>
                <w:sz w:val="20"/>
                <w:szCs w:val="20"/>
                <w:color w:val="auto"/>
              </w:rPr>
              <w:t>Australia</w:t>
            </w:r>
          </w:p>
        </w:tc>
      </w:tr>
    </w:tbl>
    <w:p>
      <w:pPr>
        <w:sectPr>
          <w:pgSz w:w="11900" w:h="16838" w:orient="portrait"/>
          <w:cols w:equalWidth="0" w:num="1">
            <w:col w:w="11020"/>
          </w:cols>
          <w:pgMar w:left="640" w:top="58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We consent to the incorporation by reference in the Registration Statements (Form S-3 Nos. 333-202528, 333-179937 and 333-103451) and in the related Prospectuses and Form S-8 (Nos. 333-183532, 333-126248 and 333-58817) of Helix Energy Solutions Group, Inc. of our reports dated February 29, 2016, with respect to the consolidated financial statements of Helix Energy Solutions Group, Inc., and the effectiveness of internal control over financial reporting of Helix Energy Solutions Group, Inc., included in this Annual Report (Form 10-K) of Helix Energy Solutions Group, Inc. for the year ended December 31, 2015.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29, 2016</w:t>
      </w:r>
    </w:p>
    <w:p>
      <w:pPr>
        <w:sectPr>
          <w:pgSz w:w="11900" w:h="16838" w:orient="portrait"/>
          <w:cols w:equalWidth="0" w:num="1">
            <w:col w:w="11420"/>
          </w:cols>
          <w:pgMar w:left="240" w:top="57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We consent to the incorporation by reference in Registration Statement Nos. 333-202528, 333-179937 and 333-103451 on Form S-3 and in Registration Statement Nos. 333-183532, 333-126248 and 333-58817 on Form S-8 of our report dated February 12, 2016, relating to the financial statements as of and for the year ended December 31, 2015 of Deepwater Gateway, L.L.C., appearing in this Annual Report on Form 10-K of Helix Energy Solutions Group, Inc. for the year ended December 31, 2015.</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ectPr>
          <w:pgSz w:w="11900" w:h="16838" w:orient="portrait"/>
          <w:cols w:equalWidth="0" w:num="1">
            <w:col w:w="11420"/>
          </w:cols>
          <w:pgMar w:left="240" w:top="57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3"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 consent to the incorporation by reference in Registration Statement Nos. 333-202528, 333-179937 and 333-103451 on Form S-3 and in Registration Statement Nos. 333-183532, 333-126248 and 333-58817 on Form S-8 of our report dated February 12, 2016, relating to the financial statements of Independence Hub, LLC, as of and for the year ended December 31, 2015, which expresses an unqualified opinion and includes an explanatory paragraph regarding the Independence Hub, LLC’s Members’ having guaranteed their commitment to Independence Hub, LLC to provide the necessary level of financial support to enable Independence Hub, LLC to pay its obligations as they become due, appearing in this Annual Report on Form 10-K of Helix Energy Solutions Group, Inc. for the year ended December 31, 2015.</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ectPr>
          <w:pgSz w:w="11900" w:h="16838" w:orient="portrait"/>
          <w:cols w:equalWidth="0" w:num="1">
            <w:col w:w="11420"/>
          </w:cols>
          <w:pgMar w:left="240" w:top="57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ind w:left="660" w:right="20" w:hanging="652"/>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660" w:right="20" w:hanging="652"/>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20"/>
          <w:szCs w:val="20"/>
          <w:color w:val="auto"/>
        </w:rPr>
      </w:pPr>
    </w:p>
    <w:p>
      <w:pPr>
        <w:ind w:left="660" w:right="280" w:hanging="652"/>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ind w:left="1300" w:right="520" w:hanging="644"/>
        <w:spacing w:after="0" w:line="242"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20"/>
          <w:szCs w:val="20"/>
          <w:color w:val="auto"/>
        </w:rPr>
      </w:pPr>
    </w:p>
    <w:p>
      <w:pPr>
        <w:ind w:left="1300" w:right="60" w:hanging="644"/>
        <w:spacing w:after="0" w:line="242"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20"/>
          <w:szCs w:val="20"/>
          <w:color w:val="auto"/>
        </w:rPr>
      </w:pPr>
    </w:p>
    <w:p>
      <w:pPr>
        <w:jc w:val="both"/>
        <w:ind w:left="1300" w:right="160" w:hanging="644"/>
        <w:spacing w:after="0" w:line="243"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ind w:left="1300" w:right="200" w:hanging="644"/>
        <w:spacing w:after="0" w:line="242"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20"/>
          <w:szCs w:val="20"/>
          <w:color w:val="auto"/>
        </w:rPr>
      </w:pPr>
    </w:p>
    <w:p>
      <w:pPr>
        <w:ind w:left="660" w:right="280" w:hanging="652"/>
        <w:spacing w:after="0" w:line="243" w:lineRule="auto"/>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ind w:left="1300" w:right="240" w:hanging="644"/>
        <w:spacing w:after="0" w:line="243"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1300" w:right="60" w:hanging="644"/>
        <w:spacing w:after="0" w:line="247" w:lineRule="auto"/>
        <w:tabs>
          <w:tab w:leader="none" w:pos="130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29, 2016</w:t>
      </w:r>
    </w:p>
    <w:p>
      <w:pPr>
        <w:spacing w:after="0" w:line="39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101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4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Owen Kratz</w:t>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President and Chief Executive</w:t>
      </w:r>
    </w:p>
    <w:p>
      <w:pPr>
        <w:ind w:left="7340"/>
        <w:spacing w:after="0"/>
        <w:rPr>
          <w:sz w:val="20"/>
          <w:szCs w:val="20"/>
          <w:color w:val="auto"/>
        </w:rPr>
      </w:pPr>
      <w:r>
        <w:rPr>
          <w:rFonts w:ascii="Arial" w:cs="Arial" w:eastAsia="Arial" w:hAnsi="Arial"/>
          <w:sz w:val="20"/>
          <w:szCs w:val="20"/>
          <w:color w:val="auto"/>
        </w:rPr>
        <w:t>Officer</w:t>
      </w:r>
    </w:p>
    <w:p>
      <w:pPr>
        <w:sectPr>
          <w:pgSz w:w="11900" w:h="16838" w:orient="portrait"/>
          <w:cols w:equalWidth="0" w:num="1">
            <w:col w:w="11420"/>
          </w:cols>
          <w:pgMar w:left="240" w:top="57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I, Anthony Tripodo, the Executive Vice President and Chief Financial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ind w:left="660" w:right="20" w:hanging="652"/>
        <w:spacing w:after="0" w:line="243"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660" w:right="20" w:hanging="652"/>
        <w:spacing w:after="0" w:line="243"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20"/>
          <w:szCs w:val="20"/>
          <w:color w:val="auto"/>
        </w:rPr>
      </w:pPr>
    </w:p>
    <w:p>
      <w:pPr>
        <w:ind w:left="660" w:right="280" w:hanging="652"/>
        <w:spacing w:after="0" w:line="243"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ind w:left="1300" w:right="520" w:hanging="644"/>
        <w:spacing w:after="0" w:line="242"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20"/>
          <w:szCs w:val="20"/>
          <w:color w:val="auto"/>
        </w:rPr>
      </w:pPr>
    </w:p>
    <w:p>
      <w:pPr>
        <w:ind w:left="1300" w:right="60" w:hanging="644"/>
        <w:spacing w:after="0" w:line="242"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20"/>
          <w:szCs w:val="20"/>
          <w:color w:val="auto"/>
        </w:rPr>
      </w:pPr>
    </w:p>
    <w:p>
      <w:pPr>
        <w:jc w:val="both"/>
        <w:ind w:left="1300" w:right="160" w:hanging="644"/>
        <w:spacing w:after="0" w:line="243"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ind w:left="1300" w:right="200" w:hanging="644"/>
        <w:spacing w:after="0" w:line="242"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20"/>
          <w:szCs w:val="20"/>
          <w:color w:val="auto"/>
        </w:rPr>
      </w:pPr>
    </w:p>
    <w:p>
      <w:pPr>
        <w:ind w:left="660" w:right="280" w:hanging="652"/>
        <w:spacing w:after="0" w:line="243" w:lineRule="auto"/>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ind w:left="1300" w:right="240" w:hanging="644"/>
        <w:spacing w:after="0" w:line="243"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1300" w:right="60" w:hanging="644"/>
        <w:spacing w:after="0" w:line="247"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29, 2016</w:t>
      </w:r>
    </w:p>
    <w:p>
      <w:pPr>
        <w:spacing w:after="0" w:line="39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/s/ Anthony Tripodo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101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4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Anthony Tripodo</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Executive Vice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420"/>
          </w:cols>
          <w:pgMar w:left="240" w:top="57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ind w:left="2520" w:right="2180" w:hanging="376"/>
        <w:spacing w:after="0" w:line="299" w:lineRule="auto"/>
        <w:rPr>
          <w:sz w:val="20"/>
          <w:szCs w:val="20"/>
          <w:color w:val="auto"/>
        </w:rPr>
      </w:pPr>
      <w:r>
        <w:rPr>
          <w:rFonts w:ascii="Arial" w:cs="Arial" w:eastAsia="Arial" w:hAnsi="Arial"/>
          <w:sz w:val="19"/>
          <w:szCs w:val="19"/>
          <w:b w:val="1"/>
          <w:bCs w:val="1"/>
          <w:color w:val="auto"/>
        </w:rPr>
        <w:t xml:space="preserve">CERTIFICATION OF CEO AND CFO PURSUANT TO 18 U.S.C. SECTION 1350 </w:t>
      </w:r>
      <w:r>
        <w:rPr>
          <w:rFonts w:ascii="Arial" w:cs="Arial" w:eastAsia="Arial" w:hAnsi="Arial"/>
          <w:sz w:val="19"/>
          <w:szCs w:val="19"/>
          <w:color w:val="auto"/>
        </w:rPr>
        <w:t>(As Adopted Pursuant to Section 906 of the Sarbanes-Oxley Act of 2002)</w:t>
      </w:r>
    </w:p>
    <w:p>
      <w:pPr>
        <w:spacing w:after="0" w:line="168"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connection with the Annual Report of Helix Energy Solutions Group, Inc. (“Helix”) on Form 10-K for the year ended December 31, 2015, as filed with the Securities and Exchange Commission on the date hereof (the “Report”), Owen Kratz, as President and Chief Executive Officer, and Anthony Tripodo, as Executive Vice President and Chief Financial Officer, each hereby certifies, pursuant to 18 U.S.C. Section 1350, as adopted pursuant to Section 906 of the Sarbanes-Oxley Act of 2002, that:</w:t>
      </w:r>
    </w:p>
    <w:p>
      <w:pPr>
        <w:spacing w:after="0" w:line="15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61" w:lineRule="exact"/>
        <w:rPr>
          <w:rFonts w:ascii="Arial" w:cs="Arial" w:eastAsia="Arial" w:hAnsi="Arial"/>
          <w:sz w:val="20"/>
          <w:szCs w:val="20"/>
          <w:color w:val="auto"/>
        </w:rPr>
      </w:pPr>
    </w:p>
    <w:p>
      <w:pPr>
        <w:ind w:left="660" w:right="660" w:hanging="328"/>
        <w:spacing w:after="0" w:line="247" w:lineRule="auto"/>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29, 2016</w:t>
      </w:r>
    </w:p>
    <w:p>
      <w:pPr>
        <w:spacing w:after="0" w:line="39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101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4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Owen Kratz</w:t>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President and Chief Executive</w:t>
      </w:r>
    </w:p>
    <w:p>
      <w:pPr>
        <w:ind w:left="7340"/>
        <w:spacing w:after="0"/>
        <w:rPr>
          <w:sz w:val="20"/>
          <w:szCs w:val="20"/>
          <w:color w:val="auto"/>
        </w:rPr>
      </w:pPr>
      <w:r>
        <w:rPr>
          <w:rFonts w:ascii="Arial" w:cs="Arial" w:eastAsia="Arial" w:hAnsi="Arial"/>
          <w:sz w:val="20"/>
          <w:szCs w:val="20"/>
          <w:color w:val="auto"/>
        </w:rPr>
        <w:t>Officer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29, 2016</w:t>
      </w:r>
    </w:p>
    <w:p>
      <w:pPr>
        <w:spacing w:after="0" w:line="391"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/s/ Anthony Tripodo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101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47"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Anthony Tripodo</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Executive Vice President and</w:t>
      </w:r>
    </w:p>
    <w:p>
      <w:pPr>
        <w:spacing w:after="0" w:line="40" w:lineRule="exact"/>
        <w:rPr>
          <w:sz w:val="20"/>
          <w:szCs w:val="20"/>
          <w:color w:val="auto"/>
        </w:rPr>
      </w:pPr>
    </w:p>
    <w:p>
      <w:pPr>
        <w:ind w:left="7340"/>
        <w:spacing w:after="0"/>
        <w:rPr>
          <w:sz w:val="20"/>
          <w:szCs w:val="20"/>
          <w:color w:val="auto"/>
        </w:rPr>
      </w:pPr>
      <w:r>
        <w:rPr>
          <w:rFonts w:ascii="Arial" w:cs="Arial" w:eastAsia="Arial" w:hAnsi="Arial"/>
          <w:sz w:val="20"/>
          <w:szCs w:val="20"/>
          <w:color w:val="auto"/>
        </w:rPr>
        <w:t>Chief Financial Officer</w:t>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emdash "/>
      <w:numFmt w:val="bullet"/>
      <w:start w:val="1"/>
    </w:lvl>
  </w:abstractNum>
  <w:abstractNum w:abstractNumId="7">
    <w:nsid w:val="419AC241"/>
    <w:multiLevelType w:val="hybridMultilevel"/>
    <w:lvl w:ilvl="0">
      <w:lvlJc w:val="left"/>
      <w:lvlText w:val="(%1)"/>
      <w:numFmt w:val="lowerRoman"/>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2"/>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2"/>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2"/>
    </w:lvl>
  </w:abstractNum>
  <w:abstractNum w:abstractNumId="30">
    <w:nsid w:val="4B588F54"/>
    <w:multiLevelType w:val="hybridMultilevel"/>
    <w:lvl w:ilvl="0">
      <w:lvlJc w:val="left"/>
      <w:lvlText w:val="%1"/>
      <w:numFmt w:val="upperLetter"/>
      <w:start w:val="6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lowerRoman"/>
      <w:start w:val="3"/>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3"/>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2"/>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lvl w:ilvl="1">
      <w:lvlJc w:val="left"/>
      <w:lvlText w:val="(%2)"/>
      <w:numFmt w:val="lowerRoman"/>
      <w:start w:val="2"/>
    </w:lvl>
  </w:abstractNum>
  <w:abstractNum w:abstractNumId="57">
    <w:nsid w:val="15B5AF5C"/>
    <w:multiLevelType w:val="hybridMultilevel"/>
    <w:lvl w:ilvl="0">
      <w:lvlJc w:val="left"/>
      <w:lvlText w:val="%1."/>
      <w:numFmt w:val="decimal"/>
      <w:start w:val="2"/>
    </w:lvl>
    <w:lvl w:ilvl="1">
      <w:lvlJc w:val="left"/>
      <w:lvlText w:val="(%2)"/>
      <w:numFmt w:val="lowerRoman"/>
      <w:start w:val="8"/>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2019-12-29T13:12:59Z</dcterms:created>
  <dcterms:modified xsi:type="dcterms:W3CDTF">2019-12-29T13:12:59Z</dcterms:modified>
</cp:coreProperties>
</file>