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220345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5"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5" w:lineRule="exact"/>
        <w:rPr>
          <w:sz w:val="24"/>
          <w:szCs w:val="24"/>
          <w:color w:val="auto"/>
        </w:rPr>
      </w:pPr>
    </w:p>
    <w:p>
      <w:pPr>
        <w:ind w:left="660" w:hanging="341"/>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2720" w:right="340" w:hanging="2399"/>
        <w:spacing w:after="0" w:line="364" w:lineRule="auto"/>
        <w:tabs>
          <w:tab w:leader="none" w:pos="65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from__________ to__________</w:t>
      </w:r>
    </w:p>
    <w:p>
      <w:pPr>
        <w:spacing w:after="0" w:line="1" w:lineRule="exact"/>
        <w:rPr>
          <w:rFonts w:ascii="MS PGothic" w:cs="MS PGothic" w:eastAsia="MS PGothic" w:hAnsi="MS PGothic"/>
          <w:sz w:val="18"/>
          <w:szCs w:val="18"/>
          <w:color w:val="auto"/>
        </w:rPr>
      </w:pPr>
    </w:p>
    <w:p>
      <w:pPr>
        <w:ind w:left="362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2443480</wp:posOffset>
            </wp:positionH>
            <wp:positionV relativeFrom="paragraph">
              <wp:posOffset>57785</wp:posOffset>
            </wp:positionV>
            <wp:extent cx="15944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HELIX ENERGY SOLUTIONS GROUP,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88" w:lineRule="exact"/>
        <w:rPr>
          <w:sz w:val="24"/>
          <w:szCs w:val="24"/>
          <w:color w:val="auto"/>
        </w:rPr>
      </w:pPr>
    </w:p>
    <w:tbl>
      <w:tblPr>
        <w:tblLayout w:type="fixed"/>
        <w:tblInd w:w="400" w:type="dxa"/>
        <w:tblCellMar>
          <w:top w:w="0" w:type="dxa"/>
          <w:left w:w="0" w:type="dxa"/>
          <w:bottom w:w="0" w:type="dxa"/>
          <w:right w:w="0" w:type="dxa"/>
        </w:tblCellMar>
      </w:tblPr>
      <w:tr>
        <w:trPr>
          <w:trHeight w:val="215"/>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Minnesota</w:t>
            </w:r>
          </w:p>
        </w:tc>
        <w:tc>
          <w:tcPr>
            <w:tcW w:w="3440" w:type="dxa"/>
            <w:vAlign w:val="bottom"/>
          </w:tcPr>
          <w:p>
            <w:pPr>
              <w:jc w:val="right"/>
              <w:ind w:right="739"/>
              <w:spacing w:after="0"/>
              <w:rPr>
                <w:sz w:val="20"/>
                <w:szCs w:val="20"/>
                <w:color w:val="auto"/>
              </w:rPr>
            </w:pPr>
            <w:r>
              <w:rPr>
                <w:rFonts w:ascii="Arial" w:cs="Arial" w:eastAsia="Arial" w:hAnsi="Arial"/>
                <w:sz w:val="16"/>
                <w:szCs w:val="16"/>
                <w:b w:val="1"/>
                <w:bCs w:val="1"/>
                <w:color w:val="auto"/>
              </w:rPr>
              <w:t>95-3409686</w:t>
            </w:r>
          </w:p>
        </w:tc>
      </w:tr>
      <w:tr>
        <w:trPr>
          <w:trHeight w:val="283"/>
        </w:trPr>
        <w:tc>
          <w:tcPr>
            <w:tcW w:w="5120" w:type="dxa"/>
            <w:vAlign w:val="bottom"/>
          </w:tcPr>
          <w:p>
            <w:pPr>
              <w:jc w:val="center"/>
              <w:ind w:right="859"/>
              <w:spacing w:after="0"/>
              <w:rPr>
                <w:sz w:val="20"/>
                <w:szCs w:val="20"/>
                <w:color w:val="auto"/>
              </w:rPr>
            </w:pPr>
            <w:r>
              <w:rPr>
                <w:rFonts w:ascii="Arial" w:cs="Arial" w:eastAsia="Arial" w:hAnsi="Arial"/>
                <w:sz w:val="16"/>
                <w:szCs w:val="16"/>
                <w:i w:val="1"/>
                <w:iCs w:val="1"/>
                <w:color w:val="auto"/>
              </w:rPr>
              <w:t>(State or other jurisdiction of incorporation or organization)</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(I.R.S. Employer Identification No.)</w:t>
            </w:r>
          </w:p>
        </w:tc>
      </w:tr>
      <w:tr>
        <w:trPr>
          <w:trHeight w:val="283"/>
        </w:trPr>
        <w:tc>
          <w:tcPr>
            <w:tcW w:w="5120" w:type="dxa"/>
            <w:vAlign w:val="bottom"/>
          </w:tcPr>
          <w:p>
            <w:pPr>
              <w:jc w:val="center"/>
              <w:ind w:right="859"/>
              <w:spacing w:after="0"/>
              <w:rPr>
                <w:sz w:val="20"/>
                <w:szCs w:val="20"/>
                <w:color w:val="auto"/>
              </w:rPr>
            </w:pPr>
            <w:r>
              <w:rPr>
                <w:rFonts w:ascii="Arial" w:cs="Arial" w:eastAsia="Arial" w:hAnsi="Arial"/>
                <w:sz w:val="16"/>
                <w:szCs w:val="16"/>
                <w:b w:val="1"/>
                <w:bCs w:val="1"/>
                <w:color w:val="auto"/>
              </w:rPr>
              <w:t>3505 West Sam Houston Parkway North</w:t>
            </w:r>
          </w:p>
        </w:tc>
        <w:tc>
          <w:tcPr>
            <w:tcW w:w="3440" w:type="dxa"/>
            <w:vAlign w:val="bottom"/>
          </w:tcPr>
          <w:p>
            <w:pPr>
              <w:spacing w:after="0"/>
              <w:rPr>
                <w:sz w:val="24"/>
                <w:szCs w:val="24"/>
                <w:color w:val="auto"/>
              </w:rPr>
            </w:pPr>
          </w:p>
        </w:tc>
      </w:tr>
      <w:tr>
        <w:trPr>
          <w:trHeight w:val="28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Suite 400</w:t>
            </w:r>
          </w:p>
        </w:tc>
        <w:tc>
          <w:tcPr>
            <w:tcW w:w="3440" w:type="dxa"/>
            <w:vAlign w:val="bottom"/>
          </w:tcPr>
          <w:p>
            <w:pPr>
              <w:spacing w:after="0"/>
              <w:rPr>
                <w:sz w:val="24"/>
                <w:szCs w:val="24"/>
                <w:color w:val="auto"/>
              </w:rPr>
            </w:pPr>
          </w:p>
        </w:tc>
      </w:tr>
      <w:tr>
        <w:trPr>
          <w:trHeight w:val="284"/>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Houston Texas</w:t>
            </w:r>
          </w:p>
        </w:tc>
        <w:tc>
          <w:tcPr>
            <w:tcW w:w="3440" w:type="dxa"/>
            <w:vAlign w:val="bottom"/>
          </w:tcPr>
          <w:p>
            <w:pPr>
              <w:jc w:val="right"/>
              <w:ind w:right="939"/>
              <w:spacing w:after="0"/>
              <w:rPr>
                <w:sz w:val="20"/>
                <w:szCs w:val="20"/>
                <w:color w:val="auto"/>
              </w:rPr>
            </w:pPr>
            <w:r>
              <w:rPr>
                <w:rFonts w:ascii="Arial" w:cs="Arial" w:eastAsia="Arial" w:hAnsi="Arial"/>
                <w:sz w:val="16"/>
                <w:szCs w:val="16"/>
                <w:b w:val="1"/>
                <w:bCs w:val="1"/>
                <w:color w:val="auto"/>
              </w:rPr>
              <w:t>77043</w:t>
            </w:r>
          </w:p>
        </w:tc>
      </w:tr>
      <w:tr>
        <w:trPr>
          <w:trHeight w:val="283"/>
        </w:trPr>
        <w:tc>
          <w:tcPr>
            <w:tcW w:w="5120" w:type="dxa"/>
            <w:vAlign w:val="bottom"/>
          </w:tcPr>
          <w:p>
            <w:pPr>
              <w:jc w:val="center"/>
              <w:ind w:right="839"/>
              <w:spacing w:after="0"/>
              <w:rPr>
                <w:sz w:val="20"/>
                <w:szCs w:val="20"/>
                <w:color w:val="auto"/>
              </w:rPr>
            </w:pPr>
            <w:r>
              <w:rPr>
                <w:rFonts w:ascii="Arial" w:cs="Arial" w:eastAsia="Arial" w:hAnsi="Arial"/>
                <w:sz w:val="16"/>
                <w:szCs w:val="16"/>
                <w:i w:val="1"/>
                <w:iCs w:val="1"/>
                <w:color w:val="auto"/>
              </w:rPr>
              <w:t>(Address of principal executive offices)</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(Zip Code)</w:t>
            </w:r>
          </w:p>
        </w:tc>
      </w:tr>
    </w:tbl>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618–0400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2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70"/>
        </w:trPr>
        <w:tc>
          <w:tcPr>
            <w:tcW w:w="42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Title of each class</w:t>
            </w:r>
          </w:p>
        </w:tc>
        <w:tc>
          <w:tcPr>
            <w:tcW w:w="2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Trading Symbol(s)</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33"/>
        </w:trPr>
        <w:tc>
          <w:tcPr>
            <w:tcW w:w="3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190"/>
        </w:trPr>
        <w:tc>
          <w:tcPr>
            <w:tcW w:w="4220" w:type="dxa"/>
            <w:vAlign w:val="bottom"/>
            <w:gridSpan w:val="3"/>
          </w:tcPr>
          <w:p>
            <w:pPr>
              <w:jc w:val="center"/>
              <w:ind w:right="420"/>
              <w:spacing w:after="0"/>
              <w:rPr>
                <w:sz w:val="20"/>
                <w:szCs w:val="20"/>
                <w:color w:val="auto"/>
              </w:rPr>
            </w:pPr>
            <w:r>
              <w:rPr>
                <w:rFonts w:ascii="Arial" w:cs="Arial" w:eastAsia="Arial" w:hAnsi="Arial"/>
                <w:sz w:val="16"/>
                <w:szCs w:val="16"/>
                <w:color w:val="auto"/>
              </w:rPr>
              <w:t>Common Stock, no par value</w:t>
            </w:r>
          </w:p>
        </w:tc>
        <w:tc>
          <w:tcPr>
            <w:tcW w:w="2080" w:type="dxa"/>
            <w:vAlign w:val="bottom"/>
            <w:gridSpan w:val="2"/>
          </w:tcPr>
          <w:p>
            <w:pPr>
              <w:jc w:val="center"/>
              <w:ind w:right="400"/>
              <w:spacing w:after="0"/>
              <w:rPr>
                <w:sz w:val="20"/>
                <w:szCs w:val="20"/>
                <w:color w:val="auto"/>
              </w:rPr>
            </w:pPr>
            <w:r>
              <w:rPr>
                <w:rFonts w:ascii="Arial" w:cs="Arial" w:eastAsia="Arial" w:hAnsi="Arial"/>
                <w:sz w:val="16"/>
                <w:szCs w:val="16"/>
                <w:color w:val="auto"/>
              </w:rPr>
              <w:t>HLX</w:t>
            </w:r>
          </w:p>
        </w:tc>
        <w:tc>
          <w:tcPr>
            <w:tcW w:w="39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02"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86" w:lineRule="exact"/>
        <w:rPr>
          <w:sz w:val="24"/>
          <w:szCs w:val="24"/>
          <w:color w:val="auto"/>
        </w:rPr>
      </w:pPr>
    </w:p>
    <w:p>
      <w:pPr>
        <w:jc w:val="both"/>
        <w:ind w:right="2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3"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51"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w:t>
      </w:r>
    </w:p>
    <w:p>
      <w:pPr>
        <w:spacing w:after="0" w:line="5"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355" w:lineRule="exact"/>
        <w:rPr>
          <w:sz w:val="24"/>
          <w:szCs w:val="24"/>
          <w:color w:val="auto"/>
        </w:rPr>
      </w:pPr>
    </w:p>
    <w:p>
      <w:pPr>
        <w:sectPr>
          <w:pgSz w:w="11900" w:h="16838" w:orient="portrait"/>
          <w:cols w:equalWidth="0" w:num="5">
            <w:col w:w="1920" w:space="340"/>
            <w:col w:w="1360" w:space="380"/>
            <w:col w:w="1680" w:space="460"/>
            <w:col w:w="1240" w:space="500"/>
            <w:col w:w="2340"/>
          </w:cols>
          <w:pgMar w:left="840" w:top="665" w:right="839" w:bottom="1440" w:gutter="0" w:footer="0" w:header="0"/>
          <w:type w:val="continuous"/>
        </w:sectPr>
      </w:pPr>
    </w:p>
    <w:p>
      <w:pPr>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55" w:lineRule="exact"/>
        <w:rPr>
          <w:sz w:val="24"/>
          <w:szCs w:val="24"/>
          <w:color w:val="auto"/>
        </w:rPr>
      </w:pPr>
    </w:p>
    <w:p>
      <w:pPr>
        <w:ind w:left="2660"/>
        <w:spacing w:after="0"/>
        <w:rPr>
          <w:sz w:val="20"/>
          <w:szCs w:val="20"/>
          <w:color w:val="auto"/>
        </w:rPr>
      </w:pPr>
      <w:r>
        <w:rPr>
          <w:rFonts w:ascii="Arial" w:cs="Arial" w:eastAsia="Arial" w:hAnsi="Arial"/>
          <w:sz w:val="16"/>
          <w:szCs w:val="16"/>
          <w:color w:val="auto"/>
        </w:rPr>
        <w:t>As of April 20, 2023, 151,501,179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490855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62230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104775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40" w:type="dxa"/>
            <w:vAlign w:val="bottom"/>
            <w:gridSpan w:val="26"/>
          </w:tcPr>
          <w:p>
            <w:pPr>
              <w:spacing w:after="0"/>
              <w:rPr>
                <w:sz w:val="20"/>
                <w:szCs w:val="20"/>
                <w:color w:val="auto"/>
              </w:rPr>
            </w:pPr>
            <w:r>
              <w:rPr>
                <w:rFonts w:ascii="Arial" w:cs="Arial" w:eastAsia="Arial" w:hAnsi="Arial"/>
                <w:sz w:val="18"/>
                <w:szCs w:val="18"/>
                <w:color w:val="0000EE"/>
              </w:rPr>
              <w:t>Table of Contents</w:t>
            </w:r>
          </w:p>
        </w:tc>
        <w:tc>
          <w:tcPr>
            <w:tcW w:w="680" w:type="dxa"/>
            <w:vAlign w:val="bottom"/>
          </w:tcPr>
          <w:p>
            <w:pPr>
              <w:spacing w:after="0"/>
              <w:rPr>
                <w:sz w:val="17"/>
                <w:szCs w:val="17"/>
                <w:color w:val="auto"/>
              </w:rPr>
            </w:pPr>
          </w:p>
        </w:tc>
      </w:tr>
      <w:tr>
        <w:trPr>
          <w:trHeight w:val="560"/>
        </w:trPr>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9"/>
          </w:tcPr>
          <w:p>
            <w:pPr>
              <w:ind w:left="2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4"/>
                <w:szCs w:val="24"/>
                <w:color w:val="auto"/>
              </w:rPr>
            </w:pPr>
          </w:p>
        </w:tc>
      </w:tr>
      <w:tr>
        <w:trPr>
          <w:trHeight w:val="378"/>
        </w:trPr>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6"/>
              </w:rPr>
              <w:t>PART I.</w:t>
            </w:r>
          </w:p>
        </w:tc>
        <w:tc>
          <w:tcPr>
            <w:tcW w:w="600" w:type="dxa"/>
            <w:vAlign w:val="bottom"/>
            <w:gridSpan w:val="3"/>
          </w:tcPr>
          <w:p>
            <w:pPr>
              <w:spacing w:after="0"/>
              <w:rPr>
                <w:sz w:val="24"/>
                <w:szCs w:val="24"/>
                <w:color w:val="auto"/>
              </w:rPr>
            </w:pPr>
          </w:p>
        </w:tc>
        <w:tc>
          <w:tcPr>
            <w:tcW w:w="22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w w:val="98"/>
              </w:rPr>
              <w:t>FINANCIAL INFORMATION</w:t>
            </w:r>
          </w:p>
        </w:tc>
        <w:tc>
          <w:tcPr>
            <w:tcW w:w="572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8000" w:type="dxa"/>
            <w:vAlign w:val="bottom"/>
            <w:gridSpan w:val="21"/>
          </w:tcPr>
          <w:p>
            <w:pPr>
              <w:spacing w:after="0"/>
              <w:rPr>
                <w:sz w:val="20"/>
                <w:szCs w:val="20"/>
                <w:color w:val="auto"/>
              </w:rPr>
            </w:pPr>
            <w:r>
              <w:rPr>
                <w:rFonts w:ascii="Arial" w:cs="Arial" w:eastAsia="Arial" w:hAnsi="Arial"/>
                <w:sz w:val="18"/>
                <w:szCs w:val="18"/>
                <w:color w:val="0000EE"/>
              </w:rPr>
              <w:t>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760" w:type="dxa"/>
            <w:vAlign w:val="bottom"/>
            <w:tcBorders>
              <w:bottom w:val="single" w:sz="8" w:color="0000EE"/>
            </w:tcBorders>
            <w:gridSpan w:val="19"/>
          </w:tcPr>
          <w:p>
            <w:pPr>
              <w:spacing w:after="0" w:line="182" w:lineRule="exact"/>
              <w:rPr>
                <w:sz w:val="20"/>
                <w:szCs w:val="20"/>
                <w:color w:val="auto"/>
              </w:rPr>
            </w:pPr>
            <w:r>
              <w:rPr>
                <w:rFonts w:ascii="Arial" w:cs="Arial" w:eastAsia="Arial" w:hAnsi="Arial"/>
                <w:sz w:val="18"/>
                <w:szCs w:val="18"/>
                <w:color w:val="0000EE"/>
                <w:w w:val="99"/>
              </w:rPr>
              <w:t>Condensed Consolidated Balance Sheets – March 31, 2023 (Unaudited) and December 31, 2022</w:t>
            </w:r>
          </w:p>
        </w:tc>
        <w:tc>
          <w:tcPr>
            <w:tcW w:w="240" w:type="dxa"/>
            <w:vAlign w:val="bottom"/>
            <w:gridSpan w:val="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Operations (Unaudited) – Three months ended March 31,</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2023 and 2022</w:t>
            </w:r>
          </w:p>
        </w:tc>
        <w:tc>
          <w:tcPr>
            <w:tcW w:w="6600" w:type="dxa"/>
            <w:vAlign w:val="bottom"/>
            <w:tcBorders>
              <w:top w:val="single" w:sz="8" w:color="0000EE"/>
            </w:tcBorders>
            <w:gridSpan w:val="15"/>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Comprehensive Loss (Unaudited) – Three months ended</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76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March 31, 2023 and 2022</w:t>
            </w:r>
          </w:p>
        </w:tc>
        <w:tc>
          <w:tcPr>
            <w:tcW w:w="24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7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Condensed Consolidated Statements of Shareholders’ Equity (Unaudited) – Three months ended</w:t>
            </w:r>
          </w:p>
        </w:tc>
        <w:tc>
          <w:tcPr>
            <w:tcW w:w="2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0" w:type="dxa"/>
            <w:vAlign w:val="bottom"/>
            <w:gridSpan w:val="21"/>
          </w:tcPr>
          <w:p>
            <w:pPr>
              <w:spacing w:after="0" w:line="182" w:lineRule="exact"/>
              <w:rPr>
                <w:sz w:val="20"/>
                <w:szCs w:val="20"/>
                <w:color w:val="auto"/>
              </w:rPr>
            </w:pPr>
            <w:r>
              <w:rPr>
                <w:rFonts w:ascii="Arial" w:cs="Arial" w:eastAsia="Arial" w:hAnsi="Arial"/>
                <w:sz w:val="18"/>
                <w:szCs w:val="18"/>
                <w:color w:val="0000EE"/>
              </w:rPr>
              <w:t>March 31, 2023 and 2022</w:t>
            </w:r>
          </w:p>
        </w:tc>
        <w:tc>
          <w:tcPr>
            <w:tcW w:w="68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Condensed Consolidated Statements of Cash Flows (Unaudited) – Three months ended</w:t>
            </w:r>
          </w:p>
        </w:tc>
        <w:tc>
          <w:tcPr>
            <w:tcW w:w="98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0" w:type="dxa"/>
            <w:vAlign w:val="bottom"/>
            <w:gridSpan w:val="21"/>
          </w:tcPr>
          <w:p>
            <w:pPr>
              <w:spacing w:after="0" w:line="182" w:lineRule="exact"/>
              <w:rPr>
                <w:sz w:val="20"/>
                <w:szCs w:val="20"/>
                <w:color w:val="auto"/>
              </w:rPr>
            </w:pPr>
            <w:r>
              <w:rPr>
                <w:rFonts w:ascii="Arial" w:cs="Arial" w:eastAsia="Arial" w:hAnsi="Arial"/>
                <w:sz w:val="18"/>
                <w:szCs w:val="18"/>
                <w:color w:val="0000EE"/>
              </w:rPr>
              <w:t>March 31, 2023 and 2022</w:t>
            </w:r>
          </w:p>
        </w:tc>
        <w:tc>
          <w:tcPr>
            <w:tcW w:w="68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Notes to Condensed Consolidated Financial Statements (Unaudited)</w:t>
            </w:r>
          </w:p>
        </w:tc>
        <w:tc>
          <w:tcPr>
            <w:tcW w:w="254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7"/>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0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92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8000" w:type="dxa"/>
            <w:vAlign w:val="bottom"/>
            <w:gridSpan w:val="21"/>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470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Controls and Procedures</w:t>
            </w:r>
          </w:p>
        </w:tc>
        <w:tc>
          <w:tcPr>
            <w:tcW w:w="330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PART II.</w:t>
            </w:r>
          </w:p>
        </w:tc>
        <w:tc>
          <w:tcPr>
            <w:tcW w:w="540" w:type="dxa"/>
            <w:vAlign w:val="bottom"/>
          </w:tcPr>
          <w:p>
            <w:pPr>
              <w:spacing w:after="0"/>
              <w:rPr>
                <w:sz w:val="24"/>
                <w:szCs w:val="24"/>
                <w:color w:val="auto"/>
              </w:rPr>
            </w:pPr>
          </w:p>
        </w:tc>
        <w:tc>
          <w:tcPr>
            <w:tcW w:w="19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9"/>
              </w:rPr>
              <w:t>OTHER INFORMATION</w:t>
            </w:r>
          </w:p>
        </w:tc>
        <w:tc>
          <w:tcPr>
            <w:tcW w:w="602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8000" w:type="dxa"/>
            <w:vAlign w:val="bottom"/>
            <w:gridSpan w:val="21"/>
          </w:tcPr>
          <w:p>
            <w:pPr>
              <w:spacing w:after="0"/>
              <w:rPr>
                <w:sz w:val="20"/>
                <w:szCs w:val="20"/>
                <w:color w:val="auto"/>
              </w:rPr>
            </w:pPr>
            <w:r>
              <w:rPr>
                <w:rFonts w:ascii="Arial" w:cs="Arial" w:eastAsia="Arial" w:hAnsi="Arial"/>
                <w:sz w:val="18"/>
                <w:szCs w:val="18"/>
                <w:color w:val="0000EE"/>
              </w:rPr>
              <w:t>Legal Proceedings</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1A.</w:t>
            </w:r>
          </w:p>
        </w:tc>
        <w:tc>
          <w:tcPr>
            <w:tcW w:w="560" w:type="dxa"/>
            <w:vAlign w:val="bottom"/>
            <w:gridSpan w:val="2"/>
          </w:tcPr>
          <w:p>
            <w:pPr>
              <w:spacing w:after="0"/>
              <w:rPr>
                <w:sz w:val="24"/>
                <w:szCs w:val="24"/>
                <w:color w:val="auto"/>
              </w:rPr>
            </w:pPr>
          </w:p>
        </w:tc>
        <w:tc>
          <w:tcPr>
            <w:tcW w:w="10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Risk Factors</w:t>
            </w:r>
          </w:p>
        </w:tc>
        <w:tc>
          <w:tcPr>
            <w:tcW w:w="7000" w:type="dxa"/>
            <w:vAlign w:val="bottom"/>
            <w:gridSpan w:val="1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8000" w:type="dxa"/>
            <w:vAlign w:val="bottom"/>
            <w:gridSpan w:val="21"/>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8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Defaults Upon Senior Securities</w:t>
            </w:r>
          </w:p>
        </w:tc>
        <w:tc>
          <w:tcPr>
            <w:tcW w:w="316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25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Mine Safety Disclosures</w:t>
            </w:r>
          </w:p>
        </w:tc>
        <w:tc>
          <w:tcPr>
            <w:tcW w:w="546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14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3"/>
          </w:tcPr>
          <w:p>
            <w:pPr>
              <w:spacing w:after="0"/>
              <w:rPr>
                <w:sz w:val="24"/>
                <w:szCs w:val="24"/>
                <w:color w:val="auto"/>
              </w:rPr>
            </w:pPr>
          </w:p>
        </w:tc>
        <w:tc>
          <w:tcPr>
            <w:tcW w:w="608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6.</w:t>
            </w:r>
          </w:p>
        </w:tc>
        <w:tc>
          <w:tcPr>
            <w:tcW w:w="680" w:type="dxa"/>
            <w:vAlign w:val="bottom"/>
            <w:gridSpan w:val="4"/>
          </w:tcPr>
          <w:p>
            <w:pPr>
              <w:spacing w:after="0"/>
              <w:rPr>
                <w:sz w:val="24"/>
                <w:szCs w:val="24"/>
                <w:color w:val="auto"/>
              </w:rPr>
            </w:pPr>
          </w:p>
        </w:tc>
        <w:tc>
          <w:tcPr>
            <w:tcW w:w="8000" w:type="dxa"/>
            <w:vAlign w:val="bottom"/>
            <w:gridSpan w:val="21"/>
          </w:tcPr>
          <w:p>
            <w:pPr>
              <w:spacing w:after="0"/>
              <w:rPr>
                <w:sz w:val="20"/>
                <w:szCs w:val="20"/>
                <w:color w:val="auto"/>
              </w:rPr>
            </w:pPr>
            <w:r>
              <w:rPr>
                <w:rFonts w:ascii="Arial" w:cs="Arial" w:eastAsia="Arial" w:hAnsi="Arial"/>
                <w:sz w:val="18"/>
                <w:szCs w:val="18"/>
                <w:color w:val="0000EE"/>
              </w:rPr>
              <w:t>Exhibits</w:t>
            </w: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40" w:type="dxa"/>
            <w:vAlign w:val="bottom"/>
            <w:gridSpan w:val="1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Signatures</w:t>
            </w:r>
          </w:p>
        </w:tc>
        <w:tc>
          <w:tcPr>
            <w:tcW w:w="7140" w:type="dxa"/>
            <w:vAlign w:val="bottom"/>
            <w:gridSpan w:val="1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b w:val="1"/>
          <w:bCs w:val="1"/>
          <w:color w:val="auto"/>
        </w:rPr>
        <w:t>HELIX ENERGY SOLUTIONS GROUP, INC. AND SUBSIDIARIES CONDENSED CONSOLIDATED BALANCE SHEETS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7"/>
                <w:szCs w:val="17"/>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196"/>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2960"/>
              <w:spacing w:after="0" w:line="202"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166,674</w:t>
            </w:r>
          </w:p>
        </w:tc>
        <w:tc>
          <w:tcPr>
            <w:tcW w:w="2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1"/>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186,604</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2,508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2,507</w:t>
            </w:r>
          </w:p>
        </w:tc>
      </w:tr>
      <w:tr>
        <w:trPr>
          <w:trHeight w:val="202"/>
        </w:trPr>
        <w:tc>
          <w:tcPr>
            <w:tcW w:w="6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Accounts receivable, net of allowance for credit losses of $2,418 and $2,277,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216,946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212,779</w:t>
            </w:r>
          </w:p>
        </w:tc>
      </w:tr>
      <w:tr>
        <w:trPr>
          <w:trHeight w:val="203"/>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63,228</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58,699</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449,356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460,589</w:t>
            </w: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3,036,579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3,016,312</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(1,410,428)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(1,374,697)</w:t>
            </w:r>
          </w:p>
        </w:tc>
      </w:tr>
      <w:tr>
        <w:trPr>
          <w:trHeight w:val="196"/>
        </w:trPr>
        <w:tc>
          <w:tcPr>
            <w:tcW w:w="6700" w:type="dxa"/>
            <w:vAlign w:val="bottom"/>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1,626,151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1,641,615</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191,051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197,849</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Deferred recertification and dry dock costs, net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53,697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38,778</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 net</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49,079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50,507</w:t>
            </w:r>
          </w:p>
        </w:tc>
      </w:tr>
      <w:tr>
        <w:trPr>
          <w:trHeight w:val="236"/>
        </w:trPr>
        <w:tc>
          <w:tcPr>
            <w:tcW w:w="6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2,369,334</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2,389,338</w:t>
            </w:r>
          </w:p>
        </w:tc>
      </w:tr>
      <w:tr>
        <w:trPr>
          <w:trHeight w:val="183"/>
        </w:trPr>
        <w:tc>
          <w:tcPr>
            <w:tcW w:w="6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6700" w:type="dxa"/>
            <w:vAlign w:val="bottom"/>
          </w:tcPr>
          <w:p>
            <w:pPr>
              <w:ind w:left="1420"/>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134,363</w:t>
            </w:r>
          </w:p>
        </w:tc>
        <w:tc>
          <w:tcPr>
            <w:tcW w:w="260" w:type="dxa"/>
            <w:vAlign w:val="bottom"/>
          </w:tcPr>
          <w:p>
            <w:pPr>
              <w:spacing w:after="0"/>
              <w:rPr>
                <w:sz w:val="17"/>
                <w:szCs w:val="17"/>
                <w:color w:val="auto"/>
              </w:rPr>
            </w:pPr>
          </w:p>
        </w:tc>
        <w:tc>
          <w:tcPr>
            <w:tcW w:w="2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135,267</w:t>
            </w:r>
          </w:p>
        </w:tc>
      </w:tr>
      <w:tr>
        <w:trPr>
          <w:trHeight w:val="202"/>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60,811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73,574</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38,452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38,200</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operating lease liabilities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54,407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50,914</w:t>
            </w:r>
          </w:p>
        </w:tc>
      </w:tr>
      <w:tr>
        <w:trPr>
          <w:trHeight w:val="196"/>
        </w:trPr>
        <w:tc>
          <w:tcPr>
            <w:tcW w:w="6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288,033</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297,955</w:t>
            </w: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222,008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225,875</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145,186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154,686</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97,577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98,883</w:t>
            </w:r>
          </w:p>
        </w:tc>
      </w:tr>
      <w:tr>
        <w:trPr>
          <w:trHeight w:val="203"/>
        </w:trPr>
        <w:tc>
          <w:tcPr>
            <w:tcW w:w="6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100,810</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95,230</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853,614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872,629</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2"/>
        </w:trPr>
        <w:tc>
          <w:tcPr>
            <w:tcW w:w="6700" w:type="dxa"/>
            <w:vAlign w:val="bottom"/>
          </w:tcPr>
          <w:p>
            <w:pPr>
              <w:ind w:left="120"/>
              <w:spacing w:after="0" w:line="201" w:lineRule="exact"/>
              <w:rPr>
                <w:sz w:val="20"/>
                <w:szCs w:val="20"/>
                <w:color w:val="auto"/>
              </w:rPr>
            </w:pPr>
            <w:r>
              <w:rPr>
                <w:rFonts w:ascii="Arial" w:cs="Arial" w:eastAsia="Arial" w:hAnsi="Arial"/>
                <w:sz w:val="18"/>
                <w:szCs w:val="18"/>
                <w:color w:val="auto"/>
              </w:rPr>
              <w:t>Common stock, no par, 240,000 shares authorized, 151,494 and 151,935 shares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tcPr>
          <w:p>
            <w:pPr>
              <w:ind w:left="120"/>
              <w:spacing w:after="0" w:line="203" w:lineRule="exact"/>
              <w:rPr>
                <w:sz w:val="20"/>
                <w:szCs w:val="20"/>
                <w:color w:val="auto"/>
              </w:rPr>
            </w:pPr>
            <w:r>
              <w:rPr>
                <w:rFonts w:ascii="Arial" w:cs="Arial" w:eastAsia="Arial" w:hAnsi="Arial"/>
                <w:sz w:val="18"/>
                <w:szCs w:val="18"/>
                <w:color w:val="auto"/>
              </w:rPr>
              <w:t>issued, respectively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1,294,484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1,298,740</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318,123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323,288</w:t>
            </w:r>
          </w:p>
        </w:tc>
      </w:tr>
      <w:tr>
        <w:trPr>
          <w:trHeight w:val="203"/>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(96,887)</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(105,319)</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1,515,720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1,516,709</w:t>
            </w:r>
          </w:p>
        </w:tc>
      </w:tr>
      <w:tr>
        <w:trPr>
          <w:trHeight w:val="196"/>
        </w:trPr>
        <w:tc>
          <w:tcPr>
            <w:tcW w:w="670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2,369,334</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2,389,338</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78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4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940" w:type="dxa"/>
            <w:vAlign w:val="bottom"/>
            <w:gridSpan w:val="4"/>
          </w:tcPr>
          <w:p>
            <w:pPr>
              <w:jc w:val="center"/>
              <w:ind w:left="330"/>
              <w:spacing w:after="0" w:line="202" w:lineRule="exact"/>
              <w:rPr>
                <w:sz w:val="20"/>
                <w:szCs w:val="20"/>
                <w:color w:val="auto"/>
              </w:rPr>
            </w:pPr>
            <w:r>
              <w:rPr>
                <w:rFonts w:ascii="Arial" w:cs="Arial" w:eastAsia="Arial" w:hAnsi="Arial"/>
                <w:sz w:val="18"/>
                <w:szCs w:val="18"/>
                <w:b w:val="1"/>
                <w:bCs w:val="1"/>
                <w:color w:val="auto"/>
                <w:w w:val="99"/>
              </w:rPr>
              <w:t>CONDENSED CONSOLIDATED STATEMENTS OF OPERATIONS</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500" w:type="dxa"/>
            <w:vAlign w:val="bottom"/>
          </w:tcPr>
          <w:p>
            <w:pPr>
              <w:jc w:val="center"/>
              <w:ind w:left="179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5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55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250,084</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234,900</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168,734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 (loss)</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15,184</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Gain on disposition of assets, net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Acquisition and integration costs</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(3,992)</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(19,631)</w:t>
            </w: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(14,368)</w:t>
            </w:r>
          </w:p>
        </w:tc>
        <w:tc>
          <w:tcPr>
            <w:tcW w:w="0" w:type="dxa"/>
            <w:vAlign w:val="bottom"/>
          </w:tcPr>
          <w:p>
            <w:pPr>
              <w:spacing w:after="0"/>
              <w:rPr>
                <w:sz w:val="1"/>
                <w:szCs w:val="1"/>
                <w:color w:val="auto"/>
              </w:rPr>
            </w:pPr>
          </w:p>
        </w:tc>
      </w:tr>
      <w:tr>
        <w:trPr>
          <w:trHeight w:val="196"/>
        </w:trPr>
        <w:tc>
          <w:tcPr>
            <w:tcW w:w="6780" w:type="dxa"/>
            <w:vAlign w:val="bottom"/>
            <w:gridSpan w:val="3"/>
          </w:tcPr>
          <w:p>
            <w:pPr>
              <w:spacing w:after="0" w:line="196" w:lineRule="exact"/>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(8,303)</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(32,977)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Net interest expense</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(4,187)</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3,444</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Royalty income and other</w:t>
            </w: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1,863</w:t>
            </w: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196"/>
        </w:trPr>
        <w:tc>
          <w:tcPr>
            <w:tcW w:w="6780" w:type="dxa"/>
            <w:vAlign w:val="bottom"/>
            <w:gridSpan w:val="3"/>
          </w:tcPr>
          <w:p>
            <w:pPr>
              <w:spacing w:after="0" w:line="196" w:lineRule="exact"/>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(7,183)</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(39,891)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Income tax provision (benefit)</w:t>
            </w: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(2,018)</w:t>
            </w: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36"/>
        </w:trPr>
        <w:tc>
          <w:tcPr>
            <w:tcW w:w="6780" w:type="dxa"/>
            <w:vAlign w:val="bottom"/>
            <w:gridSpan w:val="3"/>
          </w:tcPr>
          <w:p>
            <w:pPr>
              <w:spacing w:after="0" w:line="196" w:lineRule="exact"/>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(5,165)</w:t>
            </w:r>
          </w:p>
        </w:tc>
        <w:tc>
          <w:tcPr>
            <w:tcW w:w="26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(42,031)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55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Loss per share of common stock:</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66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CEEFF"/>
            </w:tcBorders>
            <w:gridSpan w:val="2"/>
          </w:tcPr>
          <w:p>
            <w:pPr>
              <w:ind w:left="100"/>
              <w:spacing w:after="0" w:line="183" w:lineRule="exact"/>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(0.03)</w:t>
            </w: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tcBorders>
              <w:bottom w:val="single" w:sz="8" w:color="CCEEFF"/>
            </w:tcBorders>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Basic</w:t>
            </w: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151,764</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gridSpan w:val="2"/>
          </w:tcPr>
          <w:p>
            <w:pPr>
              <w:ind w:left="100"/>
              <w:spacing w:after="0" w:line="183" w:lineRule="exact"/>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151,764</w:t>
            </w: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151,142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24"/>
        </w:trPr>
        <w:tc>
          <w:tcPr>
            <w:tcW w:w="1280" w:type="dxa"/>
            <w:vAlign w:val="bottom"/>
            <w:tcBorders>
              <w:top w:val="single" w:sz="8" w:color="0000EE"/>
            </w:tcBorders>
          </w:tcPr>
          <w:p>
            <w:pPr>
              <w:spacing w:after="0"/>
              <w:rPr>
                <w:sz w:val="24"/>
                <w:szCs w:val="24"/>
                <w:color w:val="auto"/>
              </w:rPr>
            </w:pPr>
          </w:p>
        </w:tc>
        <w:tc>
          <w:tcPr>
            <w:tcW w:w="696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960" w:type="dxa"/>
            <w:vAlign w:val="bottom"/>
            <w:gridSpan w:val="4"/>
          </w:tcPr>
          <w:p>
            <w:pPr>
              <w:jc w:val="center"/>
              <w:ind w:left="330"/>
              <w:spacing w:after="0" w:line="202" w:lineRule="exact"/>
              <w:rPr>
                <w:sz w:val="20"/>
                <w:szCs w:val="20"/>
                <w:color w:val="auto"/>
              </w:rPr>
            </w:pPr>
            <w:r>
              <w:rPr>
                <w:rFonts w:ascii="Arial" w:cs="Arial" w:eastAsia="Arial" w:hAnsi="Arial"/>
                <w:sz w:val="18"/>
                <w:szCs w:val="18"/>
                <w:b w:val="1"/>
                <w:bCs w:val="1"/>
                <w:color w:val="auto"/>
                <w:w w:val="99"/>
              </w:rPr>
              <w:t>CONDENSED CONSOLIDATED STATEMENTS OF COMPREHENSIVE LOSS</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80" w:type="dxa"/>
            <w:vAlign w:val="bottom"/>
            <w:gridSpan w:val="2"/>
          </w:tcPr>
          <w:p>
            <w:pPr>
              <w:jc w:val="center"/>
              <w:ind w:right="1130"/>
              <w:spacing w:after="0" w:line="202" w:lineRule="exact"/>
              <w:rPr>
                <w:sz w:val="20"/>
                <w:szCs w:val="20"/>
                <w:color w:val="auto"/>
              </w:rPr>
            </w:pPr>
            <w:r>
              <w:rPr>
                <w:rFonts w:ascii="Arial" w:cs="Arial" w:eastAsia="Arial" w:hAnsi="Arial"/>
                <w:sz w:val="18"/>
                <w:szCs w:val="18"/>
                <w:b w:val="1"/>
                <w:bCs w:val="1"/>
                <w:color w:val="auto"/>
                <w:w w:val="99"/>
              </w:rPr>
              <w:t>(UNAUDITED)</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80" w:type="dxa"/>
            <w:vAlign w:val="bottom"/>
            <w:gridSpan w:val="2"/>
          </w:tcPr>
          <w:p>
            <w:pPr>
              <w:jc w:val="center"/>
              <w:ind w:right="1150"/>
              <w:spacing w:after="0"/>
              <w:rPr>
                <w:sz w:val="20"/>
                <w:szCs w:val="20"/>
                <w:color w:val="auto"/>
              </w:rPr>
            </w:pPr>
            <w:r>
              <w:rPr>
                <w:rFonts w:ascii="Arial" w:cs="Arial" w:eastAsia="Arial" w:hAnsi="Arial"/>
                <w:sz w:val="18"/>
                <w:szCs w:val="18"/>
                <w:b w:val="1"/>
                <w:bCs w:val="1"/>
                <w:color w:val="auto"/>
                <w:w w:val="99"/>
              </w:rPr>
              <w:t>(in thousands)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82"/>
        </w:trPr>
        <w:tc>
          <w:tcPr>
            <w:tcW w:w="1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1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128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2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4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27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(5,165)</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(42,031)</w:t>
            </w: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0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 currency translation gain (loss)</w:t>
            </w:r>
          </w:p>
        </w:tc>
        <w:tc>
          <w:tcPr>
            <w:tcW w:w="27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8,432</w:t>
            </w:r>
          </w:p>
        </w:tc>
        <w:tc>
          <w:tcPr>
            <w:tcW w:w="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(13,148)</w:t>
            </w:r>
          </w:p>
        </w:tc>
      </w:tr>
      <w:tr>
        <w:trPr>
          <w:trHeight w:val="196"/>
        </w:trPr>
        <w:tc>
          <w:tcPr>
            <w:tcW w:w="404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2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8,432</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(13,148)</w:t>
            </w:r>
          </w:p>
        </w:tc>
      </w:tr>
      <w:tr>
        <w:trPr>
          <w:trHeight w:val="196"/>
        </w:trPr>
        <w:tc>
          <w:tcPr>
            <w:tcW w:w="404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Comprehensive loss</w:t>
            </w:r>
          </w:p>
        </w:tc>
        <w:tc>
          <w:tcPr>
            <w:tcW w:w="27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3,267</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(55,179)</w:t>
            </w:r>
          </w:p>
        </w:tc>
      </w:tr>
      <w:tr>
        <w:trPr>
          <w:trHeight w:val="20"/>
        </w:trPr>
        <w:tc>
          <w:tcPr>
            <w:tcW w:w="1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524"/>
        </w:trPr>
        <w:tc>
          <w:tcPr>
            <w:tcW w:w="1280" w:type="dxa"/>
            <w:vAlign w:val="bottom"/>
            <w:tcBorders>
              <w:top w:val="single" w:sz="8" w:color="0000EE"/>
            </w:tcBorders>
          </w:tcPr>
          <w:p>
            <w:pPr>
              <w:spacing w:after="0"/>
              <w:rPr>
                <w:sz w:val="24"/>
                <w:szCs w:val="24"/>
                <w:color w:val="auto"/>
              </w:rPr>
            </w:pPr>
          </w:p>
        </w:tc>
        <w:tc>
          <w:tcPr>
            <w:tcW w:w="7200" w:type="dxa"/>
            <w:vAlign w:val="bottom"/>
            <w:gridSpan w:val="9"/>
          </w:tcPr>
          <w:p>
            <w:pPr>
              <w:jc w:val="center"/>
              <w:ind w:left="7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7200" w:type="dxa"/>
            <w:vAlign w:val="bottom"/>
            <w:gridSpan w:val="9"/>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 EQUITY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40" w:type="dxa"/>
            <w:vAlign w:val="bottom"/>
            <w:gridSpan w:val="3"/>
          </w:tcPr>
          <w:p>
            <w:pPr>
              <w:jc w:val="center"/>
              <w:ind w:left="25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4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9"/>
              </w:rPr>
              <w:t>(in thousands)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82"/>
        </w:trPr>
        <w:tc>
          <w:tcPr>
            <w:tcW w:w="1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7"/>
              </w:rPr>
              <w:t>Total</w:t>
            </w:r>
          </w:p>
        </w:tc>
      </w:tr>
      <w:tr>
        <w:trPr>
          <w:trHeight w:val="225"/>
        </w:trPr>
        <w:tc>
          <w:tcPr>
            <w:tcW w:w="1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9"/>
              </w:rPr>
              <w:t>Shareholders’</w:t>
            </w:r>
          </w:p>
        </w:tc>
      </w:tr>
      <w:tr>
        <w:trPr>
          <w:trHeight w:val="196"/>
        </w:trPr>
        <w:tc>
          <w:tcPr>
            <w:tcW w:w="128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r>
      <w:tr>
        <w:trPr>
          <w:trHeight w:val="196"/>
        </w:trPr>
        <w:tc>
          <w:tcPr>
            <w:tcW w:w="3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December 31, 2022</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151,935</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$ 1,298,740</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$ 323,288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(105,319)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1,516,709</w:t>
            </w:r>
          </w:p>
        </w:tc>
      </w:tr>
      <w:tr>
        <w:trPr>
          <w:trHeight w:val="203"/>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(5,165)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(5,165)</w:t>
            </w:r>
          </w:p>
        </w:tc>
      </w:tr>
      <w:tr>
        <w:trPr>
          <w:trHeight w:val="203"/>
        </w:trPr>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8,432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8,432</w:t>
            </w:r>
          </w:p>
        </w:tc>
      </w:tr>
      <w:tr>
        <w:trPr>
          <w:trHeight w:val="203"/>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Repurchases of common stock</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(660)</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(5,006)</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(5,006)</w:t>
            </w:r>
          </w:p>
        </w:tc>
      </w:tr>
      <w:tr>
        <w:trPr>
          <w:trHeight w:val="202"/>
        </w:trPr>
        <w:tc>
          <w:tcPr>
            <w:tcW w:w="3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3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219</w:t>
            </w:r>
          </w:p>
        </w:tc>
        <w:tc>
          <w:tcPr>
            <w:tcW w:w="12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(742)</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(742)</w:t>
            </w:r>
          </w:p>
        </w:tc>
      </w:tr>
      <w:tr>
        <w:trPr>
          <w:trHeight w:val="203"/>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1,492</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1,492</w:t>
            </w:r>
          </w:p>
        </w:tc>
      </w:tr>
      <w:tr>
        <w:trPr>
          <w:trHeight w:val="196"/>
        </w:trPr>
        <w:tc>
          <w:tcPr>
            <w:tcW w:w="37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March 31, 2023</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151,494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$ 1,294,484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$ 318,123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(96,887)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1,515,720</w:t>
            </w:r>
          </w:p>
        </w:tc>
      </w:tr>
      <w:tr>
        <w:trPr>
          <w:trHeight w:val="20"/>
        </w:trPr>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76"/>
        </w:trPr>
        <w:tc>
          <w:tcPr>
            <w:tcW w:w="1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7"/>
              </w:rPr>
              <w:t>Total</w:t>
            </w:r>
          </w:p>
        </w:tc>
      </w:tr>
      <w:tr>
        <w:trPr>
          <w:trHeight w:val="225"/>
        </w:trPr>
        <w:tc>
          <w:tcPr>
            <w:tcW w:w="1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9"/>
              </w:rPr>
              <w:t>Shareholders’</w:t>
            </w:r>
          </w:p>
        </w:tc>
      </w:tr>
      <w:tr>
        <w:trPr>
          <w:trHeight w:val="196"/>
        </w:trPr>
        <w:tc>
          <w:tcPr>
            <w:tcW w:w="128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r>
      <w:tr>
        <w:trPr>
          <w:trHeight w:val="196"/>
        </w:trPr>
        <w:tc>
          <w:tcPr>
            <w:tcW w:w="3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December 31, 2021</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151,124</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$ 1,292,479</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$ 411,072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(56,082)</w:t>
            </w:r>
          </w:p>
        </w:tc>
        <w:tc>
          <w:tcPr>
            <w:tcW w:w="22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1,647,469</w:t>
            </w:r>
          </w:p>
        </w:tc>
      </w:tr>
      <w:tr>
        <w:trPr>
          <w:trHeight w:val="203"/>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(42,031)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(42,031)</w:t>
            </w:r>
          </w:p>
        </w:tc>
      </w:tr>
      <w:tr>
        <w:trPr>
          <w:trHeight w:val="203"/>
        </w:trPr>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(13,148)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(13,148)</w:t>
            </w:r>
          </w:p>
        </w:tc>
      </w:tr>
      <w:tr>
        <w:trPr>
          <w:trHeight w:val="202"/>
        </w:trPr>
        <w:tc>
          <w:tcPr>
            <w:tcW w:w="3780" w:type="dxa"/>
            <w:vAlign w:val="bottom"/>
            <w:gridSpan w:val="2"/>
          </w:tcPr>
          <w:p>
            <w:pPr>
              <w:spacing w:after="0" w:line="201"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780" w:type="dxa"/>
            <w:vAlign w:val="bottom"/>
            <w:gridSpan w:val="2"/>
          </w:tcPr>
          <w:p>
            <w:pPr>
              <w:spacing w:after="0" w:line="203" w:lineRule="exact"/>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513</w:t>
            </w:r>
          </w:p>
        </w:tc>
        <w:tc>
          <w:tcPr>
            <w:tcW w:w="1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(1,178)</w:t>
            </w:r>
          </w:p>
        </w:tc>
        <w:tc>
          <w:tcPr>
            <w:tcW w:w="2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(1,178)</w:t>
            </w:r>
          </w:p>
        </w:tc>
      </w:tr>
      <w:tr>
        <w:trPr>
          <w:trHeight w:val="203"/>
        </w:trPr>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1,634</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1,634</w:t>
            </w:r>
          </w:p>
        </w:tc>
      </w:tr>
      <w:tr>
        <w:trPr>
          <w:trHeight w:val="196"/>
        </w:trPr>
        <w:tc>
          <w:tcPr>
            <w:tcW w:w="3780" w:type="dxa"/>
            <w:vAlign w:val="bottom"/>
            <w:gridSpan w:val="2"/>
          </w:tcPr>
          <w:p>
            <w:pPr>
              <w:spacing w:after="0" w:line="196" w:lineRule="exact"/>
              <w:rPr>
                <w:sz w:val="20"/>
                <w:szCs w:val="20"/>
                <w:color w:val="auto"/>
              </w:rPr>
            </w:pPr>
            <w:r>
              <w:rPr>
                <w:rFonts w:ascii="Arial" w:cs="Arial" w:eastAsia="Arial" w:hAnsi="Arial"/>
                <w:sz w:val="18"/>
                <w:szCs w:val="18"/>
                <w:color w:val="auto"/>
              </w:rPr>
              <w:t>Balance, March 31, 2022</w:t>
            </w: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151,637</w:t>
            </w:r>
          </w:p>
        </w:tc>
        <w:tc>
          <w:tcPr>
            <w:tcW w:w="200" w:type="dxa"/>
            <w:vAlign w:val="bottom"/>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$ 1,292,935</w:t>
            </w:r>
          </w:p>
        </w:tc>
        <w:tc>
          <w:tcPr>
            <w:tcW w:w="200" w:type="dxa"/>
            <w:vAlign w:val="bottom"/>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$ 369,041</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(69,230)</w:t>
            </w:r>
          </w:p>
        </w:tc>
        <w:tc>
          <w:tcPr>
            <w:tcW w:w="220" w:type="dxa"/>
            <w:vAlign w:val="bottom"/>
            <w:gridSpan w:val="2"/>
          </w:tcPr>
          <w:p>
            <w:pPr>
              <w:spacing w:after="0"/>
              <w:rPr>
                <w:sz w:val="17"/>
                <w:szCs w:val="17"/>
                <w:color w:val="auto"/>
              </w:rPr>
            </w:pPr>
          </w:p>
        </w:tc>
        <w:tc>
          <w:tcPr>
            <w:tcW w:w="2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1,592,746</w:t>
            </w:r>
          </w:p>
        </w:tc>
      </w:tr>
      <w:tr>
        <w:trPr>
          <w:trHeight w:val="20"/>
        </w:trPr>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tcPr>
          <w:p>
            <w:pPr>
              <w:jc w:val="right"/>
              <w:ind w:right="635"/>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7"/>
                <w:szCs w:val="17"/>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5"/>
              <w:spacing w:after="0" w:line="183" w:lineRule="exact"/>
              <w:rPr>
                <w:sz w:val="20"/>
                <w:szCs w:val="20"/>
                <w:color w:val="auto"/>
              </w:rPr>
            </w:pPr>
            <w:r>
              <w:rPr>
                <w:rFonts w:ascii="Arial" w:cs="Arial" w:eastAsia="Arial" w:hAnsi="Arial"/>
                <w:sz w:val="17"/>
                <w:szCs w:val="17"/>
                <w:b w:val="1"/>
                <w:bCs w:val="1"/>
                <w:color w:val="auto"/>
              </w:rPr>
              <w:t>2023</w:t>
            </w:r>
          </w:p>
        </w:tc>
        <w:tc>
          <w:tcPr>
            <w:tcW w:w="2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line="183"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flows from operating activities:</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Net loss</w:t>
            </w:r>
          </w:p>
        </w:tc>
        <w:tc>
          <w:tcPr>
            <w:tcW w:w="58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(5,165)</w:t>
            </w:r>
          </w:p>
        </w:tc>
        <w:tc>
          <w:tcPr>
            <w:tcW w:w="640" w:type="dxa"/>
            <w:vAlign w:val="bottom"/>
            <w:gridSpan w:val="2"/>
          </w:tcPr>
          <w:p>
            <w:pPr>
              <w:jc w:val="right"/>
              <w:ind w:right="225"/>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(42,031)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Adjustments to reconcile net loss to net cash provided by operating activities: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37,537</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33,488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Amortization of debt issuance costs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596</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Share-based compensation</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1,575</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1,672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Deferred income taxes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(1,306)</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Gain on disposition of assets, net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(367)</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Unrealized foreign currency (gain) loss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(3,333)</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Change in fair value of contingent consideration</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3,992</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320"/>
              <w:spacing w:after="0" w:line="189" w:lineRule="exact"/>
              <w:rPr>
                <w:sz w:val="20"/>
                <w:szCs w:val="20"/>
                <w:color w:val="auto"/>
              </w:rPr>
            </w:pPr>
            <w:r>
              <w:rPr>
                <w:rFonts w:ascii="Arial" w:cs="Arial" w:eastAsia="Arial" w:hAnsi="Arial"/>
                <w:sz w:val="17"/>
                <w:szCs w:val="17"/>
                <w:color w:val="auto"/>
              </w:rPr>
              <w:t>Accounts receivable, net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(2,484)</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906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Income tax receivable, net of income tax payable</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(2,419)</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320"/>
              <w:spacing w:after="0" w:line="189" w:lineRule="exact"/>
              <w:rPr>
                <w:sz w:val="20"/>
                <w:szCs w:val="20"/>
                <w:color w:val="auto"/>
              </w:rPr>
            </w:pPr>
            <w:r>
              <w:rPr>
                <w:rFonts w:ascii="Arial" w:cs="Arial" w:eastAsia="Arial" w:hAnsi="Arial"/>
                <w:sz w:val="17"/>
                <w:szCs w:val="17"/>
                <w:color w:val="auto"/>
              </w:rPr>
              <w:t>Other current assets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(1,961)</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(534)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Accounts payable and accrued liabilities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(18,036)</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(9,411)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320"/>
              <w:spacing w:after="0" w:line="189" w:lineRule="exact"/>
              <w:rPr>
                <w:sz w:val="20"/>
                <w:szCs w:val="20"/>
                <w:color w:val="auto"/>
              </w:rPr>
            </w:pPr>
            <w:r>
              <w:rPr>
                <w:rFonts w:ascii="Arial" w:cs="Arial" w:eastAsia="Arial" w:hAnsi="Arial"/>
                <w:sz w:val="17"/>
                <w:szCs w:val="17"/>
                <w:color w:val="auto"/>
              </w:rPr>
              <w:t>Deferred recertification and dry dock costs, net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(17,154)</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(5,508)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Other, net</w:t>
            </w:r>
          </w:p>
        </w:tc>
        <w:tc>
          <w:tcPr>
            <w:tcW w:w="2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3,133</w:t>
            </w:r>
          </w:p>
        </w:tc>
        <w:tc>
          <w:tcPr>
            <w:tcW w:w="26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tcPr>
          <w:p>
            <w:pPr>
              <w:ind w:left="420"/>
              <w:spacing w:after="0" w:line="183" w:lineRule="exact"/>
              <w:rPr>
                <w:sz w:val="20"/>
                <w:szCs w:val="20"/>
                <w:color w:val="auto"/>
              </w:rPr>
            </w:pPr>
            <w:r>
              <w:rPr>
                <w:rFonts w:ascii="Arial" w:cs="Arial" w:eastAsia="Arial" w:hAnsi="Arial"/>
                <w:sz w:val="17"/>
                <w:szCs w:val="17"/>
                <w:color w:val="auto"/>
              </w:rPr>
              <w:t>Net cash used in operating activities</w:t>
            </w: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(5,392)</w:t>
            </w:r>
          </w:p>
        </w:tc>
        <w:tc>
          <w:tcPr>
            <w:tcW w:w="2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(17,413)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00" w:type="dxa"/>
            <w:vAlign w:val="bottom"/>
          </w:tcPr>
          <w:p>
            <w:pPr>
              <w:spacing w:after="0" w:line="189" w:lineRule="exact"/>
              <w:rPr>
                <w:sz w:val="20"/>
                <w:szCs w:val="20"/>
                <w:color w:val="auto"/>
              </w:rPr>
            </w:pPr>
            <w:r>
              <w:rPr>
                <w:rFonts w:ascii="Arial" w:cs="Arial" w:eastAsia="Arial" w:hAnsi="Arial"/>
                <w:sz w:val="17"/>
                <w:szCs w:val="17"/>
                <w:color w:val="auto"/>
              </w:rPr>
              <w:t>Cash flows from investing activities: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Capital expenditures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(6,665)</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7"/>
                <w:szCs w:val="17"/>
                <w:color w:val="auto"/>
              </w:rPr>
              <w:t>Proceeds from sale of assets</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365</w:t>
            </w:r>
          </w:p>
        </w:tc>
        <w:tc>
          <w:tcPr>
            <w:tcW w:w="2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used in investing activities</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(6,300)</w:t>
            </w:r>
          </w:p>
        </w:tc>
        <w:tc>
          <w:tcPr>
            <w:tcW w:w="2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(623)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flows from financing activities: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Repayment of MARAD Debt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(4,116)</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(3,920)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Debt issuance costs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Repurchases of common stock</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(4,983)</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Payments related to tax withholding for share-based compensation</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(564)</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7"/>
                <w:szCs w:val="17"/>
                <w:color w:val="auto"/>
              </w:rPr>
              <w:t>Proceeds from issuance of ESPP shares</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239</w:t>
            </w:r>
          </w:p>
        </w:tc>
        <w:tc>
          <w:tcPr>
            <w:tcW w:w="2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used in financing activities</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(9,424)</w:t>
            </w:r>
          </w:p>
        </w:tc>
        <w:tc>
          <w:tcPr>
            <w:tcW w:w="2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(5,408)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 of exchange rate changes on cash and cash equivalents and restricted cash</w:t>
            </w:r>
          </w:p>
        </w:tc>
        <w:tc>
          <w:tcPr>
            <w:tcW w:w="2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1,187</w:t>
            </w:r>
          </w:p>
        </w:tc>
        <w:tc>
          <w:tcPr>
            <w:tcW w:w="26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(1,005)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tcPr>
          <w:p>
            <w:pPr>
              <w:spacing w:after="0" w:line="183" w:lineRule="exact"/>
              <w:rPr>
                <w:sz w:val="20"/>
                <w:szCs w:val="20"/>
                <w:color w:val="auto"/>
              </w:rPr>
            </w:pPr>
            <w:r>
              <w:rPr>
                <w:rFonts w:ascii="Arial" w:cs="Arial" w:eastAsia="Arial" w:hAnsi="Arial"/>
                <w:sz w:val="17"/>
                <w:szCs w:val="17"/>
                <w:color w:val="auto"/>
              </w:rPr>
              <w:t>Net decrease in cash and cash equivalents and restricted cash</w:t>
            </w: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(19,929)</w:t>
            </w:r>
          </w:p>
        </w:tc>
        <w:tc>
          <w:tcPr>
            <w:tcW w:w="2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(24,449)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and cash equivalents and restricted cash:</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7"/>
                <w:szCs w:val="17"/>
                <w:color w:val="auto"/>
              </w:rPr>
              <w:t>Balance, beginning of year</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189,111</w:t>
            </w:r>
          </w:p>
        </w:tc>
        <w:tc>
          <w:tcPr>
            <w:tcW w:w="2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327,127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Balance, end of period</w:t>
            </w:r>
          </w:p>
        </w:tc>
        <w:tc>
          <w:tcPr>
            <w:tcW w:w="2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169,182</w:t>
            </w:r>
          </w:p>
        </w:tc>
        <w:tc>
          <w:tcPr>
            <w:tcW w:w="2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302,678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New Accounting Standards</w:t>
      </w:r>
    </w:p>
    <w:p>
      <w:pPr>
        <w:spacing w:after="0" w:line="23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accompanying condensed consolidated financial statements include the accounts of Helix Energy Solutions Group, Inc. and its subsidiaries (collectively, “Helix”). Unless the context indicates otherwise, the terms “we,” “us” and “our” in this report refer collectively to Helix and its subsidiaries. All material intercompany accounts and transactions have been eliminated. These unaudited condensed consolidated financial statements in U.S. dollars have been prepared in accordance with instructions for the Quarterly Report on Form 10-Q required to be filed with the Securities and Exchange Commission (the “SEC”) and do not include all information and footnotes normally included in annual financial statements prepared in accordance with U.S. generally accepted accounting principles (“GAAP”).</w:t>
      </w:r>
    </w:p>
    <w:p>
      <w:pPr>
        <w:spacing w:after="0" w:line="203"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preparation of these financial statements requires us to make estimates and judgments that affect the amounts reported in the financial statements and the related disclosures. Actual results may differ from our estimates. We have made all adjustments, which, unless otherwise disclosed, are of normal recurring nature, that we believe are necessary for a fair presentation of the condensed consolidated balance sheets, statements of operations, statements of comprehensive loss, statements of shareholders’ equity and statements of cash flows, as applicable. The operating results for the three-month period ended March 31, 2023 are not necessarily indicative of the results that may be expected for the year ending December 31, 2023. Our balance sheet as of December 31, 2022 included herein has been derived from the audited balance sheet as of December 31, 2022 included in our 2022 Annual Report on Form 10-K (our “2022 Form 10-K”). These unaudited condensed consolidated financial statements should be read in conjunction with the audited annual consolidated financial statements and notes thereto included in our 2022 Form 10-K.</w:t>
      </w:r>
    </w:p>
    <w:p>
      <w:pPr>
        <w:spacing w:after="0" w:line="206"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Certain reclassifications were made to previously reported amounts in the consolidated financial statements and notes thereto to make them consistent with the current presentation format.</w:t>
      </w:r>
    </w:p>
    <w:p>
      <w:pPr>
        <w:spacing w:after="0" w:line="197" w:lineRule="exact"/>
        <w:rPr>
          <w:sz w:val="20"/>
          <w:szCs w:val="20"/>
          <w:color w:val="auto"/>
        </w:rPr>
      </w:pPr>
    </w:p>
    <w:p>
      <w:pPr>
        <w:ind w:right="460" w:firstLine="648"/>
        <w:spacing w:after="0" w:line="246" w:lineRule="auto"/>
        <w:rPr>
          <w:sz w:val="20"/>
          <w:szCs w:val="20"/>
          <w:color w:val="auto"/>
        </w:rPr>
      </w:pPr>
      <w:r>
        <w:rPr>
          <w:rFonts w:ascii="Arial" w:cs="Arial" w:eastAsia="Arial" w:hAnsi="Arial"/>
          <w:sz w:val="18"/>
          <w:szCs w:val="18"/>
          <w:color w:val="auto"/>
        </w:rPr>
        <w:t>We do not expect any recently issued accounting standards to have a material impact on our financial position, results of operations or cash flows when they become effective.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Company Overview</w:t>
      </w:r>
    </w:p>
    <w:p>
      <w:pPr>
        <w:spacing w:after="0" w:line="23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We are an international offshore energy services company that provides specialty services to the offshore energy industry, with a focus on well intervention, robotics and full-field decommissioning operations. Our services are centered on a three-legged business model well positioned for a global energy transition:</w:t>
      </w:r>
    </w:p>
    <w:p>
      <w:pPr>
        <w:spacing w:after="0" w:line="185" w:lineRule="exact"/>
        <w:rPr>
          <w:sz w:val="20"/>
          <w:szCs w:val="20"/>
          <w:color w:val="auto"/>
        </w:rPr>
      </w:pPr>
    </w:p>
    <w:p>
      <w:pPr>
        <w:jc w:val="both"/>
        <w:ind w:left="680" w:right="440" w:hanging="321"/>
        <w:spacing w:after="0" w:line="241"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Production maximization </w:t>
      </w:r>
      <w:r>
        <w:rPr>
          <w:rFonts w:ascii="Arial" w:cs="Arial" w:eastAsia="Arial" w:hAnsi="Arial"/>
          <w:sz w:val="18"/>
          <w:szCs w:val="18"/>
          <w:color w:val="auto"/>
        </w:rPr>
        <w:t>— our assets and methodologies are specifically designed to efficiently enhance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extend the lives of existing oil and gas reserves; we also offer an alternative to take over end-of-life reserves in preparation for their abandonment;</w:t>
      </w:r>
    </w:p>
    <w:p>
      <w:pPr>
        <w:spacing w:after="0" w:line="1" w:lineRule="exact"/>
        <w:rPr>
          <w:rFonts w:ascii="Arial" w:cs="Arial" w:eastAsia="Arial" w:hAnsi="Arial"/>
          <w:sz w:val="18"/>
          <w:szCs w:val="18"/>
          <w:color w:val="auto"/>
        </w:rPr>
      </w:pPr>
    </w:p>
    <w:p>
      <w:pPr>
        <w:ind w:left="680" w:right="200" w:hanging="321"/>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Renewable energy support </w:t>
      </w:r>
      <w:r>
        <w:rPr>
          <w:rFonts w:ascii="Arial" w:cs="Arial" w:eastAsia="Arial" w:hAnsi="Arial"/>
          <w:sz w:val="18"/>
          <w:szCs w:val="18"/>
          <w:color w:val="auto"/>
        </w:rPr>
        <w:t>— we are an established global leader in jet trenching and continue to seek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specialty support services to offshore wind farm developments, including boulder removal and unexploded ordnance clearance; and</w:t>
      </w:r>
    </w:p>
    <w:p>
      <w:pPr>
        <w:spacing w:after="0" w:line="2"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 we have historical success as a full-field abandonment contractor and believe that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push for plug and abandonment (“P&amp;A”) and transition to renewable energy will facilitate the continued growth of the abandonment market.</w:t>
      </w:r>
    </w:p>
    <w:p>
      <w:pPr>
        <w:spacing w:after="0" w:line="20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provide services primarily in the Gulf of Mexico, U.S. East Coast, Brazil, North Sea, Asia Pacific and West Africa regions. We have expanded our service capabilities to the Gulf of Mexico shelf with the acquisition of Alliance group of companies (collectively “Alliance”) on July 1, 2022 (Note 3), which we have re-branded as Helix Alliance. Our North Sea operations and our Gulf of Mexico shelf operations related to Helix Alliance are usually subject to seasonal changes in demand, which generally peaks in the summer months and declines in the winter months. Our services are segregated into four reportable business segments: Well Intervention, Robotics, Shallow Water Abandonment, which was formed in the third quarter 2022 comprising the Helix Alliance business (Note 12), and Production Facilities.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 xml:space="preserve">Our Well Intervention segment provides services enabling our customers to safely access offshore wells for the purpose of performing production enhancement or decommissioning operations, thereby avoiding drilling new wells by extending the useful lives of existing wells and preserving the environment by preventing uncontrolled releases of oil and gas.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two chartered monohull vessels, the </w:t>
      </w:r>
      <w:r>
        <w:rPr>
          <w:rFonts w:ascii="Arial" w:cs="Arial" w:eastAsia="Arial" w:hAnsi="Arial"/>
          <w:sz w:val="18"/>
          <w:szCs w:val="18"/>
          <w:i w:val="1"/>
          <w:iCs w:val="1"/>
          <w:color w:val="auto"/>
        </w:rPr>
        <w:t>Siem H</w:t>
      </w:r>
      <w:r>
        <w:rPr>
          <w:rFonts w:ascii="Arial" w:cs="Arial" w:eastAsia="Arial" w:hAnsi="Arial"/>
          <w:sz w:val="18"/>
          <w:szCs w:val="18"/>
          <w:color w:val="auto"/>
        </w:rPr>
        <w:t xml:space="preserve">elix </w:t>
      </w:r>
      <w:r>
        <w:rPr>
          <w:rFonts w:ascii="Arial" w:cs="Arial" w:eastAsia="Arial" w:hAnsi="Arial"/>
          <w:sz w:val="18"/>
          <w:szCs w:val="18"/>
          <w:i w:val="1"/>
          <w:iCs w:val="1"/>
          <w:color w:val="auto"/>
        </w:rPr>
        <w:t>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Our well intervention equipment includes intervention systems such as intervention riser systems (“IRSs”), subsea intervention lubricators (“SILs”) and the Riserless Open-water Abandonment Module, some of which we provide on a stand-alone basis.</w:t>
      </w:r>
    </w:p>
    <w:p>
      <w:pPr>
        <w:spacing w:after="0" w:line="203" w:lineRule="exact"/>
        <w:rPr>
          <w:sz w:val="20"/>
          <w:szCs w:val="20"/>
          <w:color w:val="auto"/>
        </w:rPr>
      </w:pPr>
    </w:p>
    <w:p>
      <w:pPr>
        <w:ind w:right="240" w:firstLine="648"/>
        <w:spacing w:after="0" w:line="237" w:lineRule="auto"/>
        <w:rPr>
          <w:sz w:val="20"/>
          <w:szCs w:val="20"/>
          <w:color w:val="auto"/>
        </w:rPr>
      </w:pPr>
      <w:r>
        <w:rPr>
          <w:rFonts w:ascii="Arial" w:cs="Arial" w:eastAsia="Arial" w:hAnsi="Arial"/>
          <w:sz w:val="18"/>
          <w:szCs w:val="18"/>
          <w:color w:val="auto"/>
        </w:rPr>
        <w:t>Our Robotics segment provides trenching, seabed clearance, offshore construction and inspection, repair and maintenance (“IRM”) services to both the oil and gas and the renewable energy markets globally, thereby assisting the delivery of affordable and reliable energy and supporting the responsible transition away from a carbon-based economy. Additionally, our robotics services are used in and complement our well intervention services. Our Robotics segment includes remotely operated vehicles (“ROVs”), trenchers, the IROV boulder grab and robotics support vessels under term charters as well as spot vessels as needed.</w:t>
      </w:r>
    </w:p>
    <w:p>
      <w:pPr>
        <w:spacing w:after="0" w:line="205"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Our Shallow Water Abandonment segment provides services in support of the upstream and midstream ‎industries predominantly in the Gulf of Mexico shelf, including offshore oilfield decommissioning and ‎reclamation, project management, engineered solutions, intervention, maintenance, repair, heavy lift and commercial diving services. Our Shallow Water Abandonment segment includes a diversified fleet of marine assets including liftboats, offshore supply vessels (“OSVs”), dive support vessels (“DSVs”), a heavy lift derrick barge, a crew boat, P&amp;A systems and coiled tubing systems.</w:t>
      </w:r>
    </w:p>
    <w:p>
      <w:pPr>
        <w:spacing w:after="0" w:line="17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7"/>
          <w:szCs w:val="17"/>
          <w:color w:val="auto"/>
        </w:rPr>
        <w:t xml:space="preserve">Our Production Facilities segment includes the </w:t>
      </w:r>
      <w:r>
        <w:rPr>
          <w:rFonts w:ascii="Arial" w:cs="Arial" w:eastAsia="Arial" w:hAnsi="Arial"/>
          <w:sz w:val="17"/>
          <w:szCs w:val="17"/>
          <w:i w:val="1"/>
          <w:iCs w:val="1"/>
          <w:color w:val="auto"/>
        </w:rPr>
        <w:t>Helix Producer I</w:t>
      </w:r>
      <w:r>
        <w:rPr>
          <w:rFonts w:ascii="Arial" w:cs="Arial" w:eastAsia="Arial" w:hAnsi="Arial"/>
          <w:sz w:val="17"/>
          <w:szCs w:val="17"/>
          <w:color w:val="auto"/>
        </w:rPr>
        <w:t xml:space="preserve"> (the “</w:t>
      </w:r>
      <w:r>
        <w:rPr>
          <w:rFonts w:ascii="Arial" w:cs="Arial" w:eastAsia="Arial" w:hAnsi="Arial"/>
          <w:sz w:val="17"/>
          <w:szCs w:val="17"/>
          <w:i w:val="1"/>
          <w:iCs w:val="1"/>
          <w:color w:val="auto"/>
        </w:rPr>
        <w:t>HP I</w:t>
      </w:r>
      <w:r>
        <w:rPr>
          <w:rFonts w:ascii="Arial" w:cs="Arial" w:eastAsia="Arial" w:hAnsi="Arial"/>
          <w:sz w:val="17"/>
          <w:szCs w:val="17"/>
          <w:color w:val="auto"/>
        </w:rPr>
        <w:t xml:space="preserve">”), a ship-shaped dynamically positioned floating production vessel, the Helix Fast Response System (the “HFRS”), which combines the </w:t>
      </w:r>
      <w:r>
        <w:rPr>
          <w:rFonts w:ascii="Arial" w:cs="Arial" w:eastAsia="Arial" w:hAnsi="Arial"/>
          <w:sz w:val="17"/>
          <w:szCs w:val="17"/>
          <w:i w:val="1"/>
          <w:iCs w:val="1"/>
          <w:color w:val="auto"/>
        </w:rPr>
        <w:t>HP I</w:t>
      </w:r>
      <w:r>
        <w:rPr>
          <w:rFonts w:ascii="Arial" w:cs="Arial" w:eastAsia="Arial" w:hAnsi="Arial"/>
          <w:sz w:val="17"/>
          <w:szCs w:val="17"/>
          <w:color w:val="auto"/>
        </w:rPr>
        <w:t xml:space="preserve">, the </w:t>
      </w:r>
      <w:r>
        <w:rPr>
          <w:rFonts w:ascii="Arial" w:cs="Arial" w:eastAsia="Arial" w:hAnsi="Arial"/>
          <w:sz w:val="17"/>
          <w:szCs w:val="17"/>
          <w:i w:val="1"/>
          <w:iCs w:val="1"/>
          <w:color w:val="auto"/>
        </w:rPr>
        <w:t>Q4000</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 xml:space="preserve">Q5000 </w:t>
      </w:r>
      <w:r>
        <w:rPr>
          <w:rFonts w:ascii="Arial" w:cs="Arial" w:eastAsia="Arial" w:hAnsi="Arial"/>
          <w:sz w:val="17"/>
          <w:szCs w:val="17"/>
          <w:color w:val="auto"/>
        </w:rPr>
        <w:t>with certain well control equipment that can be deployed to respond to a well control incident, and our ownership of</w:t>
      </w:r>
      <w:r>
        <w:rPr>
          <w:rFonts w:ascii="Arial" w:cs="Arial" w:eastAsia="Arial" w:hAnsi="Arial"/>
          <w:sz w:val="17"/>
          <w:szCs w:val="17"/>
          <w:i w:val="1"/>
          <w:iCs w:val="1"/>
          <w:color w:val="auto"/>
        </w:rPr>
        <w:t xml:space="preserve"> </w:t>
      </w:r>
      <w:r>
        <w:rPr>
          <w:rFonts w:ascii="Arial" w:cs="Arial" w:eastAsia="Arial" w:hAnsi="Arial"/>
          <w:sz w:val="17"/>
          <w:szCs w:val="17"/>
          <w:color w:val="auto"/>
        </w:rPr>
        <w:t>mature oil and gas properties. All of our current Production Facilities activities are located in the Gulf of Mexico.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Alliance Acquisition</w:t>
      </w:r>
    </w:p>
    <w:p>
      <w:pPr>
        <w:spacing w:after="0" w:line="234"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On July 1, 2022, we completed our acquisition of Alliance. The Alliance acquisition extends our energy transition strategy by adding shallow water capabilities into what we expect to be a growing offshore decommissioning market.</w:t>
      </w:r>
    </w:p>
    <w:p>
      <w:pPr>
        <w:spacing w:after="0" w:line="197"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aggregate preliminary purchase price of the Alliance acquisition was $145.7 million, consisting of $119.0 million with cash on hand and the estimated fair value of $26.7 million of contingent consideration related to the post-closing earn-out consideration. The earn-out is payable in 2024 to the seller in the Alliance transaction in either cash or shares of our common stock pursuant to the terms of an Equity Purchase Agreement (the “Equity Purchase Agreement”) dated May 16, 2022. The earn-out is not capped and is calculated based on certain financial metrics of the Helix Alliance business for 2022 and 2023 relative to amounts as set forth in the Equity Purchase Agreement.</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We had finalized the purchase price allocation as of March 31, 2023 and there were no changes as compared to the amounts recorded at December 31, 2022. The following table summarizes the final purchase consideration and the final purchase price allocation to estimated fair values of the identifiable assets acquired and liabilities assumed as of the acquisition date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8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July 1,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consideration</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Contingent consideration</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26,700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fair value of consideration transferred</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8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acquired:</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ind w:left="100"/>
              <w:spacing w:after="0" w:line="202" w:lineRule="exact"/>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117,321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spacing w:after="0" w:line="202" w:lineRule="exact"/>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Deferred tax liabilities</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tcPr>
          <w:p>
            <w:pPr>
              <w:ind w:left="100"/>
              <w:spacing w:after="0" w:line="196" w:lineRule="exact"/>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pro forma summary below presents the results of operations as if the Alliance acquisition had occurred on January 1, 2022 and includes transaction accounting adjustments such as incremental depreciation and amortization expense from acquired tangible and intangible assets, elimination of interest expense on Alliance’s long-term debt that was paid off in conjunction with the acquisition, and tax-related effects. The pro forma summary uses estimates and assumptions based on information available at the time. Management believes the estimates and assumptions to be reasonable; however, actual results may differ significantly from this pro forma financial information. The pro forma information does not reflect any cost savings, operating synergies or revenue enhancements that might have been achieved from combining the operations. The unaudited pro forma summary is provided for illustrative purposes only and does not purport to represent Helix’s actual consolidated results of operations had the acquisition been completed as of the date presented, nor should it be considered indicative of Helix’s future consolidated results of operations.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pro forma results of Helix and Alliance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Three Months Ended</w:t>
            </w:r>
          </w:p>
        </w:tc>
      </w:tr>
      <w:tr>
        <w:trPr>
          <w:trHeight w:val="225"/>
        </w:trPr>
        <w:tc>
          <w:tcPr>
            <w:tcW w:w="28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8"/>
              </w:rPr>
              <w:t>March 31,</w:t>
            </w:r>
          </w:p>
        </w:tc>
      </w:tr>
      <w:tr>
        <w:trPr>
          <w:trHeight w:val="196"/>
        </w:trPr>
        <w:tc>
          <w:tcPr>
            <w:tcW w:w="2840" w:type="dxa"/>
            <w:vAlign w:val="bottom"/>
            <w:tcBorders>
              <w:bottom w:val="single" w:sz="8" w:color="CCEEFF"/>
            </w:tcBorders>
          </w:tcPr>
          <w:p>
            <w:pPr>
              <w:spacing w:after="0"/>
              <w:rPr>
                <w:sz w:val="17"/>
                <w:szCs w:val="17"/>
                <w:color w:val="auto"/>
              </w:rPr>
            </w:pPr>
          </w:p>
        </w:tc>
        <w:tc>
          <w:tcPr>
            <w:tcW w:w="50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2022</w:t>
            </w:r>
          </w:p>
        </w:tc>
      </w:tr>
      <w:tr>
        <w:trPr>
          <w:trHeight w:val="196"/>
        </w:trPr>
        <w:tc>
          <w:tcPr>
            <w:tcW w:w="2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50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177,621</w:t>
            </w:r>
          </w:p>
        </w:tc>
      </w:tr>
      <w:tr>
        <w:trPr>
          <w:trHeight w:val="217"/>
        </w:trPr>
        <w:tc>
          <w:tcPr>
            <w:tcW w:w="2840" w:type="dxa"/>
            <w:vAlign w:val="bottom"/>
          </w:tcPr>
          <w:p>
            <w:pPr>
              <w:spacing w:after="0"/>
              <w:rPr>
                <w:sz w:val="20"/>
                <w:szCs w:val="20"/>
                <w:color w:val="auto"/>
              </w:rPr>
            </w:pPr>
            <w:r>
              <w:rPr>
                <w:rFonts w:ascii="Arial" w:cs="Arial" w:eastAsia="Arial" w:hAnsi="Arial"/>
                <w:sz w:val="18"/>
                <w:szCs w:val="18"/>
                <w:color w:val="auto"/>
              </w:rPr>
              <w:t>Net loss</w:t>
            </w: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(41,709)</w:t>
            </w:r>
          </w:p>
        </w:tc>
      </w:tr>
      <w:tr>
        <w:trPr>
          <w:trHeight w:val="850"/>
        </w:trPr>
        <w:tc>
          <w:tcPr>
            <w:tcW w:w="2840" w:type="dxa"/>
            <w:vAlign w:val="bottom"/>
          </w:tcPr>
          <w:p>
            <w:pPr>
              <w:spacing w:after="0"/>
              <w:rPr>
                <w:sz w:val="24"/>
                <w:szCs w:val="24"/>
                <w:color w:val="auto"/>
              </w:rPr>
            </w:pPr>
          </w:p>
        </w:tc>
        <w:tc>
          <w:tcPr>
            <w:tcW w:w="5020" w:type="dxa"/>
            <w:vAlign w:val="bottom"/>
          </w:tcPr>
          <w:p>
            <w:pPr>
              <w:jc w:val="right"/>
              <w:ind w:right="27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533"/>
        </w:trPr>
        <w:tc>
          <w:tcPr>
            <w:tcW w:w="28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Note 4 — Details of Certain Accounts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100" w:type="dxa"/>
            <w:vAlign w:val="bottom"/>
            <w:gridSpan w:val="3"/>
          </w:tcPr>
          <w:p>
            <w:pPr>
              <w:ind w:left="660"/>
              <w:spacing w:after="0"/>
              <w:rPr>
                <w:sz w:val="20"/>
                <w:szCs w:val="20"/>
                <w:color w:val="auto"/>
              </w:rPr>
            </w:pPr>
            <w:r>
              <w:rPr>
                <w:rFonts w:ascii="Arial" w:cs="Arial" w:eastAsia="Arial" w:hAnsi="Arial"/>
                <w:sz w:val="18"/>
                <w:szCs w:val="18"/>
                <w:color w:val="auto"/>
              </w:rPr>
              <w:t>Other current assets consist of the following (in thousands):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1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2023</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196"/>
        </w:trPr>
        <w:tc>
          <w:tcPr>
            <w:tcW w:w="61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Prepaids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21,365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26,609</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Income tax receivable</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1,093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Contract assets (Note 9)</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6,295</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Deferred costs (Note 9)</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27,505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13,969</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12,553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196"/>
        </w:trPr>
        <w:tc>
          <w:tcPr>
            <w:tcW w:w="610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Total other current assets</w:t>
            </w:r>
          </w:p>
        </w:tc>
        <w:tc>
          <w:tcPr>
            <w:tcW w:w="7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63,228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58,699</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ind w:left="660"/>
              <w:spacing w:after="0"/>
              <w:rPr>
                <w:sz w:val="20"/>
                <w:szCs w:val="20"/>
                <w:color w:val="auto"/>
              </w:rPr>
            </w:pPr>
            <w:r>
              <w:rPr>
                <w:rFonts w:ascii="Arial" w:cs="Arial" w:eastAsia="Arial" w:hAnsi="Arial"/>
                <w:sz w:val="18"/>
                <w:szCs w:val="18"/>
                <w:color w:val="auto"/>
              </w:rPr>
              <w:t>Other assets, net consist of the following (in thousands):</w:t>
            </w: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0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1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2023</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196"/>
        </w:trPr>
        <w:tc>
          <w:tcPr>
            <w:tcW w:w="6100" w:type="dxa"/>
            <w:vAlign w:val="bottom"/>
            <w:gridSpan w:val="3"/>
            <w:shd w:val="clear" w:color="auto" w:fill="CCEEFF"/>
          </w:tcPr>
          <w:p>
            <w:pPr>
              <w:spacing w:after="0" w:line="195" w:lineRule="exact"/>
              <w:rPr>
                <w:sz w:val="20"/>
                <w:szCs w:val="20"/>
                <w:color w:val="auto"/>
              </w:rPr>
            </w:pPr>
            <w:r>
              <w:rPr>
                <w:rFonts w:ascii="Arial" w:cs="Arial" w:eastAsia="Arial" w:hAnsi="Arial"/>
                <w:sz w:val="16"/>
                <w:szCs w:val="16"/>
                <w:color w:val="auto"/>
              </w:rPr>
              <w:t xml:space="preserve">Prepaid charter </w:t>
            </w:r>
            <w:r>
              <w:rPr>
                <w:rFonts w:ascii="Arial" w:cs="Arial" w:eastAsia="Arial" w:hAnsi="Arial"/>
                <w:sz w:val="22"/>
                <w:szCs w:val="22"/>
                <w:color w:val="auto"/>
                <w:vertAlign w:val="superscript"/>
              </w:rPr>
              <w:t>(1)</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28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Deferred costs (Note 9)</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4,526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6,432</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Other receivable </w:t>
            </w:r>
            <w:r>
              <w:rPr>
                <w:rFonts w:ascii="Arial" w:cs="Arial" w:eastAsia="Arial" w:hAnsi="Arial"/>
                <w:sz w:val="23"/>
                <w:szCs w:val="23"/>
                <w:color w:val="auto"/>
                <w:vertAlign w:val="superscript"/>
              </w:rPr>
              <w:t>(2)</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25,422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24,827</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Intangible assets with finite lives, net</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4,386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196"/>
        </w:trPr>
        <w:tc>
          <w:tcPr>
            <w:tcW w:w="610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Total other assets, net</w:t>
            </w:r>
          </w:p>
        </w:tc>
        <w:tc>
          <w:tcPr>
            <w:tcW w:w="7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49,079</w:t>
            </w:r>
          </w:p>
        </w:tc>
        <w:tc>
          <w:tcPr>
            <w:tcW w:w="28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50,507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6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Represents prepayments to the owner of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to offset certain payment obligations associated with the vessels at the end of their respective charter term.</w:t>
      </w:r>
    </w:p>
    <w:p>
      <w:pPr>
        <w:spacing w:after="0" w:line="70" w:lineRule="exact"/>
        <w:rPr>
          <w:rFonts w:ascii="Arial" w:cs="Arial" w:eastAsia="Arial" w:hAnsi="Arial"/>
          <w:sz w:val="18"/>
          <w:szCs w:val="18"/>
          <w:color w:val="auto"/>
        </w:rPr>
      </w:pPr>
    </w:p>
    <w:p>
      <w:pPr>
        <w:ind w:left="660" w:right="8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agreed-upon amounts that we are entitled to receive from Marathon Oil Corporation (“Marathon Oil”) for remaining P&amp;A work to be performed by us on Droshky oil and gas properties we acquired from Marathon Oil in 2019.</w:t>
      </w:r>
    </w:p>
    <w:p>
      <w:pPr>
        <w:spacing w:after="0" w:line="2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Accrued liabilities consist of the following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5"/>
        </w:trPr>
        <w:tc>
          <w:tcPr>
            <w:tcW w:w="68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benefits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29,877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41,339</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2,081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6,306</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payable</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Deferred revenue (Note 9)</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11,555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9,961</w:t>
            </w:r>
          </w:p>
        </w:tc>
      </w:tr>
      <w:tr>
        <w:trPr>
          <w:trHeight w:val="202"/>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17,298</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15,489</w:t>
            </w:r>
          </w:p>
        </w:tc>
      </w:tr>
      <w:tr>
        <w:trPr>
          <w:trHeight w:val="196"/>
        </w:trPr>
        <w:tc>
          <w:tcPr>
            <w:tcW w:w="6800" w:type="dxa"/>
            <w:vAlign w:val="bottom"/>
          </w:tcPr>
          <w:p>
            <w:pPr>
              <w:ind w:left="120"/>
              <w:spacing w:after="0" w:line="196" w:lineRule="exact"/>
              <w:rPr>
                <w:sz w:val="20"/>
                <w:szCs w:val="20"/>
                <w:color w:val="auto"/>
              </w:rPr>
            </w:pPr>
            <w:r>
              <w:rPr>
                <w:rFonts w:ascii="Arial" w:cs="Arial" w:eastAsia="Arial" w:hAnsi="Arial"/>
                <w:sz w:val="18"/>
                <w:szCs w:val="18"/>
                <w:color w:val="auto"/>
              </w:rPr>
              <w:t>Total accrued liabilities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60,811</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73,574</w:t>
            </w:r>
          </w:p>
        </w:tc>
      </w:tr>
      <w:tr>
        <w:trPr>
          <w:trHeight w:val="20"/>
        </w:trPr>
        <w:tc>
          <w:tcPr>
            <w:tcW w:w="6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394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 retirement obligations (Note 13)</w:t>
            </w:r>
          </w:p>
        </w:tc>
        <w:tc>
          <w:tcPr>
            <w:tcW w:w="28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53,124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51,956</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Contingent consideration (Note 17)</w:t>
            </w:r>
          </w:p>
        </w:tc>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46,746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42,754</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940</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196"/>
        </w:trPr>
        <w:tc>
          <w:tcPr>
            <w:tcW w:w="3940" w:type="dxa"/>
            <w:vAlign w:val="bottom"/>
          </w:tcPr>
          <w:p>
            <w:pPr>
              <w:ind w:left="120"/>
              <w:spacing w:after="0" w:line="196" w:lineRule="exact"/>
              <w:rPr>
                <w:sz w:val="20"/>
                <w:szCs w:val="20"/>
                <w:color w:val="auto"/>
              </w:rPr>
            </w:pPr>
            <w:r>
              <w:rPr>
                <w:rFonts w:ascii="Arial" w:cs="Arial" w:eastAsia="Arial" w:hAnsi="Arial"/>
                <w:sz w:val="18"/>
                <w:szCs w:val="18"/>
                <w:color w:val="auto"/>
              </w:rPr>
              <w:t>Total other non-current liabilities</w:t>
            </w:r>
          </w:p>
        </w:tc>
        <w:tc>
          <w:tcPr>
            <w:tcW w:w="28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100,810</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95,230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860" w:type="dxa"/>
            <w:vAlign w:val="bottom"/>
            <w:vMerge w:val="restart"/>
          </w:tcPr>
          <w:p>
            <w:pPr>
              <w:jc w:val="right"/>
              <w:ind w:right="165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9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9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34"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 xml:space="preserve">We charter vessels and lease facilities and equipment under non-cancelable contracts that expire on various dates through 2031. Our operating lease additions during the three-month period ended March 31, 2023 are primarily related to the vessel charter for the </w:t>
      </w:r>
      <w:r>
        <w:rPr>
          <w:rFonts w:ascii="Arial" w:cs="Arial" w:eastAsia="Arial" w:hAnsi="Arial"/>
          <w:sz w:val="18"/>
          <w:szCs w:val="18"/>
          <w:i w:val="1"/>
          <w:iCs w:val="1"/>
          <w:color w:val="auto"/>
        </w:rPr>
        <w:t>Glomar Wave</w:t>
      </w:r>
      <w:r>
        <w:rPr>
          <w:rFonts w:ascii="Arial" w:cs="Arial" w:eastAsia="Arial" w:hAnsi="Arial"/>
          <w:sz w:val="18"/>
          <w:szCs w:val="18"/>
          <w:color w:val="auto"/>
        </w:rPr>
        <w:t xml:space="preserve"> (Note 14). Our operating lease additions during the three-month period ended March 31, 2022 are primarily related to the charter extensions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We also sublease some of our facilities under non-cancelable sublease agreements.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lease cost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17,006</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14,462</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4,910</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4,922</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6,977</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5,438</w:t>
            </w: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Sublease income</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w:t>
            </w:r>
          </w:p>
        </w:tc>
      </w:tr>
      <w:tr>
        <w:trPr>
          <w:trHeight w:val="196"/>
        </w:trPr>
        <w:tc>
          <w:tcPr>
            <w:tcW w:w="68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lease cost</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28,562</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24,573</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our operating lease liabilities as of March 31, 2023 are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60,932</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6,688</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67,620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60,058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5,517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65,575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36,690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39,169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979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40,148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15,845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Over five years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791</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2,597</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213,485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18,734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232,219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(30,177)</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(2,449)</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(32,626)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183,308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16,285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48,466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134,842</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10,344</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145,186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183,308</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16,285</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our operating lease liabilities as of December 31, 2022 are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58,063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6,603</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55,515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5,697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61,212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35,200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959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36,159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26,244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Over five years</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3,041</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2,783</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221,463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19,798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241,261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(32,986)</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(2,675)</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(35,661)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188,477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17,123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16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45,131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143,346</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11,340</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154,686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188,477</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17,123</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vMerge w:val="restart"/>
          </w:tcPr>
          <w:p>
            <w:pPr>
              <w:jc w:val="right"/>
              <w:ind w:right="210"/>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61"/>
        </w:trPr>
        <w:tc>
          <w:tcPr>
            <w:tcW w:w="8440" w:type="dxa"/>
            <w:vAlign w:val="bottom"/>
            <w:gridSpan w:val="4"/>
          </w:tcPr>
          <w:p>
            <w:pPr>
              <w:ind w:left="6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tc>
        <w:tc>
          <w:tcPr>
            <w:tcW w:w="1480" w:type="dxa"/>
            <w:vAlign w:val="bottom"/>
          </w:tcPr>
          <w:p>
            <w:pPr>
              <w:spacing w:after="0"/>
              <w:rPr>
                <w:sz w:val="24"/>
                <w:szCs w:val="24"/>
                <w:color w:val="auto"/>
              </w:rPr>
            </w:pPr>
          </w:p>
        </w:tc>
      </w:tr>
      <w:tr>
        <w:trPr>
          <w:trHeight w:val="301"/>
        </w:trPr>
        <w:tc>
          <w:tcPr>
            <w:tcW w:w="1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March 31,</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128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196"/>
        </w:trPr>
        <w:tc>
          <w:tcPr>
            <w:tcW w:w="6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 years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 years</w:t>
            </w:r>
          </w:p>
        </w:tc>
      </w:tr>
      <w:tr>
        <w:trPr>
          <w:trHeight w:val="217"/>
        </w:trPr>
        <w:tc>
          <w:tcPr>
            <w:tcW w:w="670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7.91 %</w:t>
            </w:r>
          </w:p>
        </w:tc>
        <w:tc>
          <w:tcPr>
            <w:tcW w:w="260" w:type="dxa"/>
            <w:vAlign w:val="bottom"/>
          </w:tcPr>
          <w:p>
            <w:pPr>
              <w:spacing w:after="0"/>
              <w:rPr>
                <w:sz w:val="18"/>
                <w:szCs w:val="18"/>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7.84 %</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other information related to our operating leases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Three Months Ended</w:t>
            </w:r>
          </w:p>
        </w:tc>
      </w:tr>
      <w:tr>
        <w:trPr>
          <w:trHeight w:val="225"/>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8"/>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operating lease liabilities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16,184</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16,010</w:t>
            </w:r>
          </w:p>
        </w:tc>
      </w:tr>
      <w:tr>
        <w:trPr>
          <w:trHeight w:val="217"/>
        </w:trPr>
        <w:tc>
          <w:tcPr>
            <w:tcW w:w="680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60,699</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maturities of our long-term debt outstanding as of March 31, 2023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MARAD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5"/>
        </w:trPr>
        <w:tc>
          <w:tcPr>
            <w:tcW w:w="2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Notes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Notes</w:t>
            </w:r>
          </w:p>
        </w:tc>
        <w:tc>
          <w:tcPr>
            <w:tcW w:w="22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196"/>
        </w:trPr>
        <w:tc>
          <w:tcPr>
            <w:tcW w:w="3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6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8,539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38,539</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6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8,965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8,965</w:t>
            </w:r>
          </w:p>
        </w:tc>
      </w:tr>
      <w:tr>
        <w:trPr>
          <w:trHeight w:val="203"/>
        </w:trPr>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209,412</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6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9,881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9,881</w:t>
            </w:r>
          </w:p>
        </w:tc>
      </w:tr>
      <w:tr>
        <w:trPr>
          <w:trHeight w:val="196"/>
        </w:trPr>
        <w:tc>
          <w:tcPr>
            <w:tcW w:w="382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Gross debt</w:t>
            </w: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200,000</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36,797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266,797</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Unamortized debt issuance costs </w:t>
            </w:r>
            <w:r>
              <w:rPr>
                <w:rFonts w:ascii="Arial" w:cs="Arial" w:eastAsia="Arial" w:hAnsi="Arial"/>
                <w:sz w:val="23"/>
                <w:szCs w:val="23"/>
                <w:color w:val="auto"/>
                <w:vertAlign w:val="superscript"/>
              </w:rPr>
              <w:t>(1)</w:t>
            </w:r>
          </w:p>
        </w:tc>
        <w:tc>
          <w:tcPr>
            <w:tcW w:w="260" w:type="dxa"/>
            <w:vAlign w:val="bottom"/>
          </w:tcPr>
          <w:p>
            <w:pPr>
              <w:spacing w:after="0"/>
              <w:rPr>
                <w:sz w:val="17"/>
                <w:szCs w:val="17"/>
                <w:color w:val="auto"/>
              </w:rPr>
            </w:pP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(4,299)</w:t>
            </w:r>
          </w:p>
        </w:tc>
        <w:tc>
          <w:tcPr>
            <w:tcW w:w="2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(1,951)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(6,337)</w:t>
            </w:r>
          </w:p>
        </w:tc>
      </w:tr>
      <w:tr>
        <w:trPr>
          <w:trHeight w:val="196"/>
        </w:trPr>
        <w:tc>
          <w:tcPr>
            <w:tcW w:w="382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debt</w:t>
            </w: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29,913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195,701</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34,846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260,460</w:t>
            </w:r>
          </w:p>
        </w:tc>
      </w:tr>
      <w:tr>
        <w:trPr>
          <w:trHeight w:val="203"/>
        </w:trPr>
        <w:tc>
          <w:tcPr>
            <w:tcW w:w="38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Less current maturities</w:t>
            </w:r>
          </w:p>
        </w:tc>
        <w:tc>
          <w:tcPr>
            <w:tcW w:w="260" w:type="dxa"/>
            <w:vAlign w:val="bottom"/>
          </w:tcPr>
          <w:p>
            <w:pPr>
              <w:spacing w:after="0"/>
              <w:rPr>
                <w:sz w:val="17"/>
                <w:szCs w:val="17"/>
                <w:color w:val="auto"/>
              </w:rPr>
            </w:pP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(29,913)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(8,539)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(38,452)</w:t>
            </w:r>
          </w:p>
        </w:tc>
      </w:tr>
      <w:tr>
        <w:trPr>
          <w:trHeight w:val="196"/>
        </w:trPr>
        <w:tc>
          <w:tcPr>
            <w:tcW w:w="3820" w:type="dxa"/>
            <w:vAlign w:val="bottom"/>
            <w:tcBorders>
              <w:top w:val="single" w:sz="8" w:color="CCEEFF"/>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195,701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222,008</w:t>
            </w:r>
          </w:p>
        </w:tc>
      </w:tr>
      <w:tr>
        <w:trPr>
          <w:trHeight w:val="20"/>
        </w:trPr>
        <w:tc>
          <w:tcPr>
            <w:tcW w:w="2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94" w:lineRule="exact"/>
        <w:rPr>
          <w:sz w:val="20"/>
          <w:szCs w:val="20"/>
          <w:color w:val="auto"/>
        </w:rPr>
      </w:pPr>
    </w:p>
    <w:p>
      <w:pPr>
        <w:ind w:left="660" w:right="1100" w:hanging="652"/>
        <w:spacing w:after="0" w:line="47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issuance costs are amortized to interest expense over the term of the applicable debt agreement. Below is a summary of certain components of our indebtedness: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4"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On September 30, 2021 we entered into an asset-based credit agreement with Bank of America, N.A. (“Bank of America”), Wells Fargo Bank, N.A. and Zions Bancorporation and on July 1, 2022 we entered into a first amendment to the credit agreement (collectively, the “Amended ABL Facility”). The Amended ABL Facility provides for a $100 million asset-based revolving credit facility, which matures on September 30, 2026, with a springing maturity 91 days prior to the maturity of any outstanding indebtedness with a principal amount in excess of $50 million. The Amended ABL Facility also permits us to request an increase of the facility by up to $50 million, subject to certain conditions.</w:t>
      </w:r>
    </w:p>
    <w:p>
      <w:pPr>
        <w:spacing w:after="0" w:line="205"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Commitments under the Amended ABL Facility are comprised of separate U.S. and U.K. revolving credit facility commitments of $65 million and $35 million, respectively. The Amended ABL Facility provides funding based on a borrowing base calculation that includes eligible U.S. and U.K. customer accounts receivable and cash, and provides for a $10 million sub-limit for the issuance of letters of credit. As of March 31, 2023, we had no borrowings under the Amended ABL Facility, and our available borrowing capacity under that facility, based on the borrowing base, totaled $80.0 million, net of $6.9 million of letters of credit issued under that facility.</w:t>
      </w:r>
    </w:p>
    <w:p>
      <w:pPr>
        <w:spacing w:after="0" w:line="205"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We and certain of our U.S. and U.K. subsidiaries including Helix Alliance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100" w:firstLine="648"/>
        <w:spacing w:after="0" w:line="248" w:lineRule="auto"/>
        <w:rPr>
          <w:sz w:val="20"/>
          <w:szCs w:val="20"/>
          <w:color w:val="auto"/>
        </w:rPr>
      </w:pPr>
      <w:r>
        <w:rPr>
          <w:rFonts w:ascii="Arial" w:cs="Arial" w:eastAsia="Arial" w:hAnsi="Arial"/>
          <w:sz w:val="17"/>
          <w:szCs w:val="17"/>
          <w:color w:val="auto"/>
        </w:rPr>
        <w:t>U.S. borrowings under the Amended ABL Facility bear interest at the Term SOFR (also known as CME Term SOFR as administered by CME Group, Inc.) rate plus a margin of 1.50% to 2.00% or at a base rate plus a margin of 0.50% to</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1.00%. U.K. borrowings under the Amended ABL Facility denominated in U.S. dollars bear interest at the Term SOFR rate with SOFR adjustment of 0.10% and U.K. borrowings denominated in the British pound bear interest at the SONIA daily rate, each plus a margin of 1.50% to 2.00%. We also pay a commitment fee of 0.375% to 0.50% per annum on the unused portion of the facility.</w:t>
      </w:r>
    </w:p>
    <w:p>
      <w:pPr>
        <w:spacing w:after="0" w:line="205"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$10 million. The Amended ABL Facility also requires us to maintain a pro forma minimum excess availability of $ 20 million for the 91 days prior to the maturity of each of our outstanding convertible senior notes and for any portion of the Alliance earnout payment to be made in cash.</w:t>
      </w:r>
    </w:p>
    <w:p>
      <w:pPr>
        <w:spacing w:after="0" w:line="208"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Amended ABL Facility also (i) limits the amount of permitted debt for the deferred purchase price of property not to exceed $50 million, (ii) establishes an excess availability requirement for the portion of any post-closing earn-out consideration related to our acquisition of Alliance that will be paid in cash (Note 3), and (iii) provides for potential pricing adjustments based on specific metrics and performance targets determined by us and Bank of America, as agent with respect to the Amended ABL Facility, related to environmental, social and governance (“ESG”) changes implemented by us in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2022 (“2022 Notes”)</w:t>
      </w:r>
    </w:p>
    <w:p>
      <w:pPr>
        <w:spacing w:after="0" w:line="234"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We fully redeemed the $35 million remaining principal amount of the 2022 Notes plus accrued interest by delivering cash upon maturity on May 1, 2022. The effective interest rate for the 2022 Notes was 4.8%. For the three-month period ended March 31, 2022, total interest expense related to the 2022 Notes was $0.4 million, primarily from coupon interest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2023 (“2023 Notes”)</w:t>
      </w:r>
    </w:p>
    <w:p>
      <w:pPr>
        <w:spacing w:after="0" w:line="234"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The 2023 Notes bear interest at a coupon interest rate of 4.125% per annum payable semi-annually in arrears on March 15 and September 15 of each year until maturity. The 2023 Notes mature on September 15, 2023 unless earlier converted, redeemed or repurchased by us. The 2023 Notes are convertible by their holders at any time beginning March 15, 2023 at an initial conversion rate of 105.6133 shares of our common stock per $1,000 principal amount, which currently represents 3,168,399 potentially convertible shares at an initial conversion price of approximately $9.47 per share of common stock. Upon conversion, we have the right to satisfy our conversion obligation by delivering cash, shares of our common stock or any combination thereof.</w:t>
      </w:r>
    </w:p>
    <w:p>
      <w:pPr>
        <w:spacing w:after="0" w:line="203"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Holders of the 2023 Notes may convert their notes if we make certain distributions on shares of our common stock or engage in certain corporate transactions, in which case the holders may be entitled to an increase in the conversion rate, depending on the price of our common shares and the time remaining to maturity, of up to 47.5260 shares of our common stock per $1,000 principal amount.</w:t>
      </w:r>
    </w:p>
    <w:p>
      <w:pPr>
        <w:spacing w:after="0" w:line="205"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may redeem all or any portion of the 2023 Notes if the price of our common stock has been at least 130% of the conversion price for at least 20 trading days during any 30 consecutive trading day period preceding our redemption notice. Holders of the 2023 Notes may convert any of their notes if we call the notes for redemption. Any redemption would be payable in cash equal to 100% of the principal amount to be redeemed plus accrued and unpaid interest and a “make-whole premium” calculated as the present value of all remaining scheduled interest payments. Holders of the 2023 Notes may also require us to repurchase the notes following a “fundamental change,” which includes a change of control or a termination of trading of our common stock (as defined in the indenture governing the 2023 Notes).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indenture governing the 2023 Notes contains customary terms and covenants, including that upon certain events of default, the entire principal amount of and any accrued interest on the notes may be declared immediately due and payable. In the case of certain events of bankruptcy, insolvency or reorganization relating to us or a significant subsidiary, the principal amount of the 2023 Notes together with any accrued interest will become immediately due and payable.</w:t>
      </w:r>
    </w:p>
    <w:p>
      <w:pPr>
        <w:spacing w:after="0" w:line="20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effective interest rate for the 2023 Notes is 4.8%. For each of the three-month periods ended March 31, 2023 and 2022, total interest expense related to the 2023 Notes was $0.4 million, with coupon interest expense of $0.3 million and the amortization of debt issuance costs of $0.1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2026 (“2026 Notes”)</w:t>
      </w:r>
    </w:p>
    <w:p>
      <w:pPr>
        <w:spacing w:after="0" w:line="234" w:lineRule="exact"/>
        <w:rPr>
          <w:sz w:val="20"/>
          <w:szCs w:val="20"/>
          <w:color w:val="auto"/>
        </w:rPr>
      </w:pPr>
    </w:p>
    <w:p>
      <w:pPr>
        <w:ind w:right="120" w:firstLine="648"/>
        <w:spacing w:after="0" w:line="234" w:lineRule="auto"/>
        <w:rPr>
          <w:sz w:val="20"/>
          <w:szCs w:val="20"/>
          <w:color w:val="auto"/>
        </w:rPr>
      </w:pPr>
      <w:r>
        <w:rPr>
          <w:rFonts w:ascii="Arial" w:cs="Arial" w:eastAsia="Arial" w:hAnsi="Arial"/>
          <w:sz w:val="18"/>
          <w:szCs w:val="18"/>
          <w:color w:val="auto"/>
        </w:rPr>
        <w:t>The 2026 Notes bear interest at a coupon interest rate of 6.75% per annum payable semi-annually in arrears on February 15 and August 15 of each year, beginning February 15, 2021 until maturity. The 2026 Notes mature on February 15, 2026 unless earlier converted, redeemed or repurchased by us. The 2026 Notes are convertible by their holders at any time beginning November 17, 2025 at an initial conversion rate of 143.3795 shares of our common stock per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$1,000 principal amount, which currently represents 28,675,900 potentially convertible shares at an initial conversion price of approximately $ 6.97 per share of common stock. Upon conversion, we have the right to satisfy our conversion obligation by delivering cash, shares of our common stock or any combination thereof.</w:t>
      </w:r>
    </w:p>
    <w:p>
      <w:pPr>
        <w:spacing w:after="0" w:line="203"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Prior to November 17, 2025, holders of the 2026 Notes may convert their notes if the closing price of our common stock exceeds 130% of the conversion price for at least 20 days in the period of 30 consecutive trading days ending on the last trading day of the preceding fiscal quarter (share price condition) or if the trading price of the 2026 Notes is equal to or less than 97% of the conversion value of the notes during the five consecutive business days immediately after any ten consecutive trading day period (trading price condition). Holders of the 2026 Notes may also convert their notes if we make certain distributions on shares of our common stock or engage in certain corporate transactions, in which case the holders may be entitled to an increase in the conversion rate, depending on the price of our common shares and the time remaining to maturity, of up to 64.5207 shares of our common stock per $1,000 principal amount.</w:t>
      </w:r>
    </w:p>
    <w:p>
      <w:pPr>
        <w:spacing w:after="0" w:line="208" w:lineRule="exact"/>
        <w:rPr>
          <w:sz w:val="20"/>
          <w:szCs w:val="20"/>
          <w:color w:val="auto"/>
        </w:rPr>
      </w:pPr>
    </w:p>
    <w:p>
      <w:pPr>
        <w:ind w:right="260" w:firstLine="648"/>
        <w:spacing w:after="0" w:line="248" w:lineRule="auto"/>
        <w:rPr>
          <w:sz w:val="20"/>
          <w:szCs w:val="20"/>
          <w:color w:val="auto"/>
        </w:rPr>
      </w:pPr>
      <w:r>
        <w:rPr>
          <w:rFonts w:ascii="Arial" w:cs="Arial" w:eastAsia="Arial" w:hAnsi="Arial"/>
          <w:sz w:val="17"/>
          <w:szCs w:val="17"/>
          <w:color w:val="auto"/>
        </w:rPr>
        <w:t>Prior to August 15, 2023, the 2026 Notes are not redeemable. On or after August 15, 2023, we may redeem all or any portion of the 2026 Notes if the price of our common stock has been at least 130% of the conversion price for at least</w:t>
      </w:r>
    </w:p>
    <w:p>
      <w:pPr>
        <w:spacing w:after="0" w:line="1"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20 trading days during any 30 consecutive trading day period preceding our redemption notice. Holders of the 2026 Notes may convert any of their notes if we call the notes for redemption. Any redemption would be payable in cash equal to 100% of the principal amount plus accrued and unpaid interest and a “make-whole premium” calculated as the present value of all remaining scheduled interest payments. Holders of the 2026 Notes may also require us to repurchase the notes following a “fundamental change,” which includes a change of control or a termination of trading of our common stock (as defined in the indenture governing the 2026 Notes).</w:t>
      </w:r>
    </w:p>
    <w:p>
      <w:pPr>
        <w:spacing w:after="0" w:line="205"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indenture governing the 2026 Notes contains customary terms and covenants, including that upon certain events of default, the entire principal amount of and any accrued interest on the notes may be declared immediately due and payable. In the case of certain events of bankruptcy, insolvency or reorganization relating to us or a significant subsidiary, the principal amount of the 2026 Notes together with any accrued interest will become immediately due and payable.</w:t>
      </w:r>
    </w:p>
    <w:p>
      <w:pPr>
        <w:spacing w:after="0" w:line="20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effective interest rate for the 2026 Notes is 7.6%. For each of the three-month periods ended March 31, 2023 and 2022, total interest expense related to the 2026 Notes was $3.7 million, with coupon interest expense of $3.4 million and the amortization of debt issuance costs of $0.3 million.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Capped Calls</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connection with the 2026 Notes offering, we entered into capped call transactions (the “2026 Capped Calls”) with three separate option counterparties. The 2026 Capped Calls are for an aggregate of 28,675,900 shares of our common stock, which corresponds to the shares into which the 2026 Notes are initially convertible. The capped call shares are subject to certain anti-dilution adjustments. Each capped call option has an initial strike price of approximately $6.97 per share, which corresponds to the initial conversion price of the 2026 Notes, and an initial cap price of approximately $8.42 per share. The strike and cap prices are subject to certain adjustments. The 2026 Capped Calls are intended to offset some or all of the potential dilution to Helix common shares caused by any conversion of the 2026 Notes up to the cap price. The 2026 Capped Calls can be settled in either net shares or cash at our option in components commencing December 15, 2025 and ending February 12, 2026, which could be extended under certain circumstances.</w:t>
      </w:r>
    </w:p>
    <w:p>
      <w:pPr>
        <w:spacing w:after="0" w:line="207"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2026 Capped Calls are subject to either adjustment or termination upon the occurrence of specified extraordinary events affecting Helix, including a merger, tender offer, nationalization, insolvency or delisting. In addition, certain events may result in a termination of the 2026 Capped Calls, including changes in law, insolvency filings and hedging disruptions. The 2026 Capped Calls are recorded at their aggregate cost of $10.6 million as a reduction to common stock in the shareholders’ equity section of our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MARAD Debt</w:t>
      </w:r>
    </w:p>
    <w:p>
      <w:pPr>
        <w:spacing w:after="0" w:line="234"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 xml:space="preserve">In 2005, Helix’s subsidiary CDI – Title XI issued its U.S. Government Guaranteed Ship Financing Bonds, Q4000 Series, to refinance the construction financing originally granted in 2002 of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vessel (the “MARAD Debt”). The MARAD Debt is guaranteed by the U.S. government pursuant to Title XI of the Merchant Marine Act of 1936, administered by the Maritime Administration (“MARAD”). The obligation of CDI Title XI to reimburse MARAD in the event CDI Title XI fails to repay the MARAD Debt is collateralized by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is guaranteed 50% by us. In addition, we have agreed to bareboat charter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from CDI Title XI for so long as the MARAD Debt remains outstanding. The MARAD Debt is payable in equal semi-annual installments, matures in February 2027 and bears interest at a rate of 4.93%. The agreements relating to the bonds and the terms and conditions of our obligations to MARAD in respect of the MARAD Debt are typical for U.S. government-guaranteed ship financing transactions, including customary restrictions on incurring additional liens on the </w:t>
      </w:r>
      <w:r>
        <w:rPr>
          <w:rFonts w:ascii="Arial" w:cs="Arial" w:eastAsia="Arial" w:hAnsi="Arial"/>
          <w:sz w:val="18"/>
          <w:szCs w:val="18"/>
          <w:i w:val="1"/>
          <w:iCs w:val="1"/>
          <w:color w:val="auto"/>
        </w:rPr>
        <w:t xml:space="preserve">Q4000 </w:t>
      </w:r>
      <w:r>
        <w:rPr>
          <w:rFonts w:ascii="Arial" w:cs="Arial" w:eastAsia="Arial" w:hAnsi="Arial"/>
          <w:sz w:val="18"/>
          <w:szCs w:val="18"/>
          <w:color w:val="auto"/>
        </w:rPr>
        <w:t>and trading restrictions with respect to the vessel as well as working capital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3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accordance with the Amended ABL Facility, the 2023 Notes, the 2026 Notes and the MARAD Debt,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March 31, 2023, we were in compliance with these covenants.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net interest expense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4,869</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5,307</w:t>
            </w: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(682)</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w:t>
            </w:r>
          </w:p>
        </w:tc>
      </w:tr>
      <w:tr>
        <w:trPr>
          <w:trHeight w:val="196"/>
        </w:trPr>
        <w:tc>
          <w:tcPr>
            <w:tcW w:w="68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interest expense</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4,187</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5,174</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34"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We operate in multiple jurisdictions with complex tax laws subject to interpretation and judgment. We believe that our application of such laws and the tax impact thereof are reasonable and fairly presented in our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For the three-month periods ended March 31, 2023 and 2022, we recognized income tax (benefit) expense of $(2.0) million and $2.1 million, respectively, resulting in effective tax rates of 28.1% and (5.4)%, respectively. These variances were primarily attributable to the earnings mix between our higher and lower tax rate jurisdictions as well as losses for which no financial statement benefits have been recognized. The effective tax rate for the three-month period ended March 31, 2023 was higher than the U.S. statutory rate primarily due to certain non-deductible expenses and non-creditable foreign income taxes. For the three-month period ended March 31, 2022, our aggregate tax expense was greater than the aggregate tax benefit of our losses, resulting in negative effective tax rates. The effective tax rate for the three-month period ended March 31, 2022 was significantly lower than the U.S. statutory rate primarily due to non-creditable foreign income and deemed profit taxes, as well as losses without tax benefits.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 Repurchase Programs</w:t>
      </w:r>
    </w:p>
    <w:p>
      <w:pPr>
        <w:spacing w:after="0" w:line="234" w:lineRule="exact"/>
        <w:rPr>
          <w:sz w:val="20"/>
          <w:szCs w:val="20"/>
          <w:color w:val="auto"/>
        </w:rPr>
      </w:pPr>
    </w:p>
    <w:p>
      <w:pPr>
        <w:ind w:right="80" w:firstLine="648"/>
        <w:spacing w:after="0" w:line="253" w:lineRule="auto"/>
        <w:rPr>
          <w:sz w:val="20"/>
          <w:szCs w:val="20"/>
          <w:color w:val="auto"/>
        </w:rPr>
      </w:pPr>
      <w:r>
        <w:rPr>
          <w:rFonts w:ascii="Arial" w:cs="Arial" w:eastAsia="Arial" w:hAnsi="Arial"/>
          <w:sz w:val="17"/>
          <w:szCs w:val="17"/>
          <w:color w:val="auto"/>
        </w:rPr>
        <w:t>On February 20, 2023, we announced that our Board of Directors (our “Board”) authorized a new share repurchase program (the “2023 Repurchase Program”) under which we are authorized to repurchase up to $200 million issued and outstanding shares of our common stock. Concurrent with the authorization of the 2023 Repurchase Program, our Board revoked the prior authorization to repurchase shares of our common stock in an amount equal to any equity issued to our employees, officers and directors under our share-based compensation plans, including share-based awards under our existing long-term incentive plans and shares issued to our employees under our Employee Stock Purchase Plan (Note 11).</w:t>
      </w:r>
    </w:p>
    <w:p>
      <w:pPr>
        <w:spacing w:after="0" w:line="195"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2023 Repurchase Program has no set expiration date. Repurchases under the 2023 Repurchase Program are expected to be made through open market purchases in compliance with Rule 10b-18 under the Exchange Act, privately negotiated transactions or plans, instructions or contracts established under Rule 10b5-1 under the Exchange Act. The manner, timing and amount of any purchase will be determined by management based on an evaluation of market conditions, stock price, liquidity and other factors. The 2023 Repurchase Program does not obligate us to acquire any particular amount of common stock and may be modified or superseded at any time at our discretion. The purchase of shares by us under the 2023 Repurchase Program is at our discretion and subject to prevailing financial and market conditions. Any repurchased shares are expected to be cancelled. During the three-month period ended March 31, 2023, we repurchased a total of 660,000 shares of our common stock for approximately $5.0 million or an average of $7.55 per share pursuant to the 2023 Repurchase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from Contracts with 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34"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Our revenues are primarily derived from short-term and long-term service contracts with customers. Our service contracts generally contain either provisions for specific time, material and equipment charges that are billed in accordance with the terms of such contracts (dayrate contracts) or lump sum payment provisions (lump sum contracts). We record revenues net of taxes collected from customers and remitted to governmental authorities. Contracts are classified as long-term if all or part of the contract is to be performed over a period extending beyond 12 months from the effective date of the contract. Long-term contracts may include multi-year agreements whereby the commitment for services in any one year may be short in duration. The following table provides information about disaggregated revenue by contract duration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Shallow Water</w:t>
            </w: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Production</w:t>
            </w:r>
          </w:p>
        </w:tc>
        <w:tc>
          <w:tcPr>
            <w:tcW w:w="2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Intercompany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8"/>
              </w:rPr>
              <w:t>Intervention</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Robotics</w:t>
            </w:r>
          </w:p>
        </w:tc>
        <w:tc>
          <w:tcPr>
            <w:tcW w:w="200" w:type="dxa"/>
            <w:vAlign w:val="bottom"/>
          </w:tcPr>
          <w:p>
            <w:pPr>
              <w:spacing w:after="0"/>
              <w:rPr>
                <w:sz w:val="19"/>
                <w:szCs w:val="19"/>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Abandonment</w:t>
            </w:r>
          </w:p>
        </w:tc>
        <w:tc>
          <w:tcPr>
            <w:tcW w:w="1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Facilities</w:t>
            </w:r>
          </w:p>
        </w:tc>
        <w:tc>
          <w:tcPr>
            <w:tcW w:w="20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Three months ended March 31,</w:t>
            </w:r>
          </w:p>
        </w:tc>
        <w:tc>
          <w:tcPr>
            <w:tcW w:w="10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10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77,767</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35,205</w:t>
            </w:r>
          </w:p>
        </w:tc>
        <w:tc>
          <w:tcPr>
            <w:tcW w:w="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49,381</w:t>
            </w:r>
          </w:p>
        </w:tc>
        <w:tc>
          <w:tcPr>
            <w:tcW w:w="20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162,353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64,671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14,017</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20,905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(11,862)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87,731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80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142,438</w:t>
            </w:r>
          </w:p>
        </w:tc>
        <w:tc>
          <w:tcPr>
            <w:tcW w:w="2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49,222</w:t>
            </w:r>
          </w:p>
        </w:tc>
        <w:tc>
          <w:tcPr>
            <w:tcW w:w="2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49,381</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20,905</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(11,862)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250,084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March 31, 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108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91,346</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21,137</w:t>
            </w:r>
          </w:p>
        </w:tc>
        <w:tc>
          <w:tcPr>
            <w:tcW w:w="5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(635)</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111,848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15,021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16,214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18,294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38,277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106,367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37,351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18,294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17</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4"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Contract assets are rights to consideration in exchange for services that we have provided to a customer when those rights are conditioned on our future performance. Contract assets generally consist of (i) demobilization fees recognized ratably over the contract term but invoiced upon completion of the demobilization activities and (ii) revenue recognized in excess of the amount billed to the customer for lump sum contracts when the cost-to-cost method of revenue recognition is utilized. Contract assets are reflected in “Other current assets” in the accompanying condensed consolidated balance sheets (Note 4). Contract assets were $0.7 million as of March 31, 2023 and $6.3 million as of December 31, 2022. We had no credit losses on our contract assets for the three-month periods ended March 31, 2023 and 2022.</w:t>
      </w:r>
    </w:p>
    <w:p>
      <w:pPr>
        <w:spacing w:after="0" w:line="203"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Contract liabilities are obligations to provide future services to a customer for which we have already received, or have the unconditional right to receive, the consideration for those services from the customer. Contract liabilities may consist of (i) advance payments received from customers, including upfront mobilization fees allocated to a single performance obligation and recognized ratably over the contract term and/or (ii) amounts billed to the customer in excess of revenue recognized for lump sum contracts when the cost-to-cost method of revenue recognition is utilized. Contract liabilities are reflected as “Deferred revenue,” a component of “Accrued liabilities” and “Other non-current liabilities” in the accompanying condensed consolidated balance sheets (Note 4). Contract liabilities totaled $11.6 million as of March 31, 2023 and $10.0 million as of December 31, 2022. Revenue recognized for the three-month periods ended March 31, 2023 and 2022 included $3.9 million and $4.3 million, respectively, that were included in the contract liability balance at the beginning of each period.</w:t>
      </w:r>
    </w:p>
    <w:p>
      <w:pPr>
        <w:spacing w:after="0" w:line="206"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We report the net contract asset or contract liability position on a contract-by-contract basis at the end of each reporting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34"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As of March 31, 2023, $920.4 million related to unsatisfied performance obligations was expected to be recognized as revenue in the future, with $554.3 million, $363.6 million and $2.5 million in 2023, 2024 and 2025,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March 31, 2023.</w:t>
      </w:r>
    </w:p>
    <w:p>
      <w:pPr>
        <w:spacing w:after="0" w:line="205"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For the three-month periods ended March 31, 2023 and 2022, revenues recognized from performance obligations satisfied (or partially satisfied) in previous periods were immaterial.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Contract fulfillment costs consist of costs incurred in fulfilling a contract with a customer. Our contract fulfillment costs primarily relate to costs incurred for mobilization of personnel and equipment at the beginning of a contract and costs incurred for demobilization at the end of a contract. Mobilization costs are deferred and amortized ratably over the contract term (including anticipated contract extensions) based on the pattern of the provision of services to which the contract fulfillment costs relate. Demobilization costs are recognized when incurred at the end of the contract. Deferred contract costs are reflected as “Deferred costs,” a component of “Other current assets” and “Other assets, net” in the accompanying condensed consolidated balance sheets (Note 4). Our deferred contract costs totaled $32.0 million as of March 31, 2023 and $20.4 million as of December 31, 2022. For the three-month periods ended March 31, 2023 and 2022, we recorded $4.7 million and $4.6 million, respectively, related to amortization of these deferred contract costs. There were no associated impairment losses for any period presented.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regarding revenue recognition, see Notes 2 and 11 to our 2022 Form 10-K.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Earnings Per Share</w:t>
      </w:r>
    </w:p>
    <w:p>
      <w:pPr>
        <w:spacing w:after="0" w:line="234"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have shares of restricted stock issued and outstanding that are currently unvested. Because holders of shares of unvested restricted stock are entitled to the same liquidation and dividend rights as the holders of our unrestricted common stock, we are required to compute basic and diluted earnings per share (“EPS”) under the two-class method in periods in which we have earnings. Under the two-class method, net income or loss attributable to common shareholders for each period is allocated based on the participation rights of both common shareholders and the holders of any participating securities as if earnings for the respective periods had been distributed. For periods in which we have a net loss we do not use the two-class method as holders of our restricted shares are not obligated to share in such losses.</w:t>
      </w:r>
    </w:p>
    <w:p>
      <w:pPr>
        <w:spacing w:after="0" w:line="203"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Basic EPS is computed by dividing net income or loss available to common shareholders by the weighted average shares of our common stock outstanding. The calculation of diluted EPS is similar to that for basic EPS, except that the denominator includes dilutive common stock equivalents and the numerator excludes the effects of dilutive common stock equivalents, if any. The computations of the numerator (earnings or loss) and denominator (shares) to derive the basic and diluted EPS amounts presented on the face of the accompanying condensed consolidated statements of operations are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9"/>
              </w:rPr>
              <w:t>Three Months Ended</w:t>
            </w:r>
          </w:p>
        </w:tc>
      </w:tr>
      <w:tr>
        <w:trPr>
          <w:trHeight w:val="225"/>
        </w:trPr>
        <w:tc>
          <w:tcPr>
            <w:tcW w:w="4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March 31, 2023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w w:val="99"/>
              </w:rPr>
              <w:t>March 31, 2022</w:t>
            </w:r>
          </w:p>
        </w:tc>
      </w:tr>
      <w:tr>
        <w:trPr>
          <w:trHeight w:val="196"/>
        </w:trPr>
        <w:tc>
          <w:tcPr>
            <w:tcW w:w="4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Income</w:t>
            </w:r>
          </w:p>
        </w:tc>
        <w:tc>
          <w:tcPr>
            <w:tcW w:w="8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90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Net loss attributable to common shareholders</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(5,165)</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(42,031)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46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available to common shareholders</w:t>
            </w: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(5,165)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151,764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(42,031)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151,142</w:t>
            </w:r>
          </w:p>
        </w:tc>
      </w:tr>
      <w:tr>
        <w:trPr>
          <w:trHeight w:val="20"/>
        </w:trPr>
        <w:tc>
          <w:tcPr>
            <w:tcW w:w="4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We had net losses for the three-month periods ended March 31, 2023 and 2022. Accordingly, our diluted EPS calculation for these periods excluded any assumed exercise or conversion of common stock equivalents. These common stock equivalents were excluded because they were deemed to be anti-dilutive, meaning their inclusion would have reduced the reported net loss per share in the applicable periods. Shares that otherwise would have been included in the diluted per share calculations assuming we had earnings are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tcPr>
          <w:p>
            <w:pPr>
              <w:spacing w:after="0"/>
              <w:rPr>
                <w:sz w:val="18"/>
                <w:szCs w:val="18"/>
                <w:color w:val="auto"/>
              </w:rPr>
            </w:pPr>
          </w:p>
        </w:tc>
        <w:tc>
          <w:tcPr>
            <w:tcW w:w="28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Three Months Ended</w:t>
            </w:r>
          </w:p>
        </w:tc>
      </w:tr>
      <w:tr>
        <w:trPr>
          <w:trHeight w:val="225"/>
        </w:trPr>
        <w:tc>
          <w:tcPr>
            <w:tcW w:w="7040" w:type="dxa"/>
            <w:vAlign w:val="bottom"/>
          </w:tcPr>
          <w:p>
            <w:pPr>
              <w:spacing w:after="0"/>
              <w:rPr>
                <w:sz w:val="19"/>
                <w:szCs w:val="19"/>
                <w:color w:val="auto"/>
              </w:rPr>
            </w:pPr>
          </w:p>
        </w:tc>
        <w:tc>
          <w:tcPr>
            <w:tcW w:w="192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8"/>
              </w:rPr>
              <w:t>March 31,</w:t>
            </w:r>
          </w:p>
        </w:tc>
        <w:tc>
          <w:tcPr>
            <w:tcW w:w="960" w:type="dxa"/>
            <w:vAlign w:val="bottom"/>
            <w:tcBorders>
              <w:bottom w:val="single" w:sz="8" w:color="auto"/>
            </w:tcBorders>
          </w:tcPr>
          <w:p>
            <w:pPr>
              <w:spacing w:after="0"/>
              <w:rPr>
                <w:sz w:val="19"/>
                <w:szCs w:val="19"/>
                <w:color w:val="auto"/>
              </w:rPr>
            </w:pPr>
          </w:p>
        </w:tc>
      </w:tr>
      <w:tr>
        <w:trPr>
          <w:trHeight w:val="196"/>
        </w:trPr>
        <w:tc>
          <w:tcPr>
            <w:tcW w:w="70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shares (as reported)</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151,764</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151,142</w:t>
            </w:r>
          </w:p>
        </w:tc>
      </w:tr>
      <w:tr>
        <w:trPr>
          <w:trHeight w:val="203"/>
        </w:trPr>
        <w:tc>
          <w:tcPr>
            <w:tcW w:w="70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Share-based awards</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2,740</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953</w:t>
            </w:r>
          </w:p>
        </w:tc>
      </w:tr>
      <w:tr>
        <w:trPr>
          <w:trHeight w:val="196"/>
        </w:trPr>
        <w:tc>
          <w:tcPr>
            <w:tcW w:w="70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154,504</w:t>
            </w: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152,095</w:t>
            </w:r>
          </w:p>
        </w:tc>
      </w:tr>
      <w:tr>
        <w:trPr>
          <w:trHeight w:val="20"/>
        </w:trPr>
        <w:tc>
          <w:tcPr>
            <w:tcW w:w="7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00" w:firstLine="648"/>
        <w:spacing w:after="0" w:line="246" w:lineRule="auto"/>
        <w:rPr>
          <w:sz w:val="20"/>
          <w:szCs w:val="20"/>
          <w:color w:val="auto"/>
        </w:rPr>
      </w:pPr>
      <w:r>
        <w:rPr>
          <w:rFonts w:ascii="Arial" w:cs="Arial" w:eastAsia="Arial" w:hAnsi="Arial"/>
          <w:sz w:val="18"/>
          <w:szCs w:val="18"/>
          <w:color w:val="auto"/>
        </w:rPr>
        <w:t>The following potentially dilutive shares related to the 2022 Notes, the 2023 Notes and the 2026 Notes were excluded from the diluted EPS calculation as they were anti-dilutive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8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Three Months Ended</w:t>
            </w:r>
          </w:p>
        </w:tc>
      </w:tr>
      <w:tr>
        <w:trPr>
          <w:trHeight w:val="225"/>
        </w:trPr>
        <w:tc>
          <w:tcPr>
            <w:tcW w:w="29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92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196"/>
        </w:trPr>
        <w:tc>
          <w:tcPr>
            <w:tcW w:w="2900" w:type="dxa"/>
            <w:vAlign w:val="bottom"/>
            <w:tcBorders>
              <w:bottom w:val="single" w:sz="8" w:color="CCEEFF"/>
            </w:tcBorders>
          </w:tcPr>
          <w:p>
            <w:pPr>
              <w:spacing w:after="0"/>
              <w:rPr>
                <w:sz w:val="17"/>
                <w:szCs w:val="17"/>
                <w:color w:val="auto"/>
              </w:rPr>
            </w:pPr>
          </w:p>
        </w:tc>
        <w:tc>
          <w:tcPr>
            <w:tcW w:w="41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2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2022 Notes</w:t>
            </w:r>
          </w:p>
        </w:tc>
        <w:tc>
          <w:tcPr>
            <w:tcW w:w="4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2,435</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2023 Notes</w:t>
            </w:r>
          </w:p>
        </w:tc>
        <w:tc>
          <w:tcPr>
            <w:tcW w:w="5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3,168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 Notes</w:t>
            </w:r>
          </w:p>
        </w:tc>
        <w:tc>
          <w:tcPr>
            <w:tcW w:w="5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r>
      <w:tr>
        <w:trPr>
          <w:trHeight w:val="864"/>
        </w:trPr>
        <w:tc>
          <w:tcPr>
            <w:tcW w:w="2900" w:type="dxa"/>
            <w:vAlign w:val="bottom"/>
          </w:tcPr>
          <w:p>
            <w:pPr>
              <w:spacing w:after="0"/>
              <w:rPr>
                <w:sz w:val="24"/>
                <w:szCs w:val="24"/>
                <w:color w:val="auto"/>
              </w:rPr>
            </w:pPr>
          </w:p>
        </w:tc>
        <w:tc>
          <w:tcPr>
            <w:tcW w:w="4140" w:type="dxa"/>
            <w:vAlign w:val="bottom"/>
          </w:tcPr>
          <w:p>
            <w:pPr>
              <w:jc w:val="right"/>
              <w:ind w:right="1890"/>
              <w:spacing w:after="0"/>
              <w:rPr>
                <w:sz w:val="20"/>
                <w:szCs w:val="20"/>
                <w:color w:val="auto"/>
              </w:rPr>
            </w:pPr>
            <w:r>
              <w:rPr>
                <w:rFonts w:ascii="Arial" w:cs="Arial" w:eastAsia="Arial" w:hAnsi="Arial"/>
                <w:sz w:val="18"/>
                <w:szCs w:val="18"/>
                <w:color w:val="auto"/>
              </w:rPr>
              <w:t>19</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33"/>
        </w:trPr>
        <w:tc>
          <w:tcPr>
            <w:tcW w:w="29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34" w:lineRule="exact"/>
        <w:rPr>
          <w:sz w:val="20"/>
          <w:szCs w:val="20"/>
          <w:color w:val="auto"/>
        </w:rPr>
      </w:pPr>
    </w:p>
    <w:p>
      <w:pPr>
        <w:ind w:right="380" w:firstLine="648"/>
        <w:spacing w:after="0"/>
        <w:rPr>
          <w:sz w:val="20"/>
          <w:szCs w:val="20"/>
          <w:color w:val="auto"/>
        </w:rPr>
      </w:pPr>
      <w:r>
        <w:rPr>
          <w:rFonts w:ascii="Arial" w:cs="Arial" w:eastAsia="Arial" w:hAnsi="Arial"/>
          <w:sz w:val="18"/>
          <w:szCs w:val="18"/>
          <w:color w:val="auto"/>
        </w:rPr>
        <w:t>As of March 31, 2023, there were 3.5 million shares of our common stock available for issuance under our 2005 Long-Term Incentive Plan, as amended and restated (the “2005 Incentive Plan”). During the three-month period ended March 31, 2023, the following grants of share-based awards were made under the 2005 Incentive Plan: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Grant Date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Fair Value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25"/>
        </w:trPr>
        <w:tc>
          <w:tcPr>
            <w:tcW w:w="194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220" w:type="dxa"/>
            <w:vAlign w:val="bottom"/>
          </w:tcPr>
          <w:p>
            <w:pPr>
              <w:spacing w:after="0"/>
              <w:rPr>
                <w:sz w:val="19"/>
                <w:szCs w:val="19"/>
                <w:color w:val="auto"/>
              </w:rPr>
            </w:pPr>
          </w:p>
        </w:tc>
        <w:tc>
          <w:tcPr>
            <w:tcW w:w="1720" w:type="dxa"/>
            <w:vAlign w:val="bottom"/>
            <w:gridSpan w:val="3"/>
          </w:tcPr>
          <w:p>
            <w:pPr>
              <w:ind w:left="240"/>
              <w:spacing w:after="0"/>
              <w:rPr>
                <w:sz w:val="20"/>
                <w:szCs w:val="20"/>
                <w:color w:val="auto"/>
              </w:rPr>
            </w:pPr>
            <w:r>
              <w:rPr>
                <w:rFonts w:ascii="Arial" w:cs="Arial" w:eastAsia="Arial" w:hAnsi="Arial"/>
                <w:sz w:val="18"/>
                <w:szCs w:val="18"/>
                <w:b w:val="1"/>
                <w:bCs w:val="1"/>
                <w:color w:val="auto"/>
              </w:rPr>
              <w:t>Award Type</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Shares/Units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Per Share/Unit</w:t>
            </w:r>
          </w:p>
        </w:tc>
        <w:tc>
          <w:tcPr>
            <w:tcW w:w="240" w:type="dxa"/>
            <w:vAlign w:val="bottom"/>
          </w:tcPr>
          <w:p>
            <w:pPr>
              <w:spacing w:after="0"/>
              <w:rPr>
                <w:sz w:val="19"/>
                <w:szCs w:val="19"/>
                <w:color w:val="auto"/>
              </w:rPr>
            </w:pPr>
          </w:p>
        </w:tc>
        <w:tc>
          <w:tcPr>
            <w:tcW w:w="2660" w:type="dxa"/>
            <w:vAlign w:val="bottom"/>
          </w:tcPr>
          <w:p>
            <w:pPr>
              <w:ind w:left="700"/>
              <w:spacing w:after="0"/>
              <w:rPr>
                <w:sz w:val="20"/>
                <w:szCs w:val="20"/>
                <w:color w:val="auto"/>
              </w:rPr>
            </w:pPr>
            <w:r>
              <w:rPr>
                <w:rFonts w:ascii="Arial" w:cs="Arial" w:eastAsia="Arial" w:hAnsi="Arial"/>
                <w:sz w:val="18"/>
                <w:szCs w:val="18"/>
                <w:b w:val="1"/>
                <w:bCs w:val="1"/>
                <w:color w:val="auto"/>
              </w:rPr>
              <w:t>Vesting Period</w:t>
            </w:r>
          </w:p>
        </w:tc>
      </w:tr>
      <w:tr>
        <w:trPr>
          <w:trHeight w:val="196"/>
        </w:trPr>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6"/>
                <w:szCs w:val="16"/>
                <w:color w:val="auto"/>
              </w:rPr>
              <w:t xml:space="preserve">January 1, 2023 </w:t>
            </w:r>
            <w:r>
              <w:rPr>
                <w:rFonts w:ascii="Arial" w:cs="Arial" w:eastAsia="Arial" w:hAnsi="Arial"/>
                <w:sz w:val="22"/>
                <w:szCs w:val="22"/>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RSU</w:t>
            </w: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506,436</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7.38</w:t>
            </w:r>
          </w:p>
        </w:tc>
        <w:tc>
          <w:tcPr>
            <w:tcW w:w="24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33% per year over three years</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6"/>
                <w:szCs w:val="16"/>
                <w:color w:val="auto"/>
              </w:rPr>
              <w:t xml:space="preserve">January 3, 2023 </w:t>
            </w:r>
            <w:r>
              <w:rPr>
                <w:rFonts w:ascii="Arial" w:cs="Arial" w:eastAsia="Arial" w:hAnsi="Arial"/>
                <w:sz w:val="23"/>
                <w:szCs w:val="23"/>
                <w:color w:val="auto"/>
                <w:vertAlign w:val="superscript"/>
              </w:rPr>
              <w:t>(1)</w:t>
            </w:r>
          </w:p>
        </w:tc>
        <w:tc>
          <w:tcPr>
            <w:tcW w:w="194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PSU</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489,498</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9.26</w:t>
            </w:r>
          </w:p>
        </w:tc>
        <w:tc>
          <w:tcPr>
            <w:tcW w:w="29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100% on December 31, 2025</w:t>
            </w: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January 1, 2023 </w:t>
            </w:r>
            <w:r>
              <w:rPr>
                <w:rFonts w:ascii="Arial" w:cs="Arial" w:eastAsia="Arial" w:hAnsi="Arial"/>
                <w:sz w:val="23"/>
                <w:szCs w:val="23"/>
                <w:color w:val="auto"/>
                <w:vertAlign w:val="superscript"/>
              </w:rPr>
              <w:t>(2)</w:t>
            </w:r>
          </w:p>
        </w:tc>
        <w:tc>
          <w:tcPr>
            <w:tcW w:w="194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9,210</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w:t>
            </w:r>
          </w:p>
        </w:tc>
        <w:tc>
          <w:tcPr>
            <w:tcW w:w="29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100% on January 1, 2025</w:t>
            </w:r>
          </w:p>
        </w:tc>
      </w:tr>
      <w:tr>
        <w:trPr>
          <w:trHeight w:val="108"/>
        </w:trPr>
        <w:tc>
          <w:tcPr>
            <w:tcW w:w="1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60" w:type="dxa"/>
            <w:vAlign w:val="bottom"/>
          </w:tcPr>
          <w:p>
            <w:pPr>
              <w:spacing w:after="0"/>
              <w:rPr>
                <w:sz w:val="9"/>
                <w:szCs w:val="9"/>
                <w:color w:val="auto"/>
              </w:rPr>
            </w:pPr>
          </w:p>
        </w:tc>
      </w:tr>
    </w:tbl>
    <w:p>
      <w:pPr>
        <w:spacing w:after="0" w:line="9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grants to our executive officers.</w:t>
      </w:r>
    </w:p>
    <w:p>
      <w:pPr>
        <w:spacing w:after="0" w:line="103" w:lineRule="exact"/>
        <w:rPr>
          <w:rFonts w:ascii="Arial" w:cs="Arial" w:eastAsia="Arial" w:hAnsi="Arial"/>
          <w:sz w:val="18"/>
          <w:szCs w:val="18"/>
          <w:color w:val="auto"/>
        </w:rPr>
      </w:pPr>
    </w:p>
    <w:p>
      <w:pPr>
        <w:ind w:left="660" w:right="160" w:hanging="652"/>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grants to certain independent members of our Board who have elected to take their quarterly fees in stock in lieu of cash.</w:t>
      </w:r>
    </w:p>
    <w:p>
      <w:pPr>
        <w:spacing w:after="0" w:line="197"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Compensation cost for restricted stock is the product of the grant date fair value of each share and the number of shares granted and is recognized over the applicable vesting period on a straight-line basis. Forfeitures are recognized as they occur. No restricted stock awards have been granted to our executive officers or other employees since 2020. For the three-month periods ended March 31, 2023 and 2022, $0.3 million and $0.6 million, respectively, were recognized as share-based compensation related to restricted stock.</w:t>
      </w:r>
    </w:p>
    <w:p>
      <w:pPr>
        <w:spacing w:after="0" w:line="202"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Our performance share units (“PSUs”) that were granted prior to 2021 are to be settled solely in shares of our common stock and are accounted for as equity awards. Those PSUs, which contain a service and a market condition, are based on the performance of our common stock against peer group companies. Our PSUs granted beginning 2021 may be settled in either cash or shares of our common stock upon vesting at the discretion of the Compensation Committee of our Board and have been accounted for as equity awards. Those PSUs consist of two components: (i) 50% based on the performance of our common stock against peer group companies, which component contains a service and a market condition, and (ii) 50% based on cumulative total Free Cash Flow, which component contains a service and a performance condition. Free Cash Flow is calculated as cash flows from operating activities less capital expenditures, net of proceeds from sale of assets. Our PSUs cliff vest at the end of a three-year period with the maximum amount of the award being 200% of the original PSU awards and the minimum amount being zero.</w:t>
      </w:r>
    </w:p>
    <w:p>
      <w:pPr>
        <w:spacing w:after="0" w:line="206"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For PSUs with a service and a market condition that are accounted for as equity awards, compensation cost is measured based on the grant date estimated fair value determined using a Monte Carlo simulation model and subsequently recognized over the vesting period on a straight-line basis. For PSUs with a service and a performance condition that are accounted for as equity awards, compensation cost is initially measured based on the grant date fair value. Cumulative compensation cost is subsequently adjusted at the end of each reporting period to reflect the current estimation of achieving the performance condition. For the three-month periods ended March 31, 2023 and 2022, $1.2 million and $1.1 million, respectively, were recognized as share-based compensation related to PSUs. In January 2023, based on the performance of our common stock price as compared to our performance peer group over a three-year period, 369,938 PSUs granted in 2020 vested at 77%, representing 285,778 shares of our common stock with a total market value of $3.6 million.</w:t>
      </w:r>
    </w:p>
    <w:p>
      <w:pPr>
        <w:spacing w:after="0" w:line="207"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Our restricted stock units (“RSUs”) granted beginning 2021 may be settled in either cash or shares of our common stock upon vesting at the discretion of the Compensation Committee and have been accounted for as liability awards. Liability RSUs are measured at their estimated fair value based on the closing share price of our common stock as of each balance sheet date, and subsequent changes in the fair value of the awards are recognized in earnings for the portion of the award for which the requisite service period has elapsed. Cumulative compensation cost for vested liability RSUs equals the actual payout value upon vesting. For the three-month periods ended March 31, 2023 and 2022, $1.2 million and $0.6 million, respectively, were recognized as compensation cost.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In 2023 and 2022, we granted fixed-value cash awards of $6.0 million and $5.5 million, respectively, to select management employees under the 2005 Incentive Plan. The value of these cash awards is recognized on a straight-line basis over a vesting period of three years. For the three-month periods ended March 31, 2023 and 2022, $1.2 million and $1.0 million, respectively, were recognized as compensation cost.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3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sponsor a defined contribution 401(k) retirement plan (the “401(k) Plan”). Our discretionary contributions are in the form of cash and consist of a 50% match of each participant’s contribution up to 5% of the participant’s salary. For the three-month periods ended March 31, 2023 and 2022, we made $0.6 million and $0.4 million, respectively, in contributions to the 401(k)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34"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We have an employee stock purchase plan (the “ESPP”). As of March 31, 2023, 1.3 million shares were available for issuance under the ESPP. The ESPP currently has a purchase limit of 260 shares per employee per purchase period.</w:t>
      </w:r>
    </w:p>
    <w:p>
      <w:pPr>
        <w:spacing w:after="0" w:line="197"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For more information regarding our employee benefit plans, including the 2005 Incentive Plan and the ESPP, see Note 13 to our 2022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Information</w:t>
      </w:r>
    </w:p>
    <w:p>
      <w:pPr>
        <w:spacing w:after="0" w:line="234" w:lineRule="exact"/>
        <w:rPr>
          <w:sz w:val="20"/>
          <w:szCs w:val="20"/>
          <w:color w:val="auto"/>
        </w:rPr>
      </w:pPr>
    </w:p>
    <w:p>
      <w:pPr>
        <w:ind w:right="320" w:firstLine="648"/>
        <w:spacing w:after="0" w:line="238" w:lineRule="auto"/>
        <w:rPr>
          <w:sz w:val="20"/>
          <w:szCs w:val="20"/>
          <w:color w:val="auto"/>
        </w:rPr>
      </w:pPr>
      <w:r>
        <w:rPr>
          <w:rFonts w:ascii="Arial" w:cs="Arial" w:eastAsia="Arial" w:hAnsi="Arial"/>
          <w:sz w:val="18"/>
          <w:szCs w:val="18"/>
          <w:color w:val="auto"/>
        </w:rPr>
        <w:t>Through the second quarter 2022, we had three reportable business segments: Well Intervention, Robotics and Production Facilities. Beginning in the third quarter 2022 as a result of the Alliance acquisition (Note 3), we formed a new reportable business segment: Shallow Water Abandonment, which includes the assets, liabilities and operating results of Helix Alliance. All material intercompany transactions between the segments have been eliminated.</w:t>
      </w:r>
    </w:p>
    <w:p>
      <w:pPr>
        <w:spacing w:after="0" w:line="205"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 xml:space="preserve">Our U.S., U.K. and Brazil Well Intervention operating segments are aggregated into the Well Intervention segment for financial reporting purposes. Our Well Intervention segment provides services enabling our customers to safely access offshore wells for the purpose of performing production enhancement or decommissioning operations globally.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Siem Helix 2 </w:t>
      </w:r>
      <w:r>
        <w:rPr>
          <w:rFonts w:ascii="Arial" w:cs="Arial" w:eastAsia="Arial" w:hAnsi="Arial"/>
          <w:sz w:val="18"/>
          <w:szCs w:val="18"/>
          <w:color w:val="auto"/>
        </w:rPr>
        <w:t>chartered vessels. Our well intervention equipment includes intervention systems, some of which we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on a stand-alone basis.</w:t>
      </w:r>
    </w:p>
    <w:p>
      <w:pPr>
        <w:spacing w:after="0" w:line="205"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Our Robotics segment provides trenching, seabed clearance, offshore construction and IRM services to both the oil and gas and the renewable energy markets globally. Additionally, our Robotics services are used in and complement our well intervention services. Our Robotics segment includes ROVs, trenchers, the IROV boulder grab and robotics support vessels under term charters as well as spot vessels as needed. We offer our ROVs, trenchers and the IROV on a stand-alone basis or on an integrated basis with chartered robotics support vessels.</w:t>
      </w:r>
    </w:p>
    <w:p>
      <w:pPr>
        <w:spacing w:after="0" w:line="20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Our Shallow Water Abandonment segment provides services in support of the upstream and midstream ‎industries in the Gulf of Mexico shelf, including offshore oilfield decommissioning and ‎reclamation, project management, engineered solutions, intervention, maintenance, repair, heavy lift and commercial diving services. Our Shallow Water Abandonment segment operates a diversified fleet of marine assets including liftboats, OSVs, DSVs, a heavy lift derrick barge, a crew boat and P&amp;A and coiled tubing systems.</w:t>
      </w:r>
    </w:p>
    <w:p>
      <w:pPr>
        <w:spacing w:after="0" w:line="184" w:lineRule="exact"/>
        <w:rPr>
          <w:sz w:val="20"/>
          <w:szCs w:val="20"/>
          <w:color w:val="auto"/>
        </w:rPr>
      </w:pPr>
    </w:p>
    <w:p>
      <w:pPr>
        <w:ind w:right="760" w:firstLine="648"/>
        <w:spacing w:after="0" w:line="267" w:lineRule="auto"/>
        <w:rPr>
          <w:sz w:val="20"/>
          <w:szCs w:val="20"/>
          <w:color w:val="auto"/>
        </w:rPr>
      </w:pPr>
      <w:r>
        <w:rPr>
          <w:rFonts w:ascii="Arial" w:cs="Arial" w:eastAsia="Arial" w:hAnsi="Arial"/>
          <w:sz w:val="18"/>
          <w:szCs w:val="18"/>
          <w:color w:val="auto"/>
        </w:rPr>
        <w:t xml:space="preserve">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oil and gas properties (Note 13).</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400" w:firstLine="648"/>
        <w:spacing w:after="0" w:line="246" w:lineRule="auto"/>
        <w:rPr>
          <w:sz w:val="20"/>
          <w:szCs w:val="20"/>
          <w:color w:val="auto"/>
        </w:rPr>
      </w:pPr>
      <w:r>
        <w:rPr>
          <w:rFonts w:ascii="Arial" w:cs="Arial" w:eastAsia="Arial" w:hAnsi="Arial"/>
          <w:sz w:val="18"/>
          <w:szCs w:val="18"/>
          <w:color w:val="auto"/>
        </w:rPr>
        <w:t>We evaluate our performance based on operating income of each reportable segment. Certain financial data by reportable segment are summarized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142,438</w:t>
            </w:r>
          </w:p>
        </w:tc>
        <w:tc>
          <w:tcPr>
            <w:tcW w:w="26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106,367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49,222</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49,381</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20,905</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300" w:type="dxa"/>
            <w:vAlign w:val="bottom"/>
          </w:tcPr>
          <w:p>
            <w:pPr>
              <w:spacing w:after="0"/>
              <w:rPr>
                <w:sz w:val="17"/>
                <w:szCs w:val="17"/>
                <w:color w:val="auto"/>
              </w:rPr>
            </w:pP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(11,862)</w:t>
            </w: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(11,887)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250,084</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 —</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(8,143)</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(31,758)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5,094</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6,822</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5,157</w:t>
            </w: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Pr>
          <w:p>
            <w:pPr>
              <w:ind w:left="200"/>
              <w:spacing w:after="0" w:line="196" w:lineRule="exact"/>
              <w:rPr>
                <w:sz w:val="20"/>
                <w:szCs w:val="20"/>
                <w:color w:val="auto"/>
              </w:rPr>
            </w:pPr>
            <w:r>
              <w:rPr>
                <w:rFonts w:ascii="Arial" w:cs="Arial" w:eastAsia="Arial" w:hAnsi="Arial"/>
                <w:sz w:val="18"/>
                <w:szCs w:val="18"/>
                <w:color w:val="auto"/>
              </w:rPr>
              <w:t>Segment operating income (loss)</w:t>
            </w:r>
          </w:p>
        </w:tc>
        <w:tc>
          <w:tcPr>
            <w:tcW w:w="3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8,930</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(24,427)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(3,992)</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Corporate, eliminations and other</w:t>
            </w:r>
          </w:p>
        </w:tc>
        <w:tc>
          <w:tcPr>
            <w:tcW w:w="300" w:type="dxa"/>
            <w:vAlign w:val="bottom"/>
          </w:tcPr>
          <w:p>
            <w:pPr>
              <w:spacing w:after="0"/>
              <w:rPr>
                <w:sz w:val="17"/>
                <w:szCs w:val="17"/>
                <w:color w:val="auto"/>
              </w:rPr>
            </w:pP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(13,241)</w:t>
            </w: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(8,303)</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246"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40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19"/>
                <w:szCs w:val="19"/>
                <w:color w:val="auto"/>
              </w:rPr>
            </w:pPr>
          </w:p>
        </w:tc>
      </w:tr>
      <w:tr>
        <w:trPr>
          <w:trHeight w:val="196"/>
        </w:trPr>
        <w:tc>
          <w:tcPr>
            <w:tcW w:w="4080" w:type="dxa"/>
            <w:vAlign w:val="bottom"/>
            <w:tcBorders>
              <w:bottom w:val="single" w:sz="8" w:color="CCEEFF"/>
            </w:tcBorders>
          </w:tcPr>
          <w:p>
            <w:pPr>
              <w:spacing w:after="0"/>
              <w:rPr>
                <w:sz w:val="17"/>
                <w:szCs w:val="17"/>
                <w:color w:val="auto"/>
              </w:rPr>
            </w:pPr>
          </w:p>
        </w:tc>
        <w:tc>
          <w:tcPr>
            <w:tcW w:w="27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27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4,469</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3,850</w:t>
            </w:r>
          </w:p>
        </w:tc>
      </w:tr>
      <w:tr>
        <w:trPr>
          <w:trHeight w:val="203"/>
        </w:trPr>
        <w:tc>
          <w:tcPr>
            <w:tcW w:w="4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Robotics</w:t>
            </w:r>
          </w:p>
        </w:tc>
        <w:tc>
          <w:tcPr>
            <w:tcW w:w="27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7,393</w:t>
            </w:r>
          </w:p>
        </w:tc>
        <w:tc>
          <w:tcPr>
            <w:tcW w:w="2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8,037</w:t>
            </w:r>
          </w:p>
        </w:tc>
      </w:tr>
      <w:tr>
        <w:trPr>
          <w:trHeight w:val="196"/>
        </w:trPr>
        <w:tc>
          <w:tcPr>
            <w:tcW w:w="408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27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11,862</w:t>
            </w: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11,887</w:t>
            </w:r>
          </w:p>
        </w:tc>
      </w:tr>
      <w:tr>
        <w:trPr>
          <w:trHeight w:val="20"/>
        </w:trPr>
        <w:tc>
          <w:tcPr>
            <w:tcW w:w="40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Segment assets are comprised of all assets attributable to each reportable segment. Corporate and other includes all assets not directly identifiable with our business segments, most notably the majority of our cash and cash equivalents. The following table reflects total assets by reportable segment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360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3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1,795,612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1,796,269</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183,986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192,694</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3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205,544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206,944</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Production Facilities</w:t>
            </w: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128,262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136,382</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and other</w:t>
            </w:r>
          </w:p>
        </w:tc>
        <w:tc>
          <w:tcPr>
            <w:tcW w:w="3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55,930</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57,049</w:t>
            </w:r>
          </w:p>
        </w:tc>
        <w:tc>
          <w:tcPr>
            <w:tcW w:w="0" w:type="dxa"/>
            <w:vAlign w:val="bottom"/>
          </w:tcPr>
          <w:p>
            <w:pPr>
              <w:spacing w:after="0"/>
              <w:rPr>
                <w:sz w:val="1"/>
                <w:szCs w:val="1"/>
                <w:color w:val="auto"/>
              </w:rPr>
            </w:pPr>
          </w:p>
        </w:tc>
      </w:tr>
      <w:tr>
        <w:trPr>
          <w:trHeight w:val="196"/>
        </w:trPr>
        <w:tc>
          <w:tcPr>
            <w:tcW w:w="360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32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2,369,334</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2,389,338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200" w:type="dxa"/>
            <w:vAlign w:val="bottom"/>
            <w:vMerge w:val="restart"/>
          </w:tcPr>
          <w:p>
            <w:pPr>
              <w:jc w:val="right"/>
              <w:ind w:right="165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36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Asset Retirement Obligations</w:t>
      </w:r>
    </w:p>
    <w:p>
      <w:pPr>
        <w:spacing w:after="0" w:line="234"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Our asset retirement obligations (“AROs”) relate to mature offshore oil and gas properties that we acquired with the intention to perform decommissioning work at the end of their life cycles. AROs are recorded initially at fair value and consist of estimated costs for subsea infrastructure decommissioning and P&amp;A activities associated with our oil and gas properties. The estimated costs are discounted to present value using a credit-adjusted risk-free discount rate. After its initial recognition, an ARO liability is increased for the passage of time as accretion expense, which is a component of our depreciation and amortization expense. An ARO liability may also change based on revisions in estimated costs and/or timing to settle the obligations.</w:t>
      </w:r>
    </w:p>
    <w:p>
      <w:pPr>
        <w:spacing w:after="0" w:line="203"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In August 2022, we made an asset acquisition from MP Gulf of Mexico, LLC (“MP GOM”), a joint venture controlled by Murphy Exploration &amp; Production Company – USA, for all of MP GOM’s 62.5% interest in the Thunder Hawk Field, in exchange for the assumption of MP GOM’s abandonment obligations (initially estimated at $23.6 million). Our AROs also include P&amp;A costs associated with our Droshky oil and gas properties (Note 4). The following table describes the changes in our AROs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196"/>
        </w:trPr>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AROs at January 1,</w:t>
            </w:r>
          </w:p>
        </w:tc>
        <w:tc>
          <w:tcPr>
            <w:tcW w:w="26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51,956</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29,658</w:t>
            </w:r>
          </w:p>
        </w:tc>
      </w:tr>
      <w:tr>
        <w:trPr>
          <w:trHeight w:val="203"/>
        </w:trPr>
        <w:tc>
          <w:tcPr>
            <w:tcW w:w="42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Accretion expense</w:t>
            </w:r>
          </w:p>
        </w:tc>
        <w:tc>
          <w:tcPr>
            <w:tcW w:w="26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1,168</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741</w:t>
            </w:r>
          </w:p>
        </w:tc>
      </w:tr>
      <w:tr>
        <w:trPr>
          <w:trHeight w:val="196"/>
        </w:trPr>
        <w:tc>
          <w:tcPr>
            <w:tcW w:w="4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AROs at March 31,</w:t>
            </w:r>
          </w:p>
        </w:tc>
        <w:tc>
          <w:tcPr>
            <w:tcW w:w="26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53,124</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30,399</w:t>
            </w:r>
          </w:p>
        </w:tc>
      </w:tr>
      <w:tr>
        <w:trPr>
          <w:trHeight w:val="20"/>
        </w:trPr>
        <w:tc>
          <w:tcPr>
            <w:tcW w:w="4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 and Other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16"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 xml:space="preserve">In January 2023, we entered into a three-year charter agreement for the </w:t>
      </w:r>
      <w:r>
        <w:rPr>
          <w:rFonts w:ascii="Arial" w:cs="Arial" w:eastAsia="Arial" w:hAnsi="Arial"/>
          <w:sz w:val="18"/>
          <w:szCs w:val="18"/>
          <w:i w:val="1"/>
          <w:iCs w:val="1"/>
          <w:color w:val="auto"/>
        </w:rPr>
        <w:t>Glomar Wave</w:t>
      </w:r>
      <w:r>
        <w:rPr>
          <w:rFonts w:ascii="Arial" w:cs="Arial" w:eastAsia="Arial" w:hAnsi="Arial"/>
          <w:sz w:val="18"/>
          <w:szCs w:val="18"/>
          <w:color w:val="auto"/>
        </w:rPr>
        <w:t xml:space="preserve"> in the North Sea with options to extend. We have long-term charter agreements with Siem Offshore AS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vessels expiring in February 2025 and February 2027, respectively, with options to extend. We have time charter agreements for the </w:t>
      </w:r>
      <w:r>
        <w:rPr>
          <w:rFonts w:ascii="Arial" w:cs="Arial" w:eastAsia="Arial" w:hAnsi="Arial"/>
          <w:sz w:val="18"/>
          <w:szCs w:val="18"/>
          <w:i w:val="1"/>
          <w:iCs w:val="1"/>
          <w:color w:val="auto"/>
        </w:rPr>
        <w:t xml:space="preserve">Grand Canyon II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Canyon III </w:t>
      </w:r>
      <w:r>
        <w:rPr>
          <w:rFonts w:ascii="Arial" w:cs="Arial" w:eastAsia="Arial" w:hAnsi="Arial"/>
          <w:sz w:val="18"/>
          <w:szCs w:val="18"/>
          <w:color w:val="auto"/>
        </w:rPr>
        <w:t>vessels expiring in December 2027 and May 2028, respectively, with options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renew. We also have a time charter agreement for the </w:t>
      </w:r>
      <w:r>
        <w:rPr>
          <w:rFonts w:ascii="Arial" w:cs="Arial" w:eastAsia="Arial" w:hAnsi="Arial"/>
          <w:sz w:val="18"/>
          <w:szCs w:val="18"/>
          <w:i w:val="1"/>
          <w:iCs w:val="1"/>
          <w:color w:val="auto"/>
        </w:rPr>
        <w:t>Shelia Bordelon</w:t>
      </w:r>
      <w:r>
        <w:rPr>
          <w:rFonts w:ascii="Arial" w:cs="Arial" w:eastAsia="Arial" w:hAnsi="Arial"/>
          <w:sz w:val="18"/>
          <w:szCs w:val="18"/>
          <w:color w:val="auto"/>
        </w:rPr>
        <w:t xml:space="preserve"> in the Gulf of Mexico through June 2024 and a short-term time charter agreement for the </w:t>
      </w:r>
      <w:r>
        <w:rPr>
          <w:rFonts w:ascii="Arial" w:cs="Arial" w:eastAsia="Arial" w:hAnsi="Arial"/>
          <w:sz w:val="18"/>
          <w:szCs w:val="18"/>
          <w:i w:val="1"/>
          <w:iCs w:val="1"/>
          <w:color w:val="auto"/>
        </w:rPr>
        <w:t>Horizon Enabler</w:t>
      </w:r>
      <w:r>
        <w:rPr>
          <w:rFonts w:ascii="Arial" w:cs="Arial" w:eastAsia="Arial" w:hAnsi="Arial"/>
          <w:sz w:val="18"/>
          <w:szCs w:val="18"/>
          <w:color w:val="auto"/>
        </w:rPr>
        <w:t xml:space="preserve"> in the North Sea.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Claims</w:t>
      </w:r>
    </w:p>
    <w:p>
      <w:pPr>
        <w:spacing w:after="0" w:line="234"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8"/>
          <w:szCs w:val="18"/>
          <w:color w:val="auto"/>
        </w:rPr>
        <w:t>Our contingent consideration liability resulting from the Alliance acquisition is subject to risk, through the remainder of the contingency period, which ends on December 31, 2023, as a result of changes in our probability weighted discounted cash flow model, which is based on internal forecasts, and changes in weighted average discount rate, which is derived from market data.</w:t>
      </w:r>
    </w:p>
    <w:p>
      <w:pPr>
        <w:spacing w:after="0" w:line="205"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We believe that there are currently no other contingencies that would have a material adverse effect on our financial position,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34"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We are involved in various legal proceedings, some involving claims under the General Maritime Laws of the United States and the Merchant Marine Act of 1920 (commonly referred to as the Jones Act). In addition, from time to time we receive other claims, such as contract and employment-related disputes, in the normal course of business.</w:t>
      </w:r>
    </w:p>
    <w:p>
      <w:pPr>
        <w:spacing w:after="0" w:line="20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are currently involved in several lawsuits filed by current and former offshore employees seeking overtime compensation. These suits are brought as collective actions and are in various stages of litigation in federal district courts. We appealed one such lawsuit to the United States Supreme Court, which issued a ruling adverse to us in the first quarter 2023 that is likely to have implications for similar lawsuits in which we are involved. In a separate lawsuit, during the third quarter 2022 the United States Court of Appeals for the Fifth Circuit issued an adverse ruling that may also have implications for other similar lawsuits in which we are involved. We continue to vigorously defend these lawsuits, and notwithstanding that we believe we retain valid defenses, we have established a liability in each of these matters. The final outcome of these matters remains uncertain, and the ultimate liability to us could be more or less than the liability established.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Statement of Cash Flow Information</w:t>
      </w:r>
    </w:p>
    <w:p>
      <w:pPr>
        <w:spacing w:after="0" w:line="234" w:lineRule="exact"/>
        <w:rPr>
          <w:sz w:val="20"/>
          <w:szCs w:val="20"/>
          <w:color w:val="auto"/>
        </w:rPr>
      </w:pPr>
    </w:p>
    <w:p>
      <w:pPr>
        <w:jc w:val="both"/>
        <w:ind w:right="280" w:firstLine="648"/>
        <w:spacing w:after="0"/>
        <w:rPr>
          <w:sz w:val="20"/>
          <w:szCs w:val="20"/>
          <w:color w:val="auto"/>
        </w:rPr>
      </w:pPr>
      <w:r>
        <w:rPr>
          <w:rFonts w:ascii="Arial" w:cs="Arial" w:eastAsia="Arial" w:hAnsi="Arial"/>
          <w:sz w:val="18"/>
          <w:szCs w:val="18"/>
          <w:color w:val="auto"/>
        </w:rPr>
        <w:t>We define cash and cash equivalents as cash and all highly liquid financial instruments with original maturities of three months or less. We classify cash as restricted when there are legal or contractual restrictions for its withdrawal. The following table provides supplemental cash flow information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Three Months Ended</w:t>
            </w:r>
          </w:p>
        </w:tc>
      </w:tr>
      <w:tr>
        <w:trPr>
          <w:trHeight w:val="225"/>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8"/>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paid</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8,498</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8,708</w:t>
            </w:r>
          </w:p>
        </w:tc>
      </w:tr>
      <w:tr>
        <w:trPr>
          <w:trHeight w:val="345"/>
        </w:trPr>
        <w:tc>
          <w:tcPr>
            <w:tcW w:w="6800" w:type="dxa"/>
            <w:vAlign w:val="bottom"/>
          </w:tcPr>
          <w:p>
            <w:pPr>
              <w:spacing w:after="0"/>
              <w:rPr>
                <w:sz w:val="20"/>
                <w:szCs w:val="20"/>
                <w:color w:val="auto"/>
              </w:rPr>
            </w:pPr>
            <w:r>
              <w:rPr>
                <w:rFonts w:ascii="Arial" w:cs="Arial" w:eastAsia="Arial" w:hAnsi="Arial"/>
                <w:sz w:val="18"/>
                <w:szCs w:val="18"/>
                <w:color w:val="auto"/>
              </w:rPr>
              <w:t xml:space="preserve">Income taxes paid </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1,708</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15684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5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Exclusive of any income tax refunds.</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capital additions include the acquisition of property and equipment for which payment has not been made.</w:t>
      </w:r>
    </w:p>
    <w:p>
      <w:pPr>
        <w:spacing w:after="0"/>
        <w:rPr>
          <w:sz w:val="20"/>
          <w:szCs w:val="20"/>
          <w:color w:val="auto"/>
        </w:rPr>
      </w:pPr>
      <w:r>
        <w:rPr>
          <w:rFonts w:ascii="Arial" w:cs="Arial" w:eastAsia="Arial" w:hAnsi="Arial"/>
          <w:sz w:val="18"/>
          <w:szCs w:val="18"/>
          <w:color w:val="auto"/>
        </w:rPr>
        <w:t>These non-cash capital additions totaled $0.2 million at March 31, 2023 and $0.3 million at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Allowance for Credit Losses</w:t>
      </w:r>
    </w:p>
    <w:p>
      <w:pPr>
        <w:spacing w:after="0" w:line="234" w:lineRule="exact"/>
        <w:rPr>
          <w:sz w:val="20"/>
          <w:szCs w:val="20"/>
          <w:color w:val="auto"/>
        </w:rPr>
      </w:pPr>
    </w:p>
    <w:p>
      <w:pPr>
        <w:jc w:val="both"/>
        <w:ind w:right="240" w:firstLine="648"/>
        <w:spacing w:after="0"/>
        <w:rPr>
          <w:sz w:val="20"/>
          <w:szCs w:val="20"/>
          <w:color w:val="auto"/>
        </w:rPr>
      </w:pPr>
      <w:r>
        <w:rPr>
          <w:rFonts w:ascii="Arial" w:cs="Arial" w:eastAsia="Arial" w:hAnsi="Arial"/>
          <w:sz w:val="18"/>
          <w:szCs w:val="18"/>
          <w:color w:val="auto"/>
        </w:rPr>
        <w:t>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activity in our allowance for credit losses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8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43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2,277</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1,477</w:t>
            </w:r>
          </w:p>
        </w:tc>
      </w:tr>
      <w:tr>
        <w:trPr>
          <w:trHeight w:val="203"/>
        </w:trPr>
        <w:tc>
          <w:tcPr>
            <w:tcW w:w="24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6"/>
                <w:szCs w:val="16"/>
                <w:color w:val="auto"/>
              </w:rPr>
              <w:t xml:space="preserve">Additions (reductions) </w:t>
            </w:r>
            <w:r>
              <w:rPr>
                <w:rFonts w:ascii="Arial" w:cs="Arial" w:eastAsia="Arial" w:hAnsi="Arial"/>
                <w:sz w:val="23"/>
                <w:szCs w:val="23"/>
                <w:color w:val="auto"/>
                <w:vertAlign w:val="superscript"/>
              </w:rPr>
              <w:t>(1)</w:t>
            </w:r>
          </w:p>
        </w:tc>
        <w:tc>
          <w:tcPr>
            <w:tcW w:w="4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w:t>
            </w:r>
          </w:p>
        </w:tc>
      </w:tr>
      <w:tr>
        <w:trPr>
          <w:trHeight w:val="196"/>
        </w:trPr>
        <w:tc>
          <w:tcPr>
            <w:tcW w:w="2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March 31,</w:t>
            </w:r>
          </w:p>
        </w:tc>
        <w:tc>
          <w:tcPr>
            <w:tcW w:w="4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2,418</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1,351</w:t>
            </w:r>
          </w:p>
        </w:tc>
      </w:tr>
      <w:tr>
        <w:trPr>
          <w:trHeight w:val="20"/>
        </w:trPr>
        <w:tc>
          <w:tcPr>
            <w:tcW w:w="2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r>
    </w:tbl>
    <w:p>
      <w:pPr>
        <w:spacing w:after="0" w:line="94" w:lineRule="exact"/>
        <w:rPr>
          <w:sz w:val="20"/>
          <w:szCs w:val="20"/>
          <w:color w:val="auto"/>
        </w:rPr>
      </w:pPr>
    </w:p>
    <w:p>
      <w:pPr>
        <w:ind w:left="660" w:right="460" w:hanging="652"/>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(reductions) in allowance for credit losses reflect credit loss reserves (releases) during the respective periods.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Measurements</w:t>
      </w:r>
    </w:p>
    <w:p>
      <w:pPr>
        <w:spacing w:after="0" w:line="23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spacing w:after="0" w:line="203"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The following table sets forth our assets and liabilities that are measured at fair value on a recurring basis by level within the fair value hierarchy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9"/>
              </w:rPr>
              <w:t>Fair Value at March 31, 2023</w:t>
            </w:r>
          </w:p>
        </w:tc>
        <w:tc>
          <w:tcPr>
            <w:tcW w:w="960" w:type="dxa"/>
            <w:vAlign w:val="bottom"/>
            <w:tcBorders>
              <w:bottom w:val="single" w:sz="8" w:color="auto"/>
            </w:tcBorders>
          </w:tcPr>
          <w:p>
            <w:pPr>
              <w:spacing w:after="0"/>
              <w:rPr>
                <w:sz w:val="19"/>
                <w:szCs w:val="19"/>
                <w:color w:val="auto"/>
              </w:rPr>
            </w:pPr>
          </w:p>
        </w:tc>
      </w:tr>
      <w:tr>
        <w:trPr>
          <w:trHeight w:val="196"/>
        </w:trPr>
        <w:tc>
          <w:tcPr>
            <w:tcW w:w="34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2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7"/>
                <w:szCs w:val="17"/>
                <w:color w:val="auto"/>
              </w:rPr>
            </w:pPr>
          </w:p>
        </w:tc>
        <w:tc>
          <w:tcPr>
            <w:tcW w:w="112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Level 2</w:t>
            </w:r>
          </w:p>
        </w:tc>
        <w:tc>
          <w:tcPr>
            <w:tcW w:w="114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Level 3</w:t>
            </w:r>
          </w:p>
        </w:tc>
        <w:tc>
          <w:tcPr>
            <w:tcW w:w="96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Total</w:t>
            </w:r>
          </w:p>
        </w:tc>
      </w:tr>
      <w:tr>
        <w:trPr>
          <w:trHeight w:val="196"/>
        </w:trPr>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7"/>
        </w:trPr>
        <w:tc>
          <w:tcPr>
            <w:tcW w:w="348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210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46,746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46,746</w:t>
            </w:r>
          </w:p>
        </w:tc>
      </w:tr>
      <w:tr>
        <w:trPr>
          <w:trHeight w:val="836"/>
        </w:trPr>
        <w:tc>
          <w:tcPr>
            <w:tcW w:w="3480" w:type="dxa"/>
            <w:vAlign w:val="bottom"/>
          </w:tcPr>
          <w:p>
            <w:pPr>
              <w:spacing w:after="0"/>
              <w:rPr>
                <w:sz w:val="24"/>
                <w:szCs w:val="24"/>
                <w:color w:val="auto"/>
              </w:rPr>
            </w:pPr>
          </w:p>
        </w:tc>
        <w:tc>
          <w:tcPr>
            <w:tcW w:w="2100" w:type="dxa"/>
            <w:vAlign w:val="bottom"/>
          </w:tcPr>
          <w:p>
            <w:pPr>
              <w:jc w:val="right"/>
              <w:ind w:right="430"/>
              <w:spacing w:after="0"/>
              <w:rPr>
                <w:sz w:val="20"/>
                <w:szCs w:val="20"/>
                <w:color w:val="auto"/>
              </w:rPr>
            </w:pPr>
            <w:r>
              <w:rPr>
                <w:rFonts w:ascii="Arial" w:cs="Arial" w:eastAsia="Arial" w:hAnsi="Arial"/>
                <w:sz w:val="18"/>
                <w:szCs w:val="18"/>
                <w:color w:val="auto"/>
              </w:rPr>
              <w:t>24</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34"/>
        </w:trPr>
        <w:tc>
          <w:tcPr>
            <w:tcW w:w="34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Contingent consideration liability related to the Alliance acquisition (Note 3) is measured at fair value using Level 3 unobservable inputs at the end of each reporting period. The fair value of the estimated contingent consideration is determined based on our evaluation of the probability and amount of earnout that may be achieved based on expected future performance of Helix Alliance. The Monte Carlo simulation model is used to calculate the estimated earnout payment, which is then discounted to present value based on the expected payment date of the contingent consideration. The changes in the fair value of contingent consideration are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196"/>
        </w:trPr>
        <w:tc>
          <w:tcPr>
            <w:tcW w:w="3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42,754</w:t>
            </w:r>
          </w:p>
        </w:tc>
      </w:tr>
      <w:tr>
        <w:trPr>
          <w:trHeight w:val="203"/>
        </w:trPr>
        <w:tc>
          <w:tcPr>
            <w:tcW w:w="374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8"/>
                <w:szCs w:val="18"/>
                <w:color w:val="auto"/>
              </w:rPr>
              <w:t>Change in fair value</w:t>
            </w:r>
          </w:p>
        </w:tc>
        <w:tc>
          <w:tcPr>
            <w:tcW w:w="6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3,992</w:t>
            </w:r>
          </w:p>
        </w:tc>
      </w:tr>
      <w:tr>
        <w:trPr>
          <w:trHeight w:val="196"/>
        </w:trPr>
        <w:tc>
          <w:tcPr>
            <w:tcW w:w="374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March 31,</w:t>
            </w: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46,746</w:t>
            </w:r>
          </w:p>
        </w:tc>
      </w:tr>
      <w:tr>
        <w:trPr>
          <w:trHeight w:val="20"/>
        </w:trPr>
        <w:tc>
          <w:tcPr>
            <w:tcW w:w="24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99"/>
        </w:trPr>
        <w:tc>
          <w:tcPr>
            <w:tcW w:w="8680" w:type="dxa"/>
            <w:vAlign w:val="bottom"/>
            <w:gridSpan w:val="13"/>
          </w:tcPr>
          <w:p>
            <w:pPr>
              <w:ind w:left="660"/>
              <w:spacing w:after="0"/>
              <w:rPr>
                <w:sz w:val="20"/>
                <w:szCs w:val="20"/>
                <w:color w:val="auto"/>
              </w:rPr>
            </w:pPr>
            <w:r>
              <w:rPr>
                <w:rFonts w:ascii="Arial" w:cs="Arial" w:eastAsia="Arial" w:hAnsi="Arial"/>
                <w:sz w:val="18"/>
                <w:szCs w:val="18"/>
                <w:color w:val="auto"/>
              </w:rPr>
              <w:t>The principal amount and estimated fair value of our long-term debt are as follows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2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5"/>
          </w:tcPr>
          <w:p>
            <w:pPr>
              <w:ind w:left="540"/>
              <w:spacing w:after="0"/>
              <w:rPr>
                <w:sz w:val="20"/>
                <w:szCs w:val="20"/>
                <w:color w:val="auto"/>
              </w:rPr>
            </w:pPr>
            <w:r>
              <w:rPr>
                <w:rFonts w:ascii="Arial" w:cs="Arial" w:eastAsia="Arial" w:hAnsi="Arial"/>
                <w:sz w:val="18"/>
                <w:szCs w:val="18"/>
                <w:b w:val="1"/>
                <w:bCs w:val="1"/>
                <w:color w:val="auto"/>
              </w:rPr>
              <w:t>March 31, 2023</w:t>
            </w:r>
          </w:p>
        </w:tc>
        <w:tc>
          <w:tcPr>
            <w:tcW w:w="120" w:type="dxa"/>
            <w:vAlign w:val="bottom"/>
          </w:tcPr>
          <w:p>
            <w:pPr>
              <w:spacing w:after="0"/>
              <w:rPr>
                <w:sz w:val="24"/>
                <w:szCs w:val="24"/>
                <w:color w:val="auto"/>
              </w:rPr>
            </w:pPr>
          </w:p>
        </w:tc>
        <w:tc>
          <w:tcPr>
            <w:tcW w:w="2560" w:type="dxa"/>
            <w:vAlign w:val="bottom"/>
            <w:gridSpan w:val="6"/>
          </w:tcPr>
          <w:p>
            <w:pPr>
              <w:jc w:val="right"/>
              <w:ind w:right="450"/>
              <w:spacing w:after="0"/>
              <w:rPr>
                <w:sz w:val="20"/>
                <w:szCs w:val="20"/>
                <w:color w:val="auto"/>
              </w:rPr>
            </w:pPr>
            <w:r>
              <w:rPr>
                <w:rFonts w:ascii="Arial" w:cs="Arial" w:eastAsia="Arial" w:hAnsi="Arial"/>
                <w:sz w:val="18"/>
                <w:szCs w:val="18"/>
                <w:b w:val="1"/>
                <w:bCs w:val="1"/>
                <w:color w:val="auto"/>
              </w:rPr>
              <w:t>December 31, 2022</w:t>
            </w:r>
          </w:p>
        </w:tc>
      </w:tr>
      <w:tr>
        <w:trPr>
          <w:trHeight w:val="166"/>
        </w:trPr>
        <w:tc>
          <w:tcPr>
            <w:tcW w:w="2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30"/>
              <w:spacing w:after="0" w:line="166" w:lineRule="exact"/>
              <w:rPr>
                <w:sz w:val="20"/>
                <w:szCs w:val="20"/>
                <w:color w:val="auto"/>
              </w:rPr>
            </w:pPr>
            <w:r>
              <w:rPr>
                <w:rFonts w:ascii="Arial" w:cs="Arial" w:eastAsia="Arial" w:hAnsi="Arial"/>
                <w:sz w:val="18"/>
                <w:szCs w:val="18"/>
                <w:b w:val="1"/>
                <w:bCs w:val="1"/>
                <w:color w:val="auto"/>
              </w:rPr>
              <w:t>Principal</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10"/>
              <w:spacing w:after="0" w:line="166"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3"/>
          </w:tcPr>
          <w:p>
            <w:pPr>
              <w:jc w:val="center"/>
              <w:ind w:right="360"/>
              <w:spacing w:after="0" w:line="166" w:lineRule="exact"/>
              <w:rPr>
                <w:sz w:val="20"/>
                <w:szCs w:val="20"/>
                <w:color w:val="auto"/>
              </w:rPr>
            </w:pPr>
            <w:r>
              <w:rPr>
                <w:rFonts w:ascii="Arial" w:cs="Arial" w:eastAsia="Arial" w:hAnsi="Arial"/>
                <w:sz w:val="18"/>
                <w:szCs w:val="18"/>
                <w:b w:val="1"/>
                <w:bCs w:val="1"/>
                <w:color w:val="auto"/>
                <w:w w:val="99"/>
              </w:rPr>
              <w:t>Principal</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70"/>
              <w:spacing w:after="0" w:line="166" w:lineRule="exact"/>
              <w:rPr>
                <w:sz w:val="20"/>
                <w:szCs w:val="20"/>
                <w:color w:val="auto"/>
              </w:rPr>
            </w:pPr>
            <w:r>
              <w:rPr>
                <w:rFonts w:ascii="Arial" w:cs="Arial" w:eastAsia="Arial" w:hAnsi="Arial"/>
                <w:sz w:val="18"/>
                <w:szCs w:val="18"/>
                <w:b w:val="1"/>
                <w:bCs w:val="1"/>
                <w:color w:val="auto"/>
              </w:rPr>
              <w:t>Fair</w:t>
            </w:r>
          </w:p>
        </w:tc>
      </w:tr>
      <w:tr>
        <w:trPr>
          <w:trHeight w:val="233"/>
        </w:trPr>
        <w:tc>
          <w:tcPr>
            <w:tcW w:w="2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70"/>
              <w:spacing w:after="0" w:line="232"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420"/>
              <w:spacing w:after="0" w:line="232" w:lineRule="exact"/>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26"/>
                <w:szCs w:val="26"/>
                <w:b w:val="1"/>
                <w:bCs w:val="1"/>
                <w:color w:val="auto"/>
                <w:w w:val="91"/>
                <w:vertAlign w:val="superscript"/>
              </w:rPr>
              <w:t>(2)</w:t>
            </w:r>
          </w:p>
        </w:tc>
        <w:tc>
          <w:tcPr>
            <w:tcW w:w="120" w:type="dxa"/>
            <w:vAlign w:val="bottom"/>
          </w:tcPr>
          <w:p>
            <w:pPr>
              <w:spacing w:after="0"/>
              <w:rPr>
                <w:sz w:val="20"/>
                <w:szCs w:val="20"/>
                <w:color w:val="auto"/>
              </w:rPr>
            </w:pPr>
          </w:p>
        </w:tc>
        <w:tc>
          <w:tcPr>
            <w:tcW w:w="1320" w:type="dxa"/>
            <w:vAlign w:val="bottom"/>
            <w:gridSpan w:val="3"/>
          </w:tcPr>
          <w:p>
            <w:pPr>
              <w:jc w:val="center"/>
              <w:ind w:right="340"/>
              <w:spacing w:after="0" w:line="232"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0"/>
              <w:spacing w:after="0" w:line="232" w:lineRule="exact"/>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26"/>
                <w:szCs w:val="26"/>
                <w:b w:val="1"/>
                <w:bCs w:val="1"/>
                <w:color w:val="auto"/>
                <w:vertAlign w:val="superscript"/>
              </w:rPr>
              <w:t>(2)</w:t>
            </w:r>
          </w:p>
        </w:tc>
      </w:tr>
      <w:tr>
        <w:trPr>
          <w:trHeight w:val="196"/>
        </w:trPr>
        <w:tc>
          <w:tcPr>
            <w:tcW w:w="3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MARAD Debt (matures February 2027)</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36,797</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36,888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40,913</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40,940</w:t>
            </w: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2023 Notes (mature September 2023)</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30,590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31,149</w:t>
            </w:r>
          </w:p>
        </w:tc>
      </w:tr>
      <w:tr>
        <w:trPr>
          <w:trHeight w:val="203"/>
        </w:trPr>
        <w:tc>
          <w:tcPr>
            <w:tcW w:w="3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2026 Notes (mature February 2026)</w:t>
            </w:r>
          </w:p>
        </w:tc>
        <w:tc>
          <w:tcPr>
            <w:tcW w:w="6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274,287</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277,014</w:t>
            </w:r>
          </w:p>
        </w:tc>
      </w:tr>
      <w:tr>
        <w:trPr>
          <w:trHeight w:val="196"/>
        </w:trPr>
        <w:tc>
          <w:tcPr>
            <w:tcW w:w="374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Total debt</w:t>
            </w:r>
          </w:p>
        </w:tc>
        <w:tc>
          <w:tcPr>
            <w:tcW w:w="6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266,797</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341,765</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270,913</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349,103</w:t>
            </w:r>
          </w:p>
        </w:tc>
      </w:tr>
      <w:tr>
        <w:trPr>
          <w:trHeight w:val="20"/>
        </w:trPr>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r>
    </w:tbl>
    <w:p>
      <w:pPr>
        <w:spacing w:after="0" w:line="94" w:lineRule="exact"/>
        <w:rPr>
          <w:sz w:val="20"/>
          <w:szCs w:val="20"/>
          <w:color w:val="auto"/>
        </w:rPr>
      </w:pPr>
    </w:p>
    <w:p>
      <w:pPr>
        <w:ind w:left="660" w:right="60" w:hanging="652"/>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Principal amount includes current maturities and excludes any related unamortized debt issuance costs. See Note 6 for additional disclosures on our long-term debt.</w:t>
      </w:r>
    </w:p>
    <w:p>
      <w:pPr>
        <w:spacing w:after="0" w:line="88" w:lineRule="exact"/>
        <w:rPr>
          <w:rFonts w:ascii="Arial" w:cs="Arial" w:eastAsia="Arial" w:hAnsi="Arial"/>
          <w:sz w:val="18"/>
          <w:szCs w:val="18"/>
          <w:color w:val="auto"/>
        </w:rPr>
      </w:pPr>
    </w:p>
    <w:p>
      <w:pPr>
        <w:ind w:left="660" w:right="160" w:hanging="652"/>
        <w:spacing w:after="0" w:line="23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estimated fair value of the 2023 Notes and the 2026 Notes was determined using Level 1 fair value inputs under the market approach. The fair value of the MARAD Debt was estimated using Level 2 fair value inputs under the market approach, which was determined using a third-party evaluation of the remaining average life and outstanding principal balance of the indebtedness as compared to other obligations in the marketplace with similar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ASSUMPTIONS</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This Quarterly Report on Form 10-Q contains or incorporates by reference various statements that contain forward-looking information regarding Helix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p>
      <w:pPr>
        <w:spacing w:after="0" w:line="206" w:lineRule="exact"/>
        <w:rPr>
          <w:sz w:val="20"/>
          <w:szCs w:val="20"/>
          <w:color w:val="auto"/>
        </w:rPr>
      </w:pPr>
    </w:p>
    <w:p>
      <w:pPr>
        <w:ind w:left="680" w:right="72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our business strategy, corporate initiatives and any other business plans, forecasts or objectives, any or all of which are subject to change;</w:t>
      </w:r>
    </w:p>
    <w:p>
      <w:pPr>
        <w:spacing w:after="0" w:line="1" w:lineRule="exact"/>
        <w:rPr>
          <w:rFonts w:ascii="Arial" w:cs="Arial" w:eastAsia="Arial" w:hAnsi="Arial"/>
          <w:sz w:val="18"/>
          <w:szCs w:val="18"/>
          <w:color w:val="auto"/>
        </w:rPr>
      </w:pPr>
    </w:p>
    <w:p>
      <w:pPr>
        <w:ind w:left="680" w:right="24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projections of revenues, gross margins, expenses, earnings or losses, working capital, debt and liquidity, future operations expenditures or other financial items;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our backlog and commercial contracts and rates thereunder;</w:t>
      </w:r>
    </w:p>
    <w:p>
      <w:pPr>
        <w:spacing w:after="0" w:line="9" w:lineRule="exact"/>
        <w:rPr>
          <w:rFonts w:ascii="Arial" w:cs="Arial" w:eastAsia="Arial" w:hAnsi="Arial"/>
          <w:sz w:val="18"/>
          <w:szCs w:val="18"/>
          <w:color w:val="auto"/>
        </w:rPr>
      </w:pPr>
    </w:p>
    <w:p>
      <w:pPr>
        <w:ind w:left="680" w:right="18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our ability to enter into and/or perform commercial contracts, including the scope, timing and outcome of those contracts;</w:t>
      </w:r>
    </w:p>
    <w:p>
      <w:pPr>
        <w:spacing w:after="0" w:line="1" w:lineRule="exact"/>
        <w:rPr>
          <w:rFonts w:ascii="Arial" w:cs="Arial" w:eastAsia="Arial" w:hAnsi="Arial"/>
          <w:sz w:val="18"/>
          <w:szCs w:val="18"/>
          <w:color w:val="auto"/>
        </w:rPr>
      </w:pPr>
    </w:p>
    <w:p>
      <w:pPr>
        <w:jc w:val="both"/>
        <w:ind w:left="680" w:right="34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the spot market, the continuation of our current backlog, visibility and future utilization, our spending and cost management efforts and our ability to manage changes, and the COVID-19 pandemic and oil price volatility and their respective effects and results on the foregoing as well as our protocols and plans;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energy transition and energy security;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our ability to identify, effect and integrate acquisitions, joint ventures or other transactions;</w:t>
      </w:r>
    </w:p>
    <w:p>
      <w:pPr>
        <w:spacing w:after="0" w:line="9" w:lineRule="exact"/>
        <w:rPr>
          <w:rFonts w:ascii="Arial" w:cs="Arial" w:eastAsia="Arial" w:hAnsi="Arial"/>
          <w:sz w:val="18"/>
          <w:szCs w:val="18"/>
          <w:color w:val="auto"/>
        </w:rPr>
      </w:pPr>
    </w:p>
    <w:p>
      <w:pPr>
        <w:ind w:left="680" w:right="100" w:hanging="321"/>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the acquisition, construction, completion, upgrades to or maintenance of vessels, systems or equipment and any anticipated costs or downtime related thereto;</w:t>
      </w:r>
    </w:p>
    <w:p>
      <w:pPr>
        <w:spacing w:after="0" w:line="1" w:lineRule="exact"/>
        <w:rPr>
          <w:rFonts w:ascii="Arial" w:cs="Arial" w:eastAsia="Arial" w:hAnsi="Arial"/>
          <w:sz w:val="18"/>
          <w:szCs w:val="18"/>
          <w:color w:val="auto"/>
        </w:rPr>
      </w:pPr>
    </w:p>
    <w:p>
      <w:pPr>
        <w:ind w:left="680" w:right="260" w:hanging="321"/>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any financing transactions or arrangements, or our ability to enter into such transactions or arrangements;</w:t>
      </w:r>
    </w:p>
    <w:p>
      <w:pPr>
        <w:spacing w:after="0" w:line="1" w:lineRule="exact"/>
        <w:rPr>
          <w:rFonts w:ascii="Arial" w:cs="Arial" w:eastAsia="Arial" w:hAnsi="Arial"/>
          <w:sz w:val="18"/>
          <w:szCs w:val="18"/>
          <w:color w:val="auto"/>
        </w:rPr>
      </w:pPr>
    </w:p>
    <w:p>
      <w:pPr>
        <w:ind w:left="680" w:right="340" w:hanging="321"/>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potential legislative, governmental, regulatory, administrative or other public body actions, requirements, permits or decisions;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our trade receivables and their collectability;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potential developments, industry trends, performance or industry ranking;</w:t>
      </w:r>
    </w:p>
    <w:p>
      <w:pPr>
        <w:spacing w:after="0" w:line="9" w:lineRule="exact"/>
        <w:rPr>
          <w:rFonts w:ascii="Arial" w:cs="Arial" w:eastAsia="Arial" w:hAnsi="Arial"/>
          <w:sz w:val="18"/>
          <w:szCs w:val="18"/>
          <w:color w:val="auto"/>
        </w:rPr>
      </w:pPr>
    </w:p>
    <w:p>
      <w:pPr>
        <w:ind w:left="680" w:right="660" w:hanging="321"/>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our ESG initiatives and the successes thereon or regarding our environmental efforts, including greenhouse gas emissions targets;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global, market or investor sentiment with respect to fossil fuels;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our existing activities in, and future expansion into, the offshore renewable energy market;</w:t>
      </w:r>
    </w:p>
    <w:p>
      <w:pPr>
        <w:spacing w:after="0" w:line="9" w:lineRule="exact"/>
        <w:rPr>
          <w:rFonts w:ascii="Arial" w:cs="Arial" w:eastAsia="Arial" w:hAnsi="Arial"/>
          <w:sz w:val="18"/>
          <w:szCs w:val="18"/>
          <w:color w:val="auto"/>
        </w:rPr>
      </w:pPr>
    </w:p>
    <w:p>
      <w:pPr>
        <w:ind w:left="680" w:right="220" w:hanging="321"/>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general economic or political conditions, whether international, national or in the regional or local markets in which we do business;</w:t>
      </w:r>
    </w:p>
    <w:p>
      <w:pPr>
        <w:spacing w:after="0" w:line="1" w:lineRule="exact"/>
        <w:rPr>
          <w:rFonts w:ascii="Arial" w:cs="Arial" w:eastAsia="Arial" w:hAnsi="Arial"/>
          <w:sz w:val="18"/>
          <w:szCs w:val="18"/>
          <w:color w:val="auto"/>
        </w:rPr>
      </w:pPr>
    </w:p>
    <w:p>
      <w:pPr>
        <w:ind w:left="680" w:right="100" w:hanging="321"/>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our human capital resources, including our ability to retain our senior management and other key employees;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our share repurchase authorization or program;</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the underlying assumptions related to any projection or forward-looking statement;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statements that relate to non-historical or future information.</w:t>
      </w:r>
    </w:p>
    <w:p>
      <w:pPr>
        <w:spacing w:after="0" w:line="22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p>
      <w:pPr>
        <w:spacing w:after="0" w:line="203" w:lineRule="exact"/>
        <w:rPr>
          <w:sz w:val="20"/>
          <w:szCs w:val="20"/>
          <w:color w:val="auto"/>
        </w:rPr>
      </w:pPr>
    </w:p>
    <w:p>
      <w:pPr>
        <w:ind w:left="680" w:right="36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domestic and global economic conditions and the future impact of such conditions on the offshore energy industry and the demand for our services;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general impact of oil and gas price volatility and the cyclical nature of the oil and gas market;</w:t>
      </w:r>
    </w:p>
    <w:p>
      <w:pPr>
        <w:spacing w:after="0" w:line="9" w:lineRule="exact"/>
        <w:rPr>
          <w:rFonts w:ascii="Arial" w:cs="Arial" w:eastAsia="Arial" w:hAnsi="Arial"/>
          <w:sz w:val="18"/>
          <w:szCs w:val="18"/>
          <w:color w:val="auto"/>
        </w:rPr>
      </w:pPr>
    </w:p>
    <w:p>
      <w:pPr>
        <w:ind w:left="680" w:right="12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and effects of the COVID-19 pandemic and actions by governments, customers, suppliers and partners with respect thereto;</w:t>
      </w:r>
    </w:p>
    <w:p>
      <w:pPr>
        <w:spacing w:after="0" w:line="1" w:lineRule="exact"/>
        <w:rPr>
          <w:rFonts w:ascii="Arial" w:cs="Arial" w:eastAsia="Arial" w:hAnsi="Arial"/>
          <w:sz w:val="18"/>
          <w:szCs w:val="18"/>
          <w:color w:val="auto"/>
        </w:rPr>
      </w:pPr>
    </w:p>
    <w:p>
      <w:pPr>
        <w:ind w:left="680" w:right="20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effects of regional tensions that have escalated or may escalate, including into conflicts or wars, and their impact on the global economy, oil and gas market, our operations, international trade, or our ability to do business with certain parties or in certain regions, and any governmental sanctions resulting therefrom;</w:t>
      </w:r>
    </w:p>
    <w:p>
      <w:pPr>
        <w:spacing w:after="0" w:line="2" w:lineRule="exact"/>
        <w:rPr>
          <w:rFonts w:ascii="Arial" w:cs="Arial" w:eastAsia="Arial" w:hAnsi="Arial"/>
          <w:sz w:val="18"/>
          <w:szCs w:val="18"/>
          <w:color w:val="auto"/>
        </w:rPr>
      </w:pPr>
    </w:p>
    <w:p>
      <w:pPr>
        <w:ind w:left="680" w:right="8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corporate initiatives such as alliances, partnerships, joint ventures, mergers, acquisitions, divestitures and restructurings, or the determination not to pursue or effect such initiatives;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acquired properties;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inflation and our ability to recoup rising costs in the rates we charge to our customers;</w:t>
      </w:r>
    </w:p>
    <w:p>
      <w:pPr>
        <w:spacing w:after="0" w:line="9" w:lineRule="exact"/>
        <w:rPr>
          <w:rFonts w:ascii="Arial" w:cs="Arial" w:eastAsia="Arial" w:hAnsi="Arial"/>
          <w:sz w:val="18"/>
          <w:szCs w:val="18"/>
          <w:color w:val="auto"/>
        </w:rPr>
      </w:pPr>
    </w:p>
    <w:p>
      <w:pPr>
        <w:ind w:left="680" w:right="14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our ability to secure and realize backlog, including any potential cancellation, deferral or modification of our work or contracts by our customers;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effectively bid, renew and perform our contracts, including the impact of equipment problems or failure;</w:t>
      </w:r>
    </w:p>
    <w:p>
      <w:pPr>
        <w:spacing w:after="0" w:line="9" w:lineRule="exact"/>
        <w:rPr>
          <w:rFonts w:ascii="Arial" w:cs="Arial" w:eastAsia="Arial" w:hAnsi="Arial"/>
          <w:sz w:val="18"/>
          <w:szCs w:val="18"/>
          <w:color w:val="auto"/>
        </w:rPr>
      </w:pPr>
    </w:p>
    <w:p>
      <w:pPr>
        <w:ind w:left="680" w:right="22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imposition by our customers of rate reductions, fines and penalties with respect to our operating assets;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of contracts by suppliers, customers and partners;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future operations expenditures, including the amount and nature thereof;</w:t>
      </w:r>
    </w:p>
    <w:p>
      <w:pPr>
        <w:spacing w:after="0" w:line="9" w:lineRule="exact"/>
        <w:rPr>
          <w:rFonts w:ascii="Arial" w:cs="Arial" w:eastAsia="Arial" w:hAnsi="Arial"/>
          <w:sz w:val="18"/>
          <w:szCs w:val="18"/>
          <w:color w:val="auto"/>
        </w:rPr>
      </w:pPr>
    </w:p>
    <w:p>
      <w:pPr>
        <w:ind w:left="68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and timing of our vessel and/or system upgrades, regulatory certification and inspection as well as major maintenance items;</w:t>
      </w:r>
    </w:p>
    <w:p>
      <w:pPr>
        <w:spacing w:after="0" w:line="1" w:lineRule="exact"/>
        <w:rPr>
          <w:rFonts w:ascii="Arial" w:cs="Arial" w:eastAsia="Arial" w:hAnsi="Arial"/>
          <w:sz w:val="18"/>
          <w:szCs w:val="18"/>
          <w:color w:val="auto"/>
        </w:rPr>
      </w:pPr>
    </w:p>
    <w:p>
      <w:pPr>
        <w:ind w:left="680" w:right="28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hazards, including unexpected delays in the delivery, chartering or customer acceptance, and terms of acceptance, of our assets;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adverse weather conditions and/or other risks associated with marine operations;</w:t>
      </w:r>
    </w:p>
    <w:p>
      <w:pPr>
        <w:spacing w:after="0" w:line="9" w:lineRule="exact"/>
        <w:rPr>
          <w:rFonts w:ascii="Arial" w:cs="Arial" w:eastAsia="Arial" w:hAnsi="Arial"/>
          <w:sz w:val="18"/>
          <w:szCs w:val="18"/>
          <w:color w:val="auto"/>
        </w:rPr>
      </w:pPr>
    </w:p>
    <w:p>
      <w:pPr>
        <w:ind w:left="680" w:right="860" w:hanging="321"/>
        <w:spacing w:after="0" w:line="246"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our indebtedness, our ability to comply with debt covenants and our ability to reduce capital commitments;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our continuing efforts to control costs and improve performance;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risk management activities, including with respect to our cybersecurity initiatives;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capital (including any financing) to fund our business strategy and/or operations;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ESG initiatives and disclosures;</w:t>
      </w:r>
    </w:p>
    <w:p>
      <w:pPr>
        <w:spacing w:after="0" w:line="9" w:lineRule="exact"/>
        <w:rPr>
          <w:rFonts w:ascii="Arial" w:cs="Arial" w:eastAsia="Arial" w:hAnsi="Arial"/>
          <w:sz w:val="18"/>
          <w:szCs w:val="18"/>
          <w:color w:val="auto"/>
        </w:rPr>
      </w:pPr>
    </w:p>
    <w:p>
      <w:pPr>
        <w:ind w:left="680" w:right="320" w:hanging="321"/>
        <w:spacing w:after="0" w:line="248" w:lineRule="auto"/>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 of current and future laws and governmental regulations and how they will be interpreted or enforced, including related to fossil fuel production and litigation and similar claims in which we may be involved;</w:t>
      </w:r>
    </w:p>
    <w:p>
      <w:pPr>
        <w:spacing w:after="0" w:line="1" w:lineRule="exact"/>
        <w:rPr>
          <w:rFonts w:ascii="Arial" w:cs="Arial" w:eastAsia="Arial" w:hAnsi="Arial"/>
          <w:sz w:val="17"/>
          <w:szCs w:val="17"/>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future impact of international activity and trade agreements on our business, operations and financial condition;</w:t>
      </w:r>
    </w:p>
    <w:p>
      <w:pPr>
        <w:spacing w:after="0" w:line="9" w:lineRule="exact"/>
        <w:rPr>
          <w:rFonts w:ascii="Arial" w:cs="Arial" w:eastAsia="Arial" w:hAnsi="Arial"/>
          <w:sz w:val="18"/>
          <w:szCs w:val="18"/>
          <w:color w:val="auto"/>
        </w:rPr>
      </w:pPr>
    </w:p>
    <w:p>
      <w:pPr>
        <w:ind w:left="680" w:right="740" w:hanging="321"/>
        <w:spacing w:after="0" w:line="23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foreign currency exchange controls, potential illiquidity of those currencies and exchange rate fluctuations;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any future hedging activities;</w:t>
      </w:r>
    </w:p>
    <w:p>
      <w:pPr>
        <w:spacing w:after="0" w:line="9" w:lineRule="exact"/>
        <w:rPr>
          <w:rFonts w:ascii="Arial" w:cs="Arial" w:eastAsia="Arial" w:hAnsi="Arial"/>
          <w:sz w:val="18"/>
          <w:szCs w:val="18"/>
          <w:color w:val="auto"/>
        </w:rPr>
      </w:pPr>
    </w:p>
    <w:p>
      <w:pPr>
        <w:ind w:left="680" w:right="100" w:hanging="321"/>
        <w:spacing w:after="0" w:line="23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impact of a negative event related to our human capital resources, including a loss of one or more key employees;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general, market, industry or business conditions;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factors generally described in Item 1A. Risk Factors in our 2022 Form 10-K.</w:t>
      </w:r>
    </w:p>
    <w:p>
      <w:pPr>
        <w:spacing w:after="0" w:line="225"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Our actual results could also differ materially from those anticipated in any forward-looking statements as a result of a variety of factors, including those described in Item 7. “Management’s Discussion and Analysis of Financial Condition and Results of Operations” in our 2022 Form 10-K. Should one or more of the risks or uncertainties described in this Quarterly Report occur, or should underlying assumptions prove incorrect, our actual results and plans could differ materially from those expressed in any forward-looking statements.</w:t>
      </w:r>
    </w:p>
    <w:p>
      <w:pPr>
        <w:spacing w:after="0" w:line="202"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Quarterly Report and our reports filed with the SEC and incorporated by reference in our 2022 Form 10-K that attempt to advise interested parties of the risks and factors that may affect our 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SUMMARY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1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We are an international offshore energy services company that provides specialty services to the offshore energy industry, with a focus on well intervention, robotics and full-field decommissioning operations. Our services are centered on a three-legged business model well positioned for a global energy transition by maximizing production of remaining oil and gas reserves, supporting renewable energy developments and decommissioning end-of-life oil and gas fields. Our well intervention fleet includes seven purpose-built well intervention vessels and 12 intervention systems. Our robotics equipment includes 39 work-class ROVs, seven trenchers and the IROV boulder grab. We charter robotics support vessels on long-term, short-term, flexible and spot bases to facilitate our ROV and trenching operations. 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oil and gas properties including the recently acquired interest in the Thunder Hawk Field. On July 1, 2022, we completed our acquisition of Alliance and formed a new reporting segment in the third quarter 2022 comprised of the Helix Alliance business. Our new Shallow Water Abandonment segment includes nine liftboats, six OSVs, three DSVs, one heavy lift derrick barge, one crew boat, 15 marketable P&amp;A systems (with the ability to scale up to 20 systems) and six coiled tubing systems.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Outlook and Industry Influences</w:t>
      </w:r>
    </w:p>
    <w:p>
      <w:pPr>
        <w:spacing w:after="0" w:line="234" w:lineRule="exact"/>
        <w:rPr>
          <w:sz w:val="20"/>
          <w:szCs w:val="20"/>
          <w:color w:val="auto"/>
        </w:rPr>
      </w:pPr>
    </w:p>
    <w:p>
      <w:pPr>
        <w:ind w:right="240" w:firstLine="648"/>
        <w:spacing w:after="0" w:line="238" w:lineRule="auto"/>
        <w:rPr>
          <w:sz w:val="20"/>
          <w:szCs w:val="20"/>
          <w:color w:val="auto"/>
        </w:rPr>
      </w:pPr>
      <w:r>
        <w:rPr>
          <w:rFonts w:ascii="Arial" w:cs="Arial" w:eastAsia="Arial" w:hAnsi="Arial"/>
          <w:sz w:val="18"/>
          <w:szCs w:val="18"/>
          <w:color w:val="auto"/>
        </w:rPr>
        <w:t>Demand for our services is primarily influenced by the condition of the oil and gas and the renewable energy markets and, in particular, the willingness of offshore energy companies to spend on operational activities and capital projects. The performance of our business is largely affected by the prevailing market prices for oil and natural gas, which are impacted by domestic and global economic conditions, hydrocarbon production and capacity, geopolitical issues, weather, global health, and various other factors.</w:t>
      </w:r>
    </w:p>
    <w:p>
      <w:pPr>
        <w:spacing w:after="0" w:line="20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Oil prices reached ten-year highs during the middle of 2022 and have since experienced moderate declines and volatility. Global demand for oil continues to recover as supply has been disrupted by regional conflicts. We expect oil prices will remain robust for the near term, which should lead to higher customer spending for the industry. However, despite the current strong commodity price environment, there remain headwinds to commodity price stability, including those regional conflicts, high inflation and in particular governments’ and central banks’ efforts to control inflation, which may taper economic growth, COVID-related uncertainties, various governmental and customer ESG initiatives and continued shifting of resource allocation to renewable energy, and most recently wavering market confidence in light of turmoil within the banking industry. We expect these factors will continue to contribute to commodity price volatility with the potential to temper customer spending for oil and gas projects.</w:t>
      </w:r>
    </w:p>
    <w:p>
      <w:pPr>
        <w:spacing w:after="0" w:line="207"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We maximize production of remaining oil and gas reserves for our customers primarily in our Well Intervention segment. Historically, drilling rigs have been the asset class used for offshore well intervention work, and rig day rates are a pricing indicator for our services. Our customers have used drilling rigs on existing long-term contracts (rig overhang) to perform well intervention work instead of new drilling activities. Current volumes of work, rig utilization rates, the day rates quoted by drilling rig contractors and existing rig overhang affect the utilization and/or rates we can achieve for our assets and services.</w:t>
      </w:r>
    </w:p>
    <w:p>
      <w:pPr>
        <w:spacing w:after="0" w:line="20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Over the near-term, with the current high commodity price environment we expect oil and gas companies to invest in new long-cycle exploration projects in addition to maintaining and/or increasing production from their remaining reserves. As historically production enhancement through well intervention is less expensive per incremental barrel of oil than exploration, we expect oil and gas companies to continue to focus on optimizing production of their existing subsea wells. We expect the fundamentals for our business will remain favorable over the longer term as the need to prolong well life in oil and gas production is the primary driver of demand for our production enhancement services. This expectation is based on multiple factors, including (1) maintaining the optimal production of a well through enhancement is fundamental to maximizing the overall economics of well production; (2) our services offer commercially viable alternatives for reducing the finding and development costs of reserves as compared to new drilling; and (3) extending the production of offshore wells not only maximizes a well’s production economics but also enables the financial benefit of delaying P&amp;A costs, which can be substantial.</w:t>
      </w:r>
    </w:p>
    <w:p>
      <w:pPr>
        <w:spacing w:after="0" w:line="205"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support the energy transition to renewables through our services in offshore wind farm developments, primarily including subsea cable trenching and burial as well as seabed clearance and preparation services. Demand for our services in the renewable energy market is affected by various factors, including the pace of consumer shift towards renewable energy sources, global electricity demand, technological advancements that increase the production and/or reduce the cost of renewable energy, expansion of offshore renewable energy projects to deeper water, and government subsidies for renewable energy projects. We expect growth in our renewables services as the energy market transitions to continued renewable energy developments.</w:t>
      </w:r>
    </w:p>
    <w:p>
      <w:pPr>
        <w:spacing w:after="0" w:line="203"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Once end-of-life oil and gas wells have depleted their production, we decommission wells and infrastructure in our Well Intervention and Shallow Water Abandonment segments. As the subsea tree base expands and ages and customers shift resources to renewable energy, the demand for P&amp;A services should persist. Our operations service the life cycle of an oil and gas field and provide P&amp;A services at the end of the life of a field as required by governmental regulations, and we believe that we have a competitive advantage in performing these services efficiently.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are subject to the effects of changing prices. Inflation rates have been relatively low and stable over the previous three decades; however, inflation rates have risen significantly since 2021 due in part to supply chain disruptions and the effects of the COVID-19 pandemic. Although we may be able to mitigate our exposure to price increases through the rates we charge, we bear the costs of operating and maintaining our assets, including labor and material costs as well as recertification and dry dock costs. While the cost outlook is not certain, we believe that we can manage these inflationary pressures by introducing appropriate sales price adjustments and by actively pursuing internal cost management efforts. However, competitive market pressures may affect our ability to recoup these price increases through the rates we charge, which may result in reductions in our operating margins and cash flows in the future. The recent high inflation rates seen in various major economies have caused concerns for central banks’ tightening of monetary policies. These concerns have contributed to stock market volatility as well as higher interest rates, which, combined with ongoing regional conflicts and unrest and potential COVID-related disruptions throughout the globe, could provide a strained macroeconomic outlook and in turn affect energy markets.</w:t>
      </w:r>
    </w:p>
    <w:p>
      <w:pPr>
        <w:spacing w:after="0" w:line="204"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 COVID-19 pandemic resulted in unprecedented market dynamics and challenges to us, including contributing significantly to oil and gas price volatility and increased costs related to our supply chain, logistics and human capital resources. While the peak of the COVID-19 pandemic has largely subsided, we could experience a resurgence of the COVID-19 or new pandemic that could significantly impact economic activity, our customers’ willingness to commit to future spending, access to and use of capital, supply chains, inflation and human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4"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 xml:space="preserve">We define backlog as firm commitments represented by signed contracts. As of March 31, 2023, our consolidated backlog totaled approximately $ 920 million, of which $554 million is expected to be performed over the remainder of 2023. Our various contracts with Shell globally, our contracts with Trident and Petrobras in Brazil, our contracts with Repsol globally and our agreement for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in the Gulf of Mexico represented approximately 64% of our total backlog as of March 31, 2023. Backlog is not necessarily a reliable indicator of revenues derived from our contracts as services are often added but may sometimes be subtracted; contracts may be renegotiated, deferred, canceled and in many cases modified while in progress; and reduced rates, fines and penalties may be imposed by our customers. Furthermore, our contracts are in certain cases cancelable without penalty. If there are cancellation fees, the amount of those fees can be substantially less than amounts reflected in backlog.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A non-GAAP financial measure is generally defined by the SEC as a numerical measure of a company’s historical or future performance, financial position or cash flows that includes or excludes amounts from the most directly comparable measure under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spacing w:after="0" w:line="20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We evaluate our operating performance and financial condition based on EBITDA, Adjusted EBITDA, Free Cash Flow and Net Debt. EBITDA, Adjusted EBITDA, Free Cash Flow and Net Debt are non-GAAP financial measures that are commonly used but are not recognized accounting terms under GAAP. We use EBITDA,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Free Cash Flow and Net Debt differently from the way we do, which may limit their usefulness as comparative measures. EBITDA, Adjusted EBITDA, Free Cash Flow and Net Debt should not be considered in isolation or as a substitute for, but instead are supplemental to, income from operations, net income, cash flows from operating activities, or other data prepared in accordance with GAAP.</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define EBITDA as earnings before income taxes, net interest expense, gain or loss on extinguishment of long-term debt, net other income or expense, and depreciation and amortization expense. Non-cash impairment losses on goodwill and other long-lived assets and non-cash gains and losses on equity investments are also added back if applicable. To arrive at our measure of Adjusted EBITDA, we exclude the gain or loss on disposition of assets, acquisition and integration costs, the change in fair value of contingent consideration and the general provision (release) for current expected credit losses, if any. We define Free Cash Flow as cash flows from operating activities less capital expenditures, net of proceeds from sale of assets. Net Debt is calculated as long-term debt including current maturities of long-term debt less cash and cash equivalents and restricted cash. In the following reconciliations, we provide amounts as reflected in the condensed consolidated financial statements unless otherwise noted.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net loss to EBITDA and Adjusted EBITDA is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(5,165)</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(42,031)</w:t>
            </w:r>
          </w:p>
        </w:tc>
      </w:tr>
      <w:tr>
        <w:trPr>
          <w:trHeight w:val="203"/>
        </w:trPr>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Adjustments: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provision (benefit)</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(2,018)</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2,140</w:t>
            </w:r>
          </w:p>
        </w:tc>
      </w:tr>
      <w:tr>
        <w:trPr>
          <w:trHeight w:val="203"/>
        </w:trPr>
        <w:tc>
          <w:tcPr>
            <w:tcW w:w="6800" w:type="dxa"/>
            <w:vAlign w:val="bottom"/>
          </w:tcPr>
          <w:p>
            <w:pPr>
              <w:ind w:left="220"/>
              <w:spacing w:after="0" w:line="202" w:lineRule="exact"/>
              <w:rPr>
                <w:sz w:val="20"/>
                <w:szCs w:val="20"/>
                <w:color w:val="auto"/>
              </w:rPr>
            </w:pPr>
            <w:r>
              <w:rPr>
                <w:rFonts w:ascii="Arial" w:cs="Arial" w:eastAsia="Arial" w:hAnsi="Arial"/>
                <w:sz w:val="18"/>
                <w:szCs w:val="18"/>
                <w:color w:val="auto"/>
              </w:rPr>
              <w:t>Net interest expense</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4,187</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5,174</w:t>
            </w:r>
          </w:p>
        </w:tc>
      </w:tr>
      <w:tr>
        <w:trPr>
          <w:trHeight w:val="203"/>
        </w:trPr>
        <w:tc>
          <w:tcPr>
            <w:tcW w:w="6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(3,444)</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3,881</w:t>
            </w:r>
          </w:p>
        </w:tc>
      </w:tr>
      <w:tr>
        <w:trPr>
          <w:trHeight w:val="203"/>
        </w:trPr>
        <w:tc>
          <w:tcPr>
            <w:tcW w:w="68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37,537</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33,488</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31,097</w:t>
            </w:r>
          </w:p>
        </w:tc>
        <w:tc>
          <w:tcPr>
            <w:tcW w:w="2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2,652</w:t>
            </w:r>
          </w:p>
        </w:tc>
      </w:tr>
      <w:tr>
        <w:trPr>
          <w:trHeight w:val="196"/>
        </w:trPr>
        <w:tc>
          <w:tcPr>
            <w:tcW w:w="6800" w:type="dxa"/>
            <w:vAlign w:val="bottom"/>
          </w:tcPr>
          <w:p>
            <w:pPr>
              <w:ind w:left="120"/>
              <w:spacing w:after="0" w:line="196" w:lineRule="exact"/>
              <w:rPr>
                <w:sz w:val="20"/>
                <w:szCs w:val="20"/>
                <w:color w:val="auto"/>
              </w:rPr>
            </w:pPr>
            <w:r>
              <w:rPr>
                <w:rFonts w:ascii="Arial" w:cs="Arial" w:eastAsia="Arial" w:hAnsi="Arial"/>
                <w:sz w:val="18"/>
                <w:szCs w:val="18"/>
                <w:color w:val="auto"/>
              </w:rPr>
              <w:t>Adjustments: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disposition of assets, net</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(367)</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800" w:type="dxa"/>
            <w:vAlign w:val="bottom"/>
          </w:tcPr>
          <w:p>
            <w:pPr>
              <w:ind w:left="220"/>
              <w:spacing w:after="0" w:line="202" w:lineRule="exact"/>
              <w:rPr>
                <w:sz w:val="20"/>
                <w:szCs w:val="20"/>
                <w:color w:val="auto"/>
              </w:rPr>
            </w:pPr>
            <w:r>
              <w:rPr>
                <w:rFonts w:ascii="Arial" w:cs="Arial" w:eastAsia="Arial" w:hAnsi="Arial"/>
                <w:sz w:val="18"/>
                <w:szCs w:val="18"/>
                <w:color w:val="auto"/>
              </w:rPr>
              <w:t>Acquisition and integration costs</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3,992</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8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General provision (release) for current expected credit losses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w:t>
            </w:r>
          </w:p>
        </w:tc>
      </w:tr>
      <w:tr>
        <w:trPr>
          <w:trHeight w:val="196"/>
        </w:trPr>
        <w:tc>
          <w:tcPr>
            <w:tcW w:w="6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35,094</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2,526</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cash flows from operating activities to Free Cash Flow is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(5,392)</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(17,413)</w:t>
            </w:r>
          </w:p>
        </w:tc>
      </w:tr>
      <w:tr>
        <w:trPr>
          <w:trHeight w:val="202"/>
        </w:trPr>
        <w:tc>
          <w:tcPr>
            <w:tcW w:w="68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Capital expenditures, net of proceeds from sale of assets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(6,300)</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(623)</w:t>
            </w:r>
          </w:p>
        </w:tc>
      </w:tr>
      <w:tr>
        <w:trPr>
          <w:trHeight w:val="196"/>
        </w:trPr>
        <w:tc>
          <w:tcPr>
            <w:tcW w:w="6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(11,692)</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(18,036)</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long-term debt to Net Debt is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460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 including current maturities</w:t>
            </w:r>
          </w:p>
        </w:tc>
        <w:tc>
          <w:tcPr>
            <w:tcW w:w="2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260,460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264,075</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Cash and cash equivalents and restricted cash</w:t>
            </w:r>
          </w:p>
        </w:tc>
        <w:tc>
          <w:tcPr>
            <w:tcW w:w="2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(169,182)</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(189,111)</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Debt</w:t>
            </w:r>
          </w:p>
        </w:tc>
        <w:tc>
          <w:tcPr>
            <w:tcW w:w="2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91,278</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74,964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20" w:type="dxa"/>
            <w:vAlign w:val="bottom"/>
            <w:vMerge w:val="restart"/>
          </w:tcPr>
          <w:p>
            <w:pPr>
              <w:jc w:val="right"/>
              <w:ind w:right="1670"/>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6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46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2023 and 2022</w:t>
      </w:r>
    </w:p>
    <w:p>
      <w:pPr>
        <w:spacing w:after="0" w:line="234"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224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40"/>
              <w:spacing w:after="0" w:line="196" w:lineRule="exact"/>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142,438</w:t>
            </w:r>
          </w:p>
        </w:tc>
        <w:tc>
          <w:tcPr>
            <w:tcW w:w="30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106,367</w:t>
            </w:r>
          </w:p>
        </w:tc>
        <w:tc>
          <w:tcPr>
            <w:tcW w:w="28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36,071</w:t>
            </w:r>
          </w:p>
        </w:tc>
        <w:tc>
          <w:tcPr>
            <w:tcW w:w="2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49,222</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37,351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11,871</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49,381</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49,381</w:t>
            </w:r>
          </w:p>
        </w:tc>
        <w:tc>
          <w:tcPr>
            <w:tcW w:w="2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20,905</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18,294</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2,611</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(11,862)</w:t>
            </w:r>
          </w:p>
        </w:tc>
        <w:tc>
          <w:tcPr>
            <w:tcW w:w="30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(11,887)</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top w:val="single" w:sz="8" w:color="CCEEFF"/>
              <w:bottom w:val="single" w:sz="8" w:color="CCEEFF"/>
            </w:tcBorders>
            <w:shd w:val="clear" w:color="auto" w:fill="CCEEFF"/>
          </w:tcPr>
          <w:p>
            <w:pPr>
              <w:spacing w:after="0"/>
              <w:rPr>
                <w:sz w:val="17"/>
                <w:szCs w:val="17"/>
                <w:color w:val="auto"/>
              </w:rPr>
            </w:pPr>
          </w:p>
        </w:tc>
        <w:tc>
          <w:tcPr>
            <w:tcW w:w="22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250,084</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150,125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99,959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(4,362)</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(28,446)</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24,084</w:t>
            </w:r>
          </w:p>
        </w:tc>
        <w:tc>
          <w:tcPr>
            <w:tcW w:w="2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7,007</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3,487</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7,498</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7,498</w:t>
            </w:r>
          </w:p>
        </w:tc>
        <w:tc>
          <w:tcPr>
            <w:tcW w:w="2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5,783</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6,609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(826)</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(742)</w:t>
            </w:r>
          </w:p>
        </w:tc>
        <w:tc>
          <w:tcPr>
            <w:tcW w:w="30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(292)</w:t>
            </w:r>
          </w:p>
        </w:tc>
        <w:tc>
          <w:tcPr>
            <w:tcW w:w="16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(450)</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top w:val="single" w:sz="8" w:color="CCEEFF"/>
              <w:bottom w:val="single" w:sz="8" w:color="CCEEFF"/>
            </w:tcBorders>
            <w:shd w:val="clear" w:color="auto" w:fill="CCEEFF"/>
          </w:tcPr>
          <w:p>
            <w:pPr>
              <w:spacing w:after="0"/>
              <w:rPr>
                <w:sz w:val="17"/>
                <w:szCs w:val="17"/>
                <w:color w:val="auto"/>
              </w:rPr>
            </w:pPr>
          </w:p>
        </w:tc>
        <w:tc>
          <w:tcPr>
            <w:tcW w:w="22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15,184</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(18,609)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33,793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 —</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14 %</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9 %</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15 %</w:t>
            </w:r>
          </w:p>
        </w:tc>
        <w:tc>
          <w:tcPr>
            <w:tcW w:w="30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28 %</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36 %</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2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6 %</w:t>
            </w:r>
          </w:p>
        </w:tc>
        <w:tc>
          <w:tcPr>
            <w:tcW w:w="30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720" w:type="dxa"/>
            <w:vAlign w:val="bottom"/>
            <w:gridSpan w:val="2"/>
          </w:tcPr>
          <w:p>
            <w:pPr>
              <w:spacing w:after="0" w:line="189" w:lineRule="exact"/>
              <w:rPr>
                <w:sz w:val="20"/>
                <w:szCs w:val="20"/>
                <w:color w:val="auto"/>
              </w:rPr>
            </w:pPr>
            <w:r>
              <w:rPr>
                <w:rFonts w:ascii="Arial" w:cs="Arial" w:eastAsia="Arial" w:hAnsi="Arial"/>
                <w:sz w:val="18"/>
                <w:szCs w:val="18"/>
                <w:color w:val="auto"/>
              </w:rPr>
              <w:t>Number of vessels, Robotics assets or Shallow Water</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4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Abandonment systems </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 Utilization </w:t>
            </w:r>
            <w:r>
              <w:rPr>
                <w:rFonts w:ascii="Arial" w:cs="Arial" w:eastAsia="Arial" w:hAnsi="Arial"/>
                <w:sz w:val="25"/>
                <w:szCs w:val="25"/>
                <w:color w:val="auto"/>
                <w:vertAlign w:val="superscript"/>
              </w:rPr>
              <w:t>(2)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 / 80 %</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 / 67 %</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2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 / 56 %</w:t>
            </w:r>
          </w:p>
        </w:tc>
        <w:tc>
          <w:tcPr>
            <w:tcW w:w="30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 / 35 %</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Chartered Robotics vessels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 / 91 %</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 / 90 %</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Shallow Water Abandonment vessels </w:t>
            </w:r>
            <w:r>
              <w:rPr>
                <w:rFonts w:ascii="Arial" w:cs="Arial" w:eastAsia="Arial" w:hAnsi="Arial"/>
                <w:sz w:val="23"/>
                <w:szCs w:val="23"/>
                <w:color w:val="auto"/>
                <w:vertAlign w:val="superscript"/>
              </w:rPr>
              <w:t>(4)</w:t>
            </w:r>
          </w:p>
        </w:tc>
        <w:tc>
          <w:tcPr>
            <w:tcW w:w="2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 / 58 %</w:t>
            </w:r>
          </w:p>
        </w:tc>
        <w:tc>
          <w:tcPr>
            <w:tcW w:w="30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 — %</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Shallow Water Abandonment systems </w:t>
            </w:r>
            <w:r>
              <w:rPr>
                <w:rFonts w:ascii="Arial" w:cs="Arial" w:eastAsia="Arial" w:hAnsi="Arial"/>
                <w:sz w:val="23"/>
                <w:szCs w:val="23"/>
                <w:color w:val="auto"/>
                <w:vertAlign w:val="superscript"/>
              </w:rPr>
              <w:t>(5)</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 / 68 %</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 — %</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20" w:hanging="652"/>
        <w:spacing w:after="0" w:line="23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number of vessels, Robotics assets or marketable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96" w:lineRule="exact"/>
        <w:rPr>
          <w:rFonts w:ascii="Arial" w:cs="Arial" w:eastAsia="Arial" w:hAnsi="Arial"/>
          <w:sz w:val="18"/>
          <w:szCs w:val="18"/>
          <w:color w:val="auto"/>
        </w:rPr>
      </w:pPr>
    </w:p>
    <w:p>
      <w:pPr>
        <w:ind w:left="660" w:right="180" w:hanging="652"/>
        <w:spacing w:after="0" w:line="23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Robotics assets or marketable Shallow Water Abandonment systems generated revenues by the total number of calendar days in the applicable period. Utilization rates of chartered Robotics vessels during the three-month periods ended March 31, 2023 and 2022 included 13 spot vessel days at 81% utilization and 136 spot vessel days at near full utilization, respectively.</w:t>
      </w:r>
    </w:p>
    <w:p>
      <w:pPr>
        <w:spacing w:after="0" w:line="94"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ROVs, trenchers and the IROV boulder grab.</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marketable P&amp;A and coiled tubing systems.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500" w:firstLine="648"/>
        <w:spacing w:after="0" w:line="246"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5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5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3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4,469</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3,850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619</w:t>
            </w:r>
          </w:p>
        </w:tc>
      </w:tr>
      <w:tr>
        <w:trPr>
          <w:trHeight w:val="203"/>
        </w:trPr>
        <w:tc>
          <w:tcPr>
            <w:tcW w:w="5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Robotics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7,393</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8,037</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(644)</w:t>
            </w:r>
          </w:p>
        </w:tc>
      </w:tr>
      <w:tr>
        <w:trPr>
          <w:trHeight w:val="196"/>
        </w:trPr>
        <w:tc>
          <w:tcPr>
            <w:tcW w:w="5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11,862</w:t>
            </w: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11,887</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three-month period ended March 31, 2023 increased by 67%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the same period in 2022, reflecting higher revenues across our business segments.</w:t>
      </w:r>
    </w:p>
    <w:p>
      <w:pPr>
        <w:spacing w:after="0" w:line="176"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 xml:space="preserve">Our Well Intervention revenues increased by 34% for the three-month period ended March 31, 2023 as compared to the same period in 2022, primarily reflecting higher utilization in the North Sea and higher rates in the Gulf of Mexico and Brazil, offset in part by lower revenue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Revenues in the North Sea improved with strong winter season activity, generating 81% utilization during the first quarter 2023 as compared to the first quarter 2022, which generated 13% utilization. Revenues in the Gulf of Mexico benefitted from an improved day rate environment year over year, and revenues in Brazil increased primarily due to higher rates as both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commenced long-term contracts with improved rates at the end of 2022. During the first quarter 2023,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had 53 days of dry dock during which it generated no revenue and 37 days of paid transit and mobilization to Asia Pacific for which all revenues have been deferred.</w:t>
      </w:r>
    </w:p>
    <w:p>
      <w:pPr>
        <w:spacing w:after="0" w:line="207" w:lineRule="exact"/>
        <w:rPr>
          <w:sz w:val="20"/>
          <w:szCs w:val="20"/>
          <w:color w:val="auto"/>
        </w:rPr>
      </w:pPr>
    </w:p>
    <w:p>
      <w:pPr>
        <w:ind w:right="220" w:firstLine="648"/>
        <w:spacing w:after="0" w:line="237" w:lineRule="auto"/>
        <w:rPr>
          <w:sz w:val="20"/>
          <w:szCs w:val="20"/>
          <w:color w:val="auto"/>
        </w:rPr>
      </w:pPr>
      <w:r>
        <w:rPr>
          <w:rFonts w:ascii="Arial" w:cs="Arial" w:eastAsia="Arial" w:hAnsi="Arial"/>
          <w:sz w:val="18"/>
          <w:szCs w:val="18"/>
          <w:color w:val="auto"/>
        </w:rPr>
        <w:t>Our Robotics revenues increased by 32% for the three-month period ended March 31, 2023 as compared to the same period in 2022, primarily reflecting higher ROV and trenching activities, offset in part by fewer vessel days year over year. ROV and trencher utilization increased to 56% in the first quarter 2023 from 35% during the first quarter 2022 and included 66 days of integrated vessel trenching in both periods as well as 90 days of stand-alone trencher activities during the first quarter 2023. While chartered vessel utilization remained relatively flat at 91% during the first quarter 2023 as compared to 90% during the first quarter 2022, chartered vessel days decreased to 295 days as compared to 323 days primarily due to fewer spot vessel days during the first quarter 2023 performing seabed clearance work in the North Sea.</w:t>
      </w:r>
    </w:p>
    <w:p>
      <w:pPr>
        <w:spacing w:after="0" w:line="203"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Our Shallow Water Abandonment revenues for the three-month period ended March 31, 2023 reflected revenues generated by Helix Alliance as a result of the Alliance acquisition on July 1, 2022 (Note 3) with 58% utilization across 20 vessels and 1,277 days of utilization across marketable P&amp;A and coiled tubing systems during the quarter.</w:t>
      </w:r>
    </w:p>
    <w:p>
      <w:pPr>
        <w:spacing w:after="0" w:line="203"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 xml:space="preserve">Our Production Facilities revenues for the three-month period ended March 31, 2023 increased by 14% as compared to the same period in 2022, primarily reflecting higher oil and gas production with the contribution from our interest in the Thunder Hawk Field acquired during the third quarter 2022 and improved rates on our </w:t>
      </w:r>
      <w:r>
        <w:rPr>
          <w:rFonts w:ascii="Arial" w:cs="Arial" w:eastAsia="Arial" w:hAnsi="Arial"/>
          <w:sz w:val="18"/>
          <w:szCs w:val="18"/>
          <w:i w:val="1"/>
          <w:iCs w:val="1"/>
          <w:color w:val="auto"/>
        </w:rPr>
        <w:t>HP I</w:t>
      </w:r>
      <w:r>
        <w:rPr>
          <w:rFonts w:ascii="Arial" w:cs="Arial" w:eastAsia="Arial" w:hAnsi="Arial"/>
          <w:sz w:val="18"/>
          <w:szCs w:val="18"/>
          <w:color w:val="auto"/>
        </w:rPr>
        <w:t xml:space="preserve"> production contract.</w:t>
      </w:r>
    </w:p>
    <w:p>
      <w:pPr>
        <w:spacing w:after="0" w:line="18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b w:val="1"/>
          <w:bCs w:val="1"/>
          <w:i w:val="1"/>
          <w:iCs w:val="1"/>
          <w:color w:val="auto"/>
        </w:rPr>
        <w:t xml:space="preserve">Gross Profit (Loss). </w:t>
      </w:r>
      <w:r>
        <w:rPr>
          <w:rFonts w:ascii="Arial" w:cs="Arial" w:eastAsia="Arial" w:hAnsi="Arial"/>
          <w:sz w:val="17"/>
          <w:szCs w:val="17"/>
          <w:color w:val="auto"/>
        </w:rPr>
        <w:t>Our consolidated gross profit was $15.2 million for the three-month period ended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2023 as compared to consolidated gross loss of $18.6 million for the same period in 2022, primarily reflecting increased profitability in our Well Intervention and Robotics segments as well as the addition of Shallow Water Abandonment segment.</w:t>
      </w:r>
    </w:p>
    <w:p>
      <w:pPr>
        <w:spacing w:after="0" w:line="174"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Our Well Intervention gross loss for the three-month period ended March 31, 2023 was $4.4 million as compared to a gross loss of $28.4 million for the same period in 2022, primarily reflecting higher segment revenues.</w:t>
      </w:r>
    </w:p>
    <w:p>
      <w:pPr>
        <w:spacing w:after="0" w:line="197"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Our Robotics gross profit increased by $3.5 million for the three-month period ended March 31, 2023 as compared to the same period in 2022, primarily reflecting higher revenues due to increased ROV and trenching activities.</w:t>
      </w:r>
    </w:p>
    <w:p>
      <w:pPr>
        <w:spacing w:after="0" w:line="197" w:lineRule="exact"/>
        <w:rPr>
          <w:sz w:val="20"/>
          <w:szCs w:val="20"/>
          <w:color w:val="auto"/>
        </w:rPr>
      </w:pPr>
    </w:p>
    <w:p>
      <w:pPr>
        <w:ind w:right="340" w:firstLine="648"/>
        <w:spacing w:after="0" w:line="246" w:lineRule="auto"/>
        <w:rPr>
          <w:sz w:val="20"/>
          <w:szCs w:val="20"/>
          <w:color w:val="auto"/>
        </w:rPr>
      </w:pPr>
      <w:r>
        <w:rPr>
          <w:rFonts w:ascii="Arial" w:cs="Arial" w:eastAsia="Arial" w:hAnsi="Arial"/>
          <w:sz w:val="18"/>
          <w:szCs w:val="18"/>
          <w:color w:val="auto"/>
        </w:rPr>
        <w:t>Our Shallow Water Abandonment gross profit for the three-month period ended March 31, 2023 reflected results from Helix Alliance.</w:t>
      </w:r>
    </w:p>
    <w:p>
      <w:pPr>
        <w:spacing w:after="0" w:line="197"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Our Production Facilities gross profit decreased by $0.8 million for the three-month period ended March 31, 2023 as compared to the same period in 2022, primarily reflecting higher oil and gas operating costs following the Thunder Hawk Field acquisition as compared to the same period in 2022.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ind w:right="400" w:firstLine="648"/>
        <w:spacing w:after="0" w:line="271" w:lineRule="auto"/>
        <w:rPr>
          <w:sz w:val="20"/>
          <w:szCs w:val="20"/>
          <w:color w:val="auto"/>
        </w:rPr>
      </w:pPr>
      <w:r>
        <w:rPr>
          <w:rFonts w:ascii="Arial" w:cs="Arial" w:eastAsia="Arial" w:hAnsi="Arial"/>
          <w:sz w:val="18"/>
          <w:szCs w:val="18"/>
          <w:b w:val="1"/>
          <w:bCs w:val="1"/>
          <w:i w:val="1"/>
          <w:iCs w:val="1"/>
          <w:color w:val="auto"/>
        </w:rPr>
        <w:t xml:space="preserve">Acquisition and Integration Costs. </w:t>
      </w:r>
      <w:r>
        <w:rPr>
          <w:rFonts w:ascii="Arial" w:cs="Arial" w:eastAsia="Arial" w:hAnsi="Arial"/>
          <w:sz w:val="18"/>
          <w:szCs w:val="18"/>
          <w:color w:val="auto"/>
        </w:rPr>
        <w:t>Our acquisition and integration costs were $ 0.2 million for the three-month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ended March 31, 2023, reflecting Alliance acquisition related costs incurred during the first quarter 2023.</w:t>
      </w:r>
    </w:p>
    <w:p>
      <w:pPr>
        <w:spacing w:after="0" w:line="154" w:lineRule="exact"/>
        <w:rPr>
          <w:sz w:val="20"/>
          <w:szCs w:val="20"/>
          <w:color w:val="auto"/>
        </w:rPr>
      </w:pPr>
    </w:p>
    <w:p>
      <w:pPr>
        <w:ind w:right="780" w:firstLine="648"/>
        <w:spacing w:after="0" w:line="247" w:lineRule="auto"/>
        <w:rPr>
          <w:sz w:val="20"/>
          <w:szCs w:val="20"/>
          <w:color w:val="auto"/>
        </w:rPr>
      </w:pPr>
      <w:r>
        <w:rPr>
          <w:rFonts w:ascii="Arial" w:cs="Arial" w:eastAsia="Arial" w:hAnsi="Arial"/>
          <w:sz w:val="18"/>
          <w:szCs w:val="18"/>
          <w:b w:val="1"/>
          <w:bCs w:val="1"/>
          <w:i w:val="1"/>
          <w:iCs w:val="1"/>
          <w:color w:val="auto"/>
        </w:rPr>
        <w:t xml:space="preserve">Change in Fair Value of Contingent Consideration. </w:t>
      </w:r>
      <w:r>
        <w:rPr>
          <w:rFonts w:ascii="Arial" w:cs="Arial" w:eastAsia="Arial" w:hAnsi="Arial"/>
          <w:sz w:val="18"/>
          <w:szCs w:val="18"/>
          <w:color w:val="auto"/>
        </w:rPr>
        <w:t>The $4.0 million change in fair value of contingent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for the three-month period ended March 31, 2023 reflected an increase in the estimated earn-out consideration payable to the seller in the Alliance transaction in 2024 primarily due to an improved outlook for Helix Alliance’s 2023 results (Notes 3 and 17).</w:t>
      </w:r>
    </w:p>
    <w:p>
      <w:pPr>
        <w:spacing w:after="0" w:line="17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$ 19.6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three-month period ended March 31, 2023 as compared to $14.4 million for the same period in 2022, primarily reflecting higher employee compensation costs.</w:t>
      </w:r>
    </w:p>
    <w:p>
      <w:pPr>
        <w:spacing w:after="0" w:line="169" w:lineRule="exact"/>
        <w:rPr>
          <w:sz w:val="20"/>
          <w:szCs w:val="20"/>
          <w:color w:val="auto"/>
        </w:rPr>
      </w:pPr>
    </w:p>
    <w:p>
      <w:pPr>
        <w:jc w:val="both"/>
        <w:ind w:right="32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$4.2 million for the three-month period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as compared to $5.2 million for the same period in 2022, primarily reflecting the increase in interest income and the repayment of certain indebtedness (Note 6).</w:t>
      </w:r>
    </w:p>
    <w:p>
      <w:pPr>
        <w:spacing w:after="0" w:line="16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Net other income was $3.4 million for the three-month period ended March 31,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net other expense of $3.9 million for the same period in 2022 primarily due to foreign currency transaction gains (losses) reflecting the strengthening (weakening) of the British pound.</w:t>
      </w:r>
    </w:p>
    <w:p>
      <w:pPr>
        <w:spacing w:after="0" w:line="169" w:lineRule="exact"/>
        <w:rPr>
          <w:sz w:val="20"/>
          <w:szCs w:val="20"/>
          <w:color w:val="auto"/>
        </w:rPr>
      </w:pPr>
    </w:p>
    <w:p>
      <w:pPr>
        <w:ind w:right="100" w:firstLine="648"/>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benefit was $ 2.0 million for the three-month period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as compared to an income tax provision of $2.1 million for the same period in 2022. The effective tax rates for the three-month periods ended March 31, 2023 and 2022 were 28.1% and (5.4)%, respectively. These variances were primarily attributable to the earnings mix between our higher and lower tax rate jurisdictions as well as losses for which no financial statement benefits have been recognized (Note 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34" w:lineRule="exact"/>
        <w:rPr>
          <w:sz w:val="20"/>
          <w:szCs w:val="20"/>
          <w:color w:val="auto"/>
        </w:rPr>
      </w:pPr>
    </w:p>
    <w:p>
      <w:pPr>
        <w:ind w:right="780" w:firstLine="648"/>
        <w:spacing w:after="0" w:line="246" w:lineRule="auto"/>
        <w:rPr>
          <w:sz w:val="20"/>
          <w:szCs w:val="20"/>
          <w:color w:val="auto"/>
        </w:rPr>
      </w:pPr>
      <w:r>
        <w:rPr>
          <w:rFonts w:ascii="Arial" w:cs="Arial" w:eastAsia="Arial" w:hAnsi="Arial"/>
          <w:sz w:val="18"/>
          <w:szCs w:val="18"/>
          <w:color w:val="auto"/>
        </w:rPr>
        <w:t>The following table presents certain information useful in the analysis of our financial condition and liquidity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5"/>
        </w:trPr>
        <w:tc>
          <w:tcPr>
            <w:tcW w:w="6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working capital</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161,323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162,634</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222,008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225,875</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Liquidity</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246,722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284,729</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Working Capital</w:t>
      </w:r>
    </w:p>
    <w:p>
      <w:pPr>
        <w:spacing w:after="0" w:line="234" w:lineRule="exact"/>
        <w:rPr>
          <w:sz w:val="20"/>
          <w:szCs w:val="20"/>
          <w:color w:val="auto"/>
        </w:rPr>
      </w:pPr>
    </w:p>
    <w:p>
      <w:pPr>
        <w:ind w:right="320" w:firstLine="648"/>
        <w:spacing w:after="0" w:line="274" w:lineRule="auto"/>
        <w:rPr>
          <w:sz w:val="20"/>
          <w:szCs w:val="20"/>
          <w:color w:val="auto"/>
        </w:rPr>
      </w:pPr>
      <w:r>
        <w:rPr>
          <w:rFonts w:ascii="Arial" w:cs="Arial" w:eastAsia="Arial" w:hAnsi="Arial"/>
          <w:sz w:val="17"/>
          <w:szCs w:val="17"/>
          <w:color w:val="auto"/>
        </w:rPr>
        <w:t>Net working capital is equal to current assets minus current liabilities and includes current maturities of long-term debt. Net working capital measures short-term liquidity and is important for predicting cash flow and debt requirements.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in the table above is net of unamortized debt issuance costs and excludes current maturities of</w:t>
      </w:r>
    </w:p>
    <w:p>
      <w:pPr>
        <w:spacing w:after="0" w:line="234" w:lineRule="auto"/>
        <w:rPr>
          <w:sz w:val="20"/>
          <w:szCs w:val="20"/>
          <w:color w:val="auto"/>
        </w:rPr>
      </w:pPr>
      <w:r>
        <w:rPr>
          <w:rFonts w:ascii="Arial" w:cs="Arial" w:eastAsia="Arial" w:hAnsi="Arial"/>
          <w:sz w:val="18"/>
          <w:szCs w:val="18"/>
          <w:color w:val="auto"/>
        </w:rPr>
        <w:t>$38.5 million at March 31, 2023 and $38.2 million at December 31, 2022. See Note 6 for information relating to our long-term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34"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We define liquidity as cash and cash equivalents, excluding restricted cash, plus available capacity under our credit facility. Our liquidity at March 31, 2023 included $166.7 million of cash and cash equivalents and $80.0 million of available borrowing capacity under the Amended ABL Facility (Note 6) and excluded $2.5 million of restricted cash. Our liquidity at December 31, 2022 included $186.6 million of cash and cash equivalents and $98.1 million of available borrowing capacity under the Amended ABL Facility and excluded $2.5 million of restricted cash. As of March 31, 2023, we had approximately $27.8 million in Nigerian Naira, which is subject to currency exchange controls established by the Central Bank of Nigeria. Those exchange controls have to date restricted our ability to convert our Nigerian Naira into U.S. dollars.</w:t>
      </w:r>
    </w:p>
    <w:p>
      <w:pPr>
        <w:spacing w:after="0" w:line="203"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During 2022, we saw an improvement in the markets we serve as evidenced by increases in our revenues and gross profit. We expect continued improvements in our operating performance, increases in our cash position and high availability on the Amended ABL Facility. We believe that our cash on hand, internally generated cash flows and availability under the Amended ABL Facility will be sufficient to fund our operations and service our debt over at least the next 12 months.</w:t>
      </w:r>
    </w:p>
    <w:p>
      <w:pPr>
        <w:spacing w:after="0" w:line="20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A period of weak industry activity may make it difficult to comply with the covenants and other restrictions in our debt agreements. Our failure to comply with the covenants and other restrictions could lead to an event of default. Decreases in our borrowing base may limit our ability to fully access the Amended ABL Facility. We currently do not anticipate borrowing under the Amended ABL Facility other than for the issuance of letters of credit.</w:t>
      </w:r>
    </w:p>
    <w:p>
      <w:pPr>
        <w:spacing w:after="0" w:line="205"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On February 20, 2023, we announced that our Board authorized a new share repurchase program under which we are authorized to repurchase up to $200 million issued and outstanding shares of our common stock. The 2023 Repurchase Program has no set expiration date. Repurchases under the 2023 Repurchase Program are expected to be made through open market purchases in compliance with Rule 10b-18 under the Exchange Act, privately negotiated transactions or plans, instructions or contracts established under Rule 10b5-1 under the Exchange Act. The manner, timing and amount of any purchase will be determined by management based on an evaluation of market conditions, stock price, liquidity and other factors. The 2023 Repurchase Program does not obligate us to acquire any particular amount of common stock and may be modified or superseded at any time at our discretion. The purchase of shares by us under the 2023 Repurchase Program is at our discretion and subject to prevailing financial and market conditions. Any repurchased shares are expected to be cancelled. During the three-month period ended March 31, 2023, we repurchased a total of 660,000 shares of our common stock for approximately $5.0 million pursuant to the 2023 Repurchase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p>
      <w:pPr>
        <w:ind w:right="1120" w:firstLine="648"/>
        <w:spacing w:after="0" w:line="246" w:lineRule="auto"/>
        <w:rPr>
          <w:sz w:val="20"/>
          <w:szCs w:val="20"/>
          <w:color w:val="auto"/>
        </w:rPr>
      </w:pPr>
      <w:r>
        <w:rPr>
          <w:rFonts w:ascii="Arial" w:cs="Arial" w:eastAsia="Arial" w:hAnsi="Arial"/>
          <w:sz w:val="18"/>
          <w:szCs w:val="18"/>
          <w:color w:val="auto"/>
        </w:rPr>
        <w:t>The following table provides summary data from our condensed consolidated statements of cash flows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Three Months Ended</w:t>
            </w:r>
          </w:p>
        </w:tc>
      </w:tr>
      <w:tr>
        <w:trPr>
          <w:trHeight w:val="225"/>
        </w:trPr>
        <w:tc>
          <w:tcPr>
            <w:tcW w:w="45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8"/>
              </w:rPr>
              <w:t>March 31,</w:t>
            </w:r>
          </w:p>
        </w:tc>
        <w:tc>
          <w:tcPr>
            <w:tcW w:w="1040" w:type="dxa"/>
            <w:vAlign w:val="bottom"/>
            <w:tcBorders>
              <w:bottom w:val="single" w:sz="8" w:color="auto"/>
            </w:tcBorders>
          </w:tcPr>
          <w:p>
            <w:pPr>
              <w:spacing w:after="0"/>
              <w:rPr>
                <w:sz w:val="19"/>
                <w:szCs w:val="19"/>
                <w:color w:val="auto"/>
              </w:rPr>
            </w:pPr>
          </w:p>
        </w:tc>
      </w:tr>
      <w:tr>
        <w:trPr>
          <w:trHeight w:val="196"/>
        </w:trPr>
        <w:tc>
          <w:tcPr>
            <w:tcW w:w="450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4500" w:type="dxa"/>
            <w:vAlign w:val="bottom"/>
          </w:tcPr>
          <w:p>
            <w:pPr>
              <w:ind w:left="120"/>
              <w:spacing w:after="0" w:line="202" w:lineRule="exact"/>
              <w:rPr>
                <w:sz w:val="20"/>
                <w:szCs w:val="20"/>
                <w:color w:val="auto"/>
              </w:rPr>
            </w:pPr>
            <w:r>
              <w:rPr>
                <w:rFonts w:ascii="Arial" w:cs="Arial" w:eastAsia="Arial" w:hAnsi="Arial"/>
                <w:sz w:val="18"/>
                <w:szCs w:val="18"/>
                <w:color w:val="auto"/>
              </w:rPr>
              <w:t>Operating activities</w:t>
            </w:r>
          </w:p>
        </w:tc>
        <w:tc>
          <w:tcPr>
            <w:tcW w:w="2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(5,392)</w:t>
            </w:r>
          </w:p>
        </w:tc>
        <w:tc>
          <w:tcPr>
            <w:tcW w:w="6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(17,413)</w:t>
            </w:r>
          </w:p>
        </w:tc>
      </w:tr>
      <w:tr>
        <w:trPr>
          <w:trHeight w:val="203"/>
        </w:trPr>
        <w:tc>
          <w:tcPr>
            <w:tcW w:w="4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Investing activities</w:t>
            </w: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(6,300)</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(623)</w:t>
            </w:r>
          </w:p>
        </w:tc>
      </w:tr>
      <w:tr>
        <w:trPr>
          <w:trHeight w:val="217"/>
        </w:trPr>
        <w:tc>
          <w:tcPr>
            <w:tcW w:w="450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(9,424)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(5,408)</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4" w:lineRule="exact"/>
        <w:rPr>
          <w:sz w:val="20"/>
          <w:szCs w:val="20"/>
          <w:color w:val="auto"/>
        </w:rPr>
      </w:pPr>
    </w:p>
    <w:p>
      <w:pPr>
        <w:jc w:val="both"/>
        <w:ind w:right="100" w:firstLine="648"/>
        <w:spacing w:after="0" w:line="238" w:lineRule="auto"/>
        <w:rPr>
          <w:sz w:val="20"/>
          <w:szCs w:val="20"/>
          <w:color w:val="auto"/>
        </w:rPr>
      </w:pPr>
      <w:r>
        <w:rPr>
          <w:rFonts w:ascii="Arial" w:cs="Arial" w:eastAsia="Arial" w:hAnsi="Arial"/>
          <w:sz w:val="18"/>
          <w:szCs w:val="18"/>
          <w:color w:val="auto"/>
        </w:rPr>
        <w:t>The decrease in our operating cash outflows for the three-month period ended March 31, 2023 as compared to the same period in 2022 primarily reflects higher earnings, offset in part by higher regulatory recertification costs for our vessels and systems and higher working capital outflows. Regulatory recertification spend on our vessels and systems amounted to $17.2 million and $5.5 million, respectively, during the comparable year over year periods.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4"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Cash flows used in investing activities for the three-month periods ended March 31, 2023 and 2022 reflect higher capital expenditures as a result of increased activity levels.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4"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Net cash outflows from financing activities for the three-month period ended March 31, 2023 primarily reflect the $5.0 million repurchase of our common stock under the 2023 Repurchase Program and the principal repayment of $4.1 million related to the MARAD Debt. Net cash outflows from financing activities for the three-month period ended March 31, 2022 primarily reflect the principal repayment of $3.9 million related to the MARAD Debt (Note 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234"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Our material cash requirements include our obligations to repay our long-term debt, satisfy other contractual cash commitments and fund other obligations, including the payment of the Alliance earn-out consideration to the seller in the Alliance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and other contractual commitments</w:t>
      </w:r>
    </w:p>
    <w:p>
      <w:pPr>
        <w:spacing w:after="0" w:line="234"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following table summarizes the principal amount of our long-term debt and related debt service costs as well as other contractual commitments, which include commitments for property and equipment and operating lease obligations, as of March 31, 2023 and the portions of those amounts that are short-term (due in less than one year) and long-term (due in one year or greater) based on their stated maturities (in thousands). Our property and equipment commitments include contractually committed amounts to purchase and service certain property and equipment (inclusive of commitments related to regulatory recertification and dry dock as discussed below) but do not include expected capital spending that is not contractually committed as of March 31, 2023. Our 2023 Notes and 2026 Notes have certain early redemption and conversion features that could affect the timing and amount of any cash requirements. Although upon conversion these notes are able to be settled in either cash or shares, we intend to settle their principal amounts in cash (Note 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Short-Term</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Long-Term</w:t>
            </w:r>
          </w:p>
        </w:tc>
      </w:tr>
      <w:tr>
        <w:trPr>
          <w:trHeight w:val="196"/>
        </w:trPr>
        <w:tc>
          <w:tcPr>
            <w:tcW w:w="2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MARAD debt</w:t>
            </w:r>
          </w:p>
        </w:tc>
        <w:tc>
          <w:tcPr>
            <w:tcW w:w="2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36,797</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8,539</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28,258</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2023 Notes</w:t>
            </w: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 Notes</w:t>
            </w:r>
          </w:p>
        </w:tc>
        <w:tc>
          <w:tcPr>
            <w:tcW w:w="2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Interest related to debt</w:t>
            </w: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45,058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16,207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28,851</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13,631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13,631</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3"/>
                <w:szCs w:val="23"/>
                <w:color w:val="auto"/>
                <w:vertAlign w:val="superscript"/>
              </w:rPr>
              <w:t>(1)</w:t>
            </w: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395,212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126,475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268,737</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Earn-out consideration </w:t>
            </w:r>
            <w:r>
              <w:rPr>
                <w:rFonts w:ascii="Arial" w:cs="Arial" w:eastAsia="Arial" w:hAnsi="Arial"/>
                <w:sz w:val="23"/>
                <w:szCs w:val="23"/>
                <w:color w:val="auto"/>
                <w:vertAlign w:val="superscript"/>
              </w:rPr>
              <w:t>(2)</w:t>
            </w:r>
          </w:p>
        </w:tc>
        <w:tc>
          <w:tcPr>
            <w:tcW w:w="2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46,746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46,746</w:t>
            </w:r>
          </w:p>
        </w:tc>
      </w:tr>
      <w:tr>
        <w:trPr>
          <w:trHeight w:val="196"/>
        </w:trPr>
        <w:tc>
          <w:tcPr>
            <w:tcW w:w="2480" w:type="dxa"/>
            <w:vAlign w:val="bottom"/>
          </w:tcPr>
          <w:p>
            <w:pPr>
              <w:ind w:left="120"/>
              <w:spacing w:after="0" w:line="196" w:lineRule="exact"/>
              <w:rPr>
                <w:sz w:val="20"/>
                <w:szCs w:val="20"/>
                <w:color w:val="auto"/>
              </w:rPr>
            </w:pPr>
            <w:r>
              <w:rPr>
                <w:rFonts w:ascii="Arial" w:cs="Arial" w:eastAsia="Arial" w:hAnsi="Arial"/>
                <w:sz w:val="18"/>
                <w:szCs w:val="18"/>
                <w:color w:val="auto"/>
              </w:rPr>
              <w:t>Total cash obligations</w:t>
            </w:r>
          </w:p>
        </w:tc>
        <w:tc>
          <w:tcPr>
            <w:tcW w:w="22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767,444</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194,852</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572,592</w:t>
            </w:r>
          </w:p>
        </w:tc>
      </w:tr>
      <w:tr>
        <w:trPr>
          <w:trHeight w:val="20"/>
        </w:trPr>
        <w:tc>
          <w:tcPr>
            <w:tcW w:w="2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r>
    </w:tbl>
    <w:p>
      <w:pPr>
        <w:spacing w:after="0" w:line="94" w:lineRule="exact"/>
        <w:rPr>
          <w:sz w:val="20"/>
          <w:szCs w:val="20"/>
          <w:color w:val="auto"/>
        </w:rPr>
      </w:pPr>
    </w:p>
    <w:p>
      <w:pPr>
        <w:ind w:left="660" w:right="140" w:hanging="652"/>
        <w:spacing w:after="0" w:line="23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leases include vessel charters and facility and equipment leases. At March 31, 2023, our commitment related to long-term vessel charters totaled approximately $361.2 million, of which $147.7 million was related to the non-lease (services) components that are not included in operating lease liabilities in the condensed consolidated balance sheet as of March 31, 2023.</w:t>
      </w:r>
    </w:p>
    <w:p>
      <w:pPr>
        <w:spacing w:after="0" w:line="96" w:lineRule="exact"/>
        <w:rPr>
          <w:rFonts w:ascii="Arial" w:cs="Arial" w:eastAsia="Arial" w:hAnsi="Arial"/>
          <w:sz w:val="18"/>
          <w:szCs w:val="18"/>
          <w:color w:val="auto"/>
        </w:rPr>
      </w:pPr>
    </w:p>
    <w:p>
      <w:pPr>
        <w:ind w:left="660" w:right="260" w:hanging="652"/>
        <w:spacing w:after="0" w:line="23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part of the Alliance acquisition, we are required to make the earn-out payment to the seller in the Alliance transaction in 2024 in the event the Helix Alliance business achieves certain financial metrics in 2022 and 2023 (Note 3). Amount reflects the estimated fair value of the earn-out as of March 31, 2023 although the final earn-out payable is not capped.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material cash requirements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material cash requirements include the following:</w:t>
      </w:r>
    </w:p>
    <w:p>
      <w:pPr>
        <w:spacing w:after="0" w:line="194"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We have decommissioning obligations associated with our oil and gas properties (Note 13).</w:t>
      </w:r>
      <w:r>
        <w:rPr>
          <w:rFonts w:ascii="Arial" w:cs="Arial" w:eastAsia="Arial" w:hAnsi="Arial"/>
          <w:sz w:val="18"/>
          <w:szCs w:val="18"/>
          <w:i w:val="1"/>
          <w:iCs w:val="1"/>
          <w:color w:val="auto"/>
        </w:rPr>
        <w:t xml:space="preserve"> </w:t>
      </w:r>
      <w:r>
        <w:rPr>
          <w:rFonts w:ascii="Arial" w:cs="Arial" w:eastAsia="Arial" w:hAnsi="Arial"/>
          <w:sz w:val="18"/>
          <w:szCs w:val="18"/>
          <w:color w:val="auto"/>
        </w:rPr>
        <w:t>Those obligations, which are presented on a discounted basis on the condensed consolidated balance sheets, approximate $45.0 million (undiscounted) for Thunder Hawk Field oil and gas properties and $33.5 million (undiscounted) for Droshky oil and gas properties as of March 31, 2023, none of which is expected to be paid during the next 12 months. We are entitled to receive $30.0 million (undiscounted) from Marathon Oil as certain decommissioning obligations associated with Droshky oil and gas properties are fulfilled.</w:t>
      </w:r>
    </w:p>
    <w:p>
      <w:pPr>
        <w:spacing w:after="0" w:line="184"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i w:val="1"/>
          <w:iCs w:val="1"/>
          <w:color w:val="auto"/>
        </w:rPr>
        <w:t xml:space="preserve">Regulatory recertification and dry dock. </w:t>
      </w:r>
      <w:r>
        <w:rPr>
          <w:rFonts w:ascii="Arial" w:cs="Arial" w:eastAsia="Arial" w:hAnsi="Arial"/>
          <w:sz w:val="18"/>
          <w:szCs w:val="18"/>
          <w:color w:val="auto"/>
        </w:rPr>
        <w:t>Our Well Intervention vessels and systems are subject to certain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recertification requirements that must be satisfied in order for the vessels and systems to operate. Recertification may require dry dock and other compliance costs on a periodic basis, usually every 30 months. Although the amount and timing of these costs may vary and are dependent on the timing of the certification renewal period, they generally range between $3.0 million to $15.0 million per vessel and $0.5 million to $5.0 million per system.</w:t>
      </w:r>
    </w:p>
    <w:p>
      <w:pPr>
        <w:spacing w:after="0" w:line="203" w:lineRule="exact"/>
        <w:rPr>
          <w:sz w:val="20"/>
          <w:szCs w:val="20"/>
          <w:color w:val="auto"/>
        </w:rPr>
      </w:pPr>
    </w:p>
    <w:p>
      <w:pPr>
        <w:ind w:right="240" w:firstLine="648"/>
        <w:spacing w:after="0"/>
        <w:rPr>
          <w:sz w:val="20"/>
          <w:szCs w:val="20"/>
          <w:color w:val="auto"/>
        </w:rPr>
      </w:pPr>
      <w:r>
        <w:rPr>
          <w:rFonts w:ascii="Arial" w:cs="Arial" w:eastAsia="Arial" w:hAnsi="Arial"/>
          <w:sz w:val="18"/>
          <w:szCs w:val="18"/>
          <w:color w:val="auto"/>
        </w:rPr>
        <w:t>We expect the sources of funds to satisfy our material cash requirements to primarily come from our ongoing operations and existing cash on hand, but may also come from availability under the Amended ABL Facility and access to capital markets.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34"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Our discussion and analysis of our financial condition and results of operations, as reflected in the condensed consolidated financial statements and related footnotes,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For information regarding our critical accounting estimates, see our “Critical Accounting Estimates” as disclosed in our 2022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As a multi-national organization, we are subject to market risks associated with foreign currency exchange rates, interest rates and commodity prices.</w:t>
      </w:r>
    </w:p>
    <w:p>
      <w:pPr>
        <w:spacing w:after="0" w:line="179" w:lineRule="exact"/>
        <w:rPr>
          <w:sz w:val="20"/>
          <w:szCs w:val="20"/>
          <w:color w:val="auto"/>
        </w:rPr>
      </w:pPr>
    </w:p>
    <w:p>
      <w:pPr>
        <w:ind w:right="40" w:firstLine="648"/>
        <w:spacing w:after="0"/>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Because we operate in various regions around the world, we conduct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spacing w:after="0" w:line="20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Assets and liabilities of our subsidiaries that do not have the U.S. dollar as their functional currency are translated using the exchange rates in effect at the balance sheet date, and changes in the exchange rates can result in translation adjustments that are reflected in “Accumulated other comprehensive loss” in the shareholders’ equity section of our condensed consolidated balance sheets. For the three-month period ended March 31, 2023, we recorded foreign currency translation gains of $8.4 million to accumulated other comprehensive loss. Deferred taxes have not been provided on foreign currency translation adjustments as the related undistributed earnings are permanently reinvested.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When currencies other than the functional currency are to be paid or received, the resulting transaction gain or loss associated with changes in the applicable foreign currency exchange rate is recognized in the condensed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three-month period ended March 31, 2023, we recorded foreign currency gains of $3.4 million, primarily related to U.S. dollar denominated intercompany debt in our U.K. entities.</w:t>
      </w:r>
    </w:p>
    <w:p>
      <w:pPr>
        <w:spacing w:after="0" w:line="185"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In order to maintain a cost-effective capital structure, we borrow funds using a mix of fixed and</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rate debt. For variable rate debt, changes in interest rates could affect our future interest expense and cash flows. Alternatively for fixed rate debt, changes in interest rates may not affect our interest expense, but could result in changes in the fair value of the debt instrument prior to maturity. We currently have no exposure to interest rate risks as we have no outstanding debt subject to floating rates. However, we may be at risk upon refinancing our debt.</w:t>
      </w:r>
    </w:p>
    <w:p>
      <w:pPr>
        <w:spacing w:after="0" w:line="185" w:lineRule="exact"/>
        <w:rPr>
          <w:sz w:val="20"/>
          <w:szCs w:val="20"/>
          <w:color w:val="auto"/>
        </w:rPr>
      </w:pPr>
    </w:p>
    <w:p>
      <w:pPr>
        <w:ind w:right="160" w:firstLine="648"/>
        <w:spacing w:after="0" w:line="245"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We are exposed to market price risks related to oil and natural gas with respect to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oil and gas production in our Production Facilities business. Prices are volatile and unpredictable and are dependent on many factors beyond our control. See Item 1A. Risk Factors in our 2022 Form 10-K for a list of factors affecting oil and gas prices.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4" w:lineRule="exact"/>
        <w:rPr>
          <w:sz w:val="20"/>
          <w:szCs w:val="20"/>
          <w:color w:val="auto"/>
        </w:rPr>
      </w:pPr>
    </w:p>
    <w:p>
      <w:pPr>
        <w:ind w:right="20" w:firstLine="656"/>
        <w:spacing w:after="0" w:line="236" w:lineRule="auto"/>
        <w:tabs>
          <w:tab w:leader="none" w:pos="9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principal executive officer and principal financial officer, has evaluated the effectiveness of our disclosure controls and procedures, as defined in Rules 13a-15(e) and 15d-15(e) under the Exchange Act, as of March 31, 2023. Based on this evaluation, our principal executive officer and principal financial officer have concluded that our disclosure controls and procedures were effective as of March 31, 2023 to ensure that information that is required to be disclosed by us in the reports we file or submit under the Exchange Act is (i) recorded, processed, summarized and reported within the time periods specified in the SEC’s rules and forms; and (ii) accumulated and communicated to our management, as appropriate, to allow timely decisions regarding required disclosure.</w:t>
      </w:r>
    </w:p>
    <w:p>
      <w:pPr>
        <w:spacing w:after="0" w:line="20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As disclosed in Note (3) to the unaudited condensed consolidated financial statements, we acquired Alliance on July 1, 2022. Helix Alliance’s total revenues constituted approximately 19.7% of total consolidated revenues as shown on our condensed consolidated statement of operations for the three-month period ended March 31, 2023. Helix Alliance’s total assets constituted approximately 8.7% of total consolidated assets as shown on our condensed consolidated balance sheet as of March 31, 2023. We excluded Helix Alliance’s disclosure controls and procedures that are subsumed by its internal control over financial reporting from the scope of management's assessment of the effectiveness of our disclosure controls and procedures. This exclusion is in accordance with the guidance issued by the Staff of the Securities and Exchange Commission that an assessment of recent business combinations may be omitted from management's assessment of internal control over financial reporting for one year following the acquisition. We are in the process of implementing financial reporting controls and procedures at Helix Alliance as part of our ongoing integration activities. Helix Alliance currently maintains separate accounting systems and is expected to convert to Helix’s accounting systems no later than June 30, 2023. The condensed consolidated financial statements presented in this Quarterly Report on Form 10-Q were prepared using information obtained from these separate accounting systems.</w:t>
      </w:r>
    </w:p>
    <w:p>
      <w:pPr>
        <w:spacing w:after="0" w:line="203" w:lineRule="exact"/>
        <w:rPr>
          <w:sz w:val="20"/>
          <w:szCs w:val="20"/>
          <w:color w:val="auto"/>
        </w:rPr>
      </w:pPr>
    </w:p>
    <w:p>
      <w:pPr>
        <w:ind w:right="80" w:firstLine="656"/>
        <w:spacing w:after="0"/>
        <w:tabs>
          <w:tab w:leader="none" w:pos="9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Except as described above, there have been no changes in our internal control over financial reporting that occurred during the three-month period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See Part I, Item 1, Note 12 — Litigation to the Condensed Consolidated Financial Statements, which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There have been no material changes during the period ended March 31, 2023 in our “Risk Factors” as discussed in Item 1A of our Annual Report on Form 10-K for the year ended December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8"/>
          </w:tcPr>
          <w:p>
            <w:pPr>
              <w:jc w:val="right"/>
              <w:ind w:right="1230"/>
              <w:spacing w:after="0"/>
              <w:rPr>
                <w:sz w:val="20"/>
                <w:szCs w:val="20"/>
                <w:color w:val="auto"/>
              </w:rPr>
            </w:pPr>
            <w:r>
              <w:rPr>
                <w:rFonts w:ascii="Arial" w:cs="Arial" w:eastAsia="Arial" w:hAnsi="Arial"/>
                <w:sz w:val="18"/>
                <w:szCs w:val="18"/>
                <w:b w:val="1"/>
                <w:bCs w:val="1"/>
                <w:color w:val="auto"/>
              </w:rPr>
              <w:t>Issuer Purchases of Equity Securities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01"/>
        </w:trPr>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(d)</w:t>
            </w:r>
          </w:p>
        </w:tc>
      </w:tr>
      <w:tr>
        <w:trPr>
          <w:trHeight w:val="203"/>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200" w:type="dxa"/>
            <w:vAlign w:val="bottom"/>
          </w:tcPr>
          <w:p>
            <w:pPr>
              <w:spacing w:after="0"/>
              <w:rPr>
                <w:sz w:val="17"/>
                <w:szCs w:val="17"/>
                <w:color w:val="auto"/>
              </w:rPr>
            </w:pPr>
          </w:p>
        </w:tc>
        <w:tc>
          <w:tcPr>
            <w:tcW w:w="1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value of shares</w:t>
            </w:r>
          </w:p>
        </w:tc>
      </w:tr>
      <w:tr>
        <w:trPr>
          <w:trHeight w:val="203"/>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5"/>
              </w:rPr>
              <w:t>(b)</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that may yet be</w:t>
            </w:r>
          </w:p>
        </w:tc>
      </w:tr>
      <w:tr>
        <w:trPr>
          <w:trHeight w:val="195"/>
        </w:trPr>
        <w:tc>
          <w:tcPr>
            <w:tcW w:w="2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9"/>
              </w:rPr>
              <w:t>Total number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300"/>
              <w:spacing w:after="0" w:line="195" w:lineRule="exact"/>
              <w:rPr>
                <w:sz w:val="20"/>
                <w:szCs w:val="20"/>
                <w:color w:val="auto"/>
              </w:rPr>
            </w:pPr>
            <w:r>
              <w:rPr>
                <w:rFonts w:ascii="Arial" w:cs="Arial" w:eastAsia="Arial" w:hAnsi="Arial"/>
                <w:sz w:val="18"/>
                <w:szCs w:val="18"/>
                <w:b w:val="1"/>
                <w:bCs w:val="1"/>
                <w:color w:val="auto"/>
                <w:w w:val="98"/>
              </w:rPr>
              <w:t>Average</w:t>
            </w:r>
          </w:p>
        </w:tc>
        <w:tc>
          <w:tcPr>
            <w:tcW w:w="15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9"/>
              </w:rPr>
              <w:t>part of publicly</w:t>
            </w:r>
          </w:p>
        </w:tc>
        <w:tc>
          <w:tcPr>
            <w:tcW w:w="200" w:type="dxa"/>
            <w:vAlign w:val="bottom"/>
          </w:tcPr>
          <w:p>
            <w:pPr>
              <w:spacing w:after="0"/>
              <w:rPr>
                <w:sz w:val="16"/>
                <w:szCs w:val="16"/>
                <w:color w:val="auto"/>
              </w:rPr>
            </w:pPr>
          </w:p>
        </w:tc>
        <w:tc>
          <w:tcPr>
            <w:tcW w:w="1820" w:type="dxa"/>
            <w:vAlign w:val="bottom"/>
            <w:gridSpan w:val="2"/>
          </w:tcPr>
          <w:p>
            <w:pPr>
              <w:jc w:val="center"/>
              <w:spacing w:after="0" w:line="195" w:lineRule="exact"/>
              <w:rPr>
                <w:sz w:val="20"/>
                <w:szCs w:val="20"/>
                <w:color w:val="auto"/>
              </w:rPr>
            </w:pPr>
            <w:r>
              <w:rPr>
                <w:rFonts w:ascii="Arial" w:cs="Arial" w:eastAsia="Arial" w:hAnsi="Arial"/>
                <w:sz w:val="18"/>
                <w:szCs w:val="18"/>
                <w:b w:val="1"/>
                <w:bCs w:val="1"/>
                <w:color w:val="auto"/>
                <w:w w:val="99"/>
              </w:rPr>
              <w:t>purchased under the</w:t>
            </w:r>
          </w:p>
        </w:tc>
      </w:tr>
      <w:tr>
        <w:trPr>
          <w:trHeight w:val="203"/>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price paid</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200" w:type="dxa"/>
            <w:vAlign w:val="bottom"/>
          </w:tcPr>
          <w:p>
            <w:pPr>
              <w:spacing w:after="0"/>
              <w:rPr>
                <w:sz w:val="17"/>
                <w:szCs w:val="17"/>
                <w:color w:val="auto"/>
              </w:rPr>
            </w:pPr>
          </w:p>
        </w:tc>
        <w:tc>
          <w:tcPr>
            <w:tcW w:w="1820" w:type="dxa"/>
            <w:vAlign w:val="bottom"/>
            <w:gridSpan w:val="2"/>
          </w:tcPr>
          <w:p>
            <w:pPr>
              <w:jc w:val="center"/>
              <w:spacing w:after="0" w:line="202"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3"/>
                <w:szCs w:val="23"/>
                <w:b w:val="1"/>
                <w:bCs w:val="1"/>
                <w:color w:val="auto"/>
                <w:vertAlign w:val="superscript"/>
              </w:rPr>
              <w:t>(3)</w:t>
            </w:r>
          </w:p>
        </w:tc>
      </w:tr>
      <w:tr>
        <w:trPr>
          <w:trHeight w:val="233"/>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spacing w:after="0" w:line="232" w:lineRule="exact"/>
              <w:rPr>
                <w:sz w:val="20"/>
                <w:szCs w:val="20"/>
                <w:color w:val="auto"/>
              </w:rPr>
            </w:pPr>
            <w:r>
              <w:rPr>
                <w:rFonts w:ascii="Arial" w:cs="Arial" w:eastAsia="Arial" w:hAnsi="Arial"/>
                <w:sz w:val="18"/>
                <w:szCs w:val="18"/>
                <w:b w:val="1"/>
                <w:bCs w:val="1"/>
                <w:color w:val="auto"/>
                <w:w w:val="97"/>
              </w:rPr>
              <w:t xml:space="preserve">purchased </w:t>
            </w:r>
            <w:r>
              <w:rPr>
                <w:rFonts w:ascii="Arial" w:cs="Arial" w:eastAsia="Arial" w:hAnsi="Arial"/>
                <w:sz w:val="26"/>
                <w:szCs w:val="26"/>
                <w:b w:val="1"/>
                <w:bCs w:val="1"/>
                <w:color w:val="auto"/>
                <w:w w:val="97"/>
                <w:vertAlign w:val="superscript"/>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per share</w:t>
            </w:r>
          </w:p>
        </w:tc>
        <w:tc>
          <w:tcPr>
            <w:tcW w:w="1520" w:type="dxa"/>
            <w:vAlign w:val="bottom"/>
          </w:tcPr>
          <w:p>
            <w:pPr>
              <w:jc w:val="center"/>
              <w:spacing w:after="0" w:line="232" w:lineRule="exact"/>
              <w:rPr>
                <w:sz w:val="20"/>
                <w:szCs w:val="20"/>
                <w:color w:val="auto"/>
              </w:rPr>
            </w:pPr>
            <w:r>
              <w:rPr>
                <w:rFonts w:ascii="Arial" w:cs="Arial" w:eastAsia="Arial" w:hAnsi="Arial"/>
                <w:sz w:val="18"/>
                <w:szCs w:val="18"/>
                <w:b w:val="1"/>
                <w:bCs w:val="1"/>
                <w:color w:val="auto"/>
                <w:w w:val="96"/>
              </w:rPr>
              <w:t xml:space="preserve">or programs </w:t>
            </w:r>
            <w:r>
              <w:rPr>
                <w:rFonts w:ascii="Arial" w:cs="Arial" w:eastAsia="Arial" w:hAnsi="Arial"/>
                <w:sz w:val="26"/>
                <w:szCs w:val="26"/>
                <w:b w:val="1"/>
                <w:bCs w:val="1"/>
                <w:color w:val="auto"/>
                <w:w w:val="96"/>
                <w:vertAlign w:val="superscript"/>
              </w:rPr>
              <w:t>(2)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(in thousands)</w:t>
            </w:r>
          </w:p>
        </w:tc>
      </w:tr>
      <w:tr>
        <w:trPr>
          <w:trHeight w:val="196"/>
        </w:trPr>
        <w:tc>
          <w:tcPr>
            <w:tcW w:w="29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January 1 to January 31, 2023</w:t>
            </w: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187,733</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7.38</w:t>
            </w:r>
          </w:p>
        </w:tc>
        <w:tc>
          <w:tcPr>
            <w:tcW w:w="2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200,000</w:t>
            </w:r>
          </w:p>
        </w:tc>
      </w:tr>
      <w:tr>
        <w:trPr>
          <w:trHeight w:val="203"/>
        </w:trPr>
        <w:tc>
          <w:tcPr>
            <w:tcW w:w="2980" w:type="dxa"/>
            <w:vAlign w:val="bottom"/>
            <w:gridSpan w:val="2"/>
          </w:tcPr>
          <w:p>
            <w:pPr>
              <w:spacing w:after="0" w:line="202" w:lineRule="exact"/>
              <w:rPr>
                <w:sz w:val="20"/>
                <w:szCs w:val="20"/>
                <w:color w:val="auto"/>
              </w:rPr>
            </w:pPr>
            <w:r>
              <w:rPr>
                <w:rFonts w:ascii="Arial" w:cs="Arial" w:eastAsia="Arial" w:hAnsi="Arial"/>
                <w:sz w:val="18"/>
                <w:szCs w:val="18"/>
                <w:color w:val="auto"/>
              </w:rPr>
              <w:t>February 1 to February 28, 2023</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2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 to March 31, 2023</w:t>
            </w:r>
          </w:p>
        </w:tc>
        <w:tc>
          <w:tcPr>
            <w:tcW w:w="1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660,000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660,000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195,017</w:t>
            </w:r>
          </w:p>
        </w:tc>
      </w:tr>
      <w:tr>
        <w:trPr>
          <w:trHeight w:val="196"/>
        </w:trPr>
        <w:tc>
          <w:tcPr>
            <w:tcW w:w="2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847,733</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7.51</w:t>
            </w:r>
          </w:p>
        </w:tc>
        <w:tc>
          <w:tcPr>
            <w:tcW w:w="20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660,000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r>
    </w:tbl>
    <w:p>
      <w:pPr>
        <w:spacing w:after="0" w:line="94" w:lineRule="exact"/>
        <w:rPr>
          <w:sz w:val="20"/>
          <w:szCs w:val="20"/>
          <w:color w:val="auto"/>
        </w:rPr>
      </w:pPr>
    </w:p>
    <w:p>
      <w:pPr>
        <w:jc w:val="both"/>
        <w:ind w:left="660" w:right="120" w:hanging="652"/>
        <w:spacing w:after="0" w:line="261"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Shares purchased in January 2023 relate to shares forfeited in satisfaction of tax obligations upon vesting of share-based awards under our existing long-term incentive plans. Shares purchased in March 2023 relate to repurchases made in open-market transactions pursuant to the 2023 Repurchase Program as described in footnote (3) below.</w:t>
      </w:r>
    </w:p>
    <w:p>
      <w:pPr>
        <w:spacing w:after="0" w:line="77" w:lineRule="exact"/>
        <w:rPr>
          <w:rFonts w:ascii="Arial" w:cs="Arial" w:eastAsia="Arial" w:hAnsi="Arial"/>
          <w:sz w:val="17"/>
          <w:szCs w:val="17"/>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repurchased under the 2023 Repurchase Program.</w:t>
      </w:r>
    </w:p>
    <w:p>
      <w:pPr>
        <w:spacing w:after="0" w:line="103" w:lineRule="exact"/>
        <w:rPr>
          <w:rFonts w:ascii="Arial" w:cs="Arial" w:eastAsia="Arial" w:hAnsi="Arial"/>
          <w:sz w:val="18"/>
          <w:szCs w:val="18"/>
          <w:color w:val="auto"/>
        </w:rPr>
      </w:pPr>
    </w:p>
    <w:p>
      <w:pPr>
        <w:ind w:left="660" w:right="160" w:hanging="652"/>
        <w:spacing w:after="0" w:line="23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February 20, 2023, we announced that our Board authorized a new share repurchase program under which we are authorized to repurchase up to $200 million issued and outstanding shares of our common stock. The 2023 Repurchase Program has no set expiration date. Concurrent with the authorization of the 2023 Repurchase Program, our Board revoked the prior authorization to repurchase shares of our common stock in an amount equal to any equity granted to our employees, officers and directors under our share-based compensation plans. See Note 8 to this Quarterly Report on Form 10-Q and Note 10 to our 2022 Annual Report on Form 10-K for additional information regarding our share repurchase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2"/>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4"/>
          </w:tcPr>
          <w:p>
            <w:pPr>
              <w:ind w:left="40"/>
              <w:spacing w:after="0"/>
              <w:rPr>
                <w:sz w:val="20"/>
                <w:szCs w:val="20"/>
                <w:color w:val="auto"/>
              </w:rPr>
            </w:pPr>
            <w:r>
              <w:rPr>
                <w:rFonts w:ascii="Arial" w:cs="Arial" w:eastAsia="Arial" w:hAnsi="Arial"/>
                <w:sz w:val="18"/>
                <w:szCs w:val="18"/>
                <w:b w:val="1"/>
                <w:bCs w:val="1"/>
                <w:color w:val="auto"/>
              </w:rPr>
              <w:t>Description</w:t>
            </w: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76"/>
        </w:trPr>
        <w:tc>
          <w:tcPr>
            <w:tcW w:w="116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400" w:type="dxa"/>
            <w:vAlign w:val="bottom"/>
            <w:tcBorders>
              <w:top w:val="single" w:sz="8" w:color="auto"/>
              <w:bottom w:val="single" w:sz="8" w:color="0000EE"/>
            </w:tcBorders>
            <w:gridSpan w:val="11"/>
          </w:tcPr>
          <w:p>
            <w:pPr>
              <w:spacing w:after="0" w:line="176" w:lineRule="exact"/>
              <w:rPr>
                <w:rFonts w:ascii="Arial" w:cs="Arial" w:eastAsia="Arial" w:hAnsi="Arial"/>
                <w:sz w:val="18"/>
                <w:szCs w:val="18"/>
                <w:color w:val="0000EE"/>
              </w:rPr>
            </w:pPr>
            <w:hyperlink r:id="rId44">
              <w:r>
                <w:rPr>
                  <w:rFonts w:ascii="Arial" w:cs="Arial" w:eastAsia="Arial" w:hAnsi="Arial"/>
                  <w:sz w:val="18"/>
                  <w:szCs w:val="18"/>
                  <w:color w:val="0000EE"/>
                </w:rPr>
                <w:t>2005 Amended and Restated Articles of Incorporation,</w:t>
              </w:r>
            </w:hyperlink>
          </w:p>
        </w:tc>
        <w:tc>
          <w:tcPr>
            <w:tcW w:w="40" w:type="dxa"/>
            <w:vAlign w:val="bottom"/>
            <w:tcBorders>
              <w:top w:val="single" w:sz="8" w:color="auto"/>
            </w:tcBorders>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44">
              <w:r>
                <w:rPr>
                  <w:rFonts w:ascii="Arial" w:cs="Arial" w:eastAsia="Arial" w:hAnsi="Arial"/>
                  <w:sz w:val="18"/>
                  <w:szCs w:val="18"/>
                  <w:color w:val="0000EE"/>
                  <w:w w:val="99"/>
                </w:rPr>
                <w:t>as amended, of Helix Energy Solutions Group, Inc.</w:t>
              </w:r>
            </w:hyperlink>
          </w:p>
        </w:tc>
        <w:tc>
          <w:tcPr>
            <w:tcW w:w="400" w:type="dxa"/>
            <w:vAlign w:val="bottom"/>
            <w:gridSpan w:val="4"/>
          </w:tcPr>
          <w:p>
            <w:pPr>
              <w:spacing w:after="0"/>
              <w:rPr>
                <w:sz w:val="15"/>
                <w:szCs w:val="15"/>
                <w:color w:val="auto"/>
              </w:rPr>
            </w:pPr>
          </w:p>
        </w:tc>
      </w:tr>
      <w:tr>
        <w:trPr>
          <w:trHeight w:val="183"/>
        </w:trPr>
        <w:tc>
          <w:tcPr>
            <w:tcW w:w="1160" w:type="dxa"/>
            <w:vAlign w:val="bottom"/>
          </w:tcPr>
          <w:p>
            <w:pPr>
              <w:ind w:left="60"/>
              <w:spacing w:after="0" w:line="182" w:lineRule="exact"/>
              <w:rPr>
                <w:sz w:val="20"/>
                <w:szCs w:val="20"/>
                <w:color w:val="auto"/>
              </w:rPr>
            </w:pPr>
            <w:r>
              <w:rPr>
                <w:rFonts w:ascii="Arial" w:cs="Arial" w:eastAsia="Arial" w:hAnsi="Arial"/>
                <w:sz w:val="18"/>
                <w:szCs w:val="18"/>
                <w:color w:val="auto"/>
              </w:rPr>
              <w:t>3.2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rFonts w:ascii="Arial" w:cs="Arial" w:eastAsia="Arial" w:hAnsi="Arial"/>
                <w:sz w:val="18"/>
                <w:szCs w:val="18"/>
                <w:color w:val="0000EE"/>
              </w:rPr>
            </w:pPr>
            <w:hyperlink r:id="rId45">
              <w:r>
                <w:rPr>
                  <w:rFonts w:ascii="Arial" w:cs="Arial" w:eastAsia="Arial" w:hAnsi="Arial"/>
                  <w:sz w:val="18"/>
                  <w:szCs w:val="18"/>
                  <w:color w:val="0000EE"/>
                </w:rPr>
                <w:t>Second  Amended  and  Restated  By-Laws  of  Helix</w:t>
              </w:r>
            </w:hyperlink>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45">
              <w:r>
                <w:rPr>
                  <w:rFonts w:ascii="Arial" w:cs="Arial" w:eastAsia="Arial" w:hAnsi="Arial"/>
                  <w:sz w:val="18"/>
                  <w:szCs w:val="18"/>
                  <w:color w:val="0000EE"/>
                  <w:w w:val="99"/>
                </w:rPr>
                <w:t>Energy Solutions Group, Inc., as amended.</w:t>
              </w:r>
            </w:hyperlink>
          </w:p>
        </w:tc>
        <w:tc>
          <w:tcPr>
            <w:tcW w:w="6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160" w:type="dxa"/>
            <w:vAlign w:val="bottom"/>
          </w:tcPr>
          <w:p>
            <w:pPr>
              <w:ind w:left="60"/>
              <w:spacing w:after="0" w:line="182" w:lineRule="exact"/>
              <w:rPr>
                <w:sz w:val="20"/>
                <w:szCs w:val="20"/>
                <w:color w:val="auto"/>
              </w:rPr>
            </w:pPr>
            <w:r>
              <w:rPr>
                <w:rFonts w:ascii="Arial" w:cs="Arial" w:eastAsia="Arial" w:hAnsi="Arial"/>
                <w:sz w:val="18"/>
                <w:szCs w:val="18"/>
                <w:color w:val="auto"/>
              </w:rPr>
              <w:t>4.1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Letter Agreement, dated as of January 25, 2023, to</w:t>
              </w:r>
            </w:hyperlink>
          </w:p>
        </w:tc>
        <w:tc>
          <w:tcPr>
            <w:tcW w:w="40" w:type="dxa"/>
            <w:vAlign w:val="bottom"/>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Loan, Security and Guaranty Agreement, among Helix</w:t>
              </w:r>
            </w:hyperlink>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Energy Solutions Group, Inc., Helix Well Ops Inc.,</w:t>
              </w:r>
            </w:hyperlink>
          </w:p>
        </w:tc>
        <w:tc>
          <w:tcPr>
            <w:tcW w:w="40" w:type="dxa"/>
            <w:vAlign w:val="bottom"/>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Helix</w:t>
              </w:r>
            </w:hyperlink>
          </w:p>
        </w:tc>
        <w:tc>
          <w:tcPr>
            <w:tcW w:w="1100" w:type="dxa"/>
            <w:vAlign w:val="bottom"/>
            <w:gridSpan w:val="2"/>
          </w:tcPr>
          <w:p>
            <w:pPr>
              <w:ind w:left="160"/>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Robotics</w:t>
              </w:r>
            </w:hyperlink>
          </w:p>
        </w:tc>
        <w:tc>
          <w:tcPr>
            <w:tcW w:w="1120" w:type="dxa"/>
            <w:vAlign w:val="bottom"/>
            <w:gridSpan w:val="4"/>
          </w:tcPr>
          <w:p>
            <w:pPr>
              <w:ind w:left="80"/>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Solutions,</w:t>
              </w:r>
            </w:hyperlink>
          </w:p>
        </w:tc>
        <w:tc>
          <w:tcPr>
            <w:tcW w:w="660" w:type="dxa"/>
            <w:vAlign w:val="bottom"/>
          </w:tcPr>
          <w:p>
            <w:pPr>
              <w:ind w:left="80"/>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Inc.,</w:t>
              </w:r>
            </w:hyperlink>
          </w:p>
        </w:tc>
        <w:tc>
          <w:tcPr>
            <w:tcW w:w="1000" w:type="dxa"/>
            <w:vAlign w:val="bottom"/>
            <w:gridSpan w:val="5"/>
          </w:tcPr>
          <w:p>
            <w:pPr>
              <w:ind w:left="80"/>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Deepwater</w:t>
              </w:r>
            </w:hyperlink>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Abandonment Alternatives, Inc., Helix Well Ops (U.K.)</w:t>
              </w:r>
            </w:hyperlink>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Limited  and  Helix  Robotics  Solutions  Limited  as</w:t>
              </w:r>
            </w:hyperlink>
          </w:p>
        </w:tc>
        <w:tc>
          <w:tcPr>
            <w:tcW w:w="40" w:type="dxa"/>
            <w:vAlign w:val="bottom"/>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borrowers, the guarantors party thereto, the lenders</w:t>
              </w:r>
            </w:hyperlink>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party thereto, and Bank of America, N.A., as agent and</w:t>
              </w:r>
            </w:hyperlink>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security trustee for the lenders.</w:t>
              </w:r>
            </w:hyperlink>
          </w:p>
        </w:tc>
        <w:tc>
          <w:tcPr>
            <w:tcW w:w="6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ind w:left="60"/>
              <w:spacing w:after="0" w:line="182"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Certification Pursuant to Rule 13a-14(a) under the</w:t>
            </w:r>
          </w:p>
        </w:tc>
        <w:tc>
          <w:tcPr>
            <w:tcW w:w="4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sz w:val="20"/>
                <w:szCs w:val="20"/>
                <w:color w:val="auto"/>
              </w:rPr>
            </w:pPr>
            <w:r>
              <w:rPr>
                <w:rFonts w:ascii="Arial" w:cs="Arial" w:eastAsia="Arial" w:hAnsi="Arial"/>
                <w:sz w:val="18"/>
                <w:szCs w:val="18"/>
                <w:color w:val="0000EE"/>
              </w:rPr>
              <w:t>Securities Exchange Act of 1934 by Owen Kratz, Chief</w:t>
            </w: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Executive Officer.</w:t>
            </w:r>
          </w:p>
        </w:tc>
        <w:tc>
          <w:tcPr>
            <w:tcW w:w="2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160" w:type="dxa"/>
            <w:vAlign w:val="bottom"/>
          </w:tcPr>
          <w:p>
            <w:pPr>
              <w:ind w:left="60"/>
              <w:spacing w:after="0" w:line="182" w:lineRule="exact"/>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Certification Pursuant to Rule 13a-14(a) under the</w:t>
            </w:r>
          </w:p>
        </w:tc>
        <w:tc>
          <w:tcPr>
            <w:tcW w:w="4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sz w:val="20"/>
                <w:szCs w:val="20"/>
                <w:color w:val="auto"/>
              </w:rPr>
            </w:pPr>
            <w:r>
              <w:rPr>
                <w:rFonts w:ascii="Arial" w:cs="Arial" w:eastAsia="Arial" w:hAnsi="Arial"/>
                <w:sz w:val="18"/>
                <w:szCs w:val="18"/>
                <w:color w:val="0000EE"/>
              </w:rPr>
              <w:t>Securities Exchange Act of 1934 by Erik Staffeldt,</w:t>
            </w: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Chief Financial Officer.</w:t>
            </w:r>
          </w:p>
        </w:tc>
        <w:tc>
          <w:tcPr>
            <w:tcW w:w="6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160" w:type="dxa"/>
            <w:vAlign w:val="bottom"/>
          </w:tcPr>
          <w:p>
            <w:pPr>
              <w:ind w:left="60"/>
              <w:spacing w:after="0" w:line="182" w:lineRule="exact"/>
              <w:rPr>
                <w:sz w:val="20"/>
                <w:szCs w:val="20"/>
                <w:color w:val="auto"/>
              </w:rPr>
            </w:pPr>
            <w:r>
              <w:rPr>
                <w:rFonts w:ascii="Arial" w:cs="Arial" w:eastAsia="Arial" w:hAnsi="Arial"/>
                <w:sz w:val="18"/>
                <w:szCs w:val="18"/>
                <w:color w:val="auto"/>
              </w:rPr>
              <w:t>32.1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Certification  of Helix’s Chief Executive Officer  and</w:t>
            </w:r>
          </w:p>
        </w:tc>
        <w:tc>
          <w:tcPr>
            <w:tcW w:w="40" w:type="dxa"/>
            <w:vAlign w:val="bottom"/>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sz w:val="20"/>
                <w:szCs w:val="20"/>
                <w:color w:val="auto"/>
              </w:rPr>
            </w:pPr>
            <w:r>
              <w:rPr>
                <w:rFonts w:ascii="Arial" w:cs="Arial" w:eastAsia="Arial" w:hAnsi="Arial"/>
                <w:sz w:val="18"/>
                <w:szCs w:val="18"/>
                <w:color w:val="0000EE"/>
              </w:rPr>
              <w:t>Chief Financial Officer pursuant to Section 906 of the</w:t>
            </w:r>
          </w:p>
        </w:tc>
      </w:tr>
      <w:tr>
        <w:trPr>
          <w:trHeight w:val="182"/>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Sarbanes–Oxley Act of 2002.</w:t>
            </w:r>
          </w:p>
        </w:tc>
        <w:tc>
          <w:tcPr>
            <w:tcW w:w="440" w:type="dxa"/>
            <w:vAlign w:val="bottom"/>
            <w:tcBorders>
              <w:top w:val="single" w:sz="8" w:color="0000EE"/>
            </w:tcBorders>
            <w:gridSpan w:val="2"/>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3"/>
        </w:trPr>
        <w:tc>
          <w:tcPr>
            <w:tcW w:w="1420" w:type="dxa"/>
            <w:vAlign w:val="bottom"/>
            <w:gridSpan w:val="2"/>
          </w:tcPr>
          <w:p>
            <w:pPr>
              <w:ind w:left="60"/>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9"/>
                <w:szCs w:val="19"/>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96"/>
        </w:trPr>
        <w:tc>
          <w:tcPr>
            <w:tcW w:w="1420" w:type="dxa"/>
            <w:vAlign w:val="bottom"/>
            <w:gridSpan w:val="2"/>
          </w:tcPr>
          <w:p>
            <w:pPr>
              <w:ind w:left="60"/>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4"/>
                <w:szCs w:val="24"/>
                <w:color w:val="auto"/>
              </w:rPr>
            </w:pPr>
          </w:p>
        </w:tc>
        <w:tc>
          <w:tcPr>
            <w:tcW w:w="444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101.CAL</w:t>
            </w:r>
          </w:p>
        </w:tc>
        <w:tc>
          <w:tcPr>
            <w:tcW w:w="60" w:type="dxa"/>
            <w:vAlign w:val="bottom"/>
          </w:tcPr>
          <w:p>
            <w:pPr>
              <w:spacing w:after="0"/>
              <w:rPr>
                <w:sz w:val="17"/>
                <w:szCs w:val="17"/>
                <w:color w:val="auto"/>
              </w:rPr>
            </w:pPr>
          </w:p>
        </w:tc>
        <w:tc>
          <w:tcPr>
            <w:tcW w:w="444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Calculation Linkbase</w:t>
            </w: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Document.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101.DEF</w:t>
            </w:r>
          </w:p>
        </w:tc>
        <w:tc>
          <w:tcPr>
            <w:tcW w:w="60" w:type="dxa"/>
            <w:vAlign w:val="bottom"/>
          </w:tcPr>
          <w:p>
            <w:pPr>
              <w:spacing w:after="0"/>
              <w:rPr>
                <w:sz w:val="17"/>
                <w:szCs w:val="17"/>
                <w:color w:val="auto"/>
              </w:rPr>
            </w:pPr>
          </w:p>
        </w:tc>
        <w:tc>
          <w:tcPr>
            <w:tcW w:w="444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Document.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101.LAB</w:t>
            </w:r>
          </w:p>
        </w:tc>
        <w:tc>
          <w:tcPr>
            <w:tcW w:w="60" w:type="dxa"/>
            <w:vAlign w:val="bottom"/>
          </w:tcPr>
          <w:p>
            <w:pPr>
              <w:spacing w:after="0"/>
              <w:rPr>
                <w:sz w:val="17"/>
                <w:szCs w:val="17"/>
                <w:color w:val="auto"/>
              </w:rPr>
            </w:pPr>
          </w:p>
        </w:tc>
        <w:tc>
          <w:tcPr>
            <w:tcW w:w="444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Label  Linkbase</w:t>
            </w: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Document.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101.PRE</w:t>
            </w:r>
          </w:p>
        </w:tc>
        <w:tc>
          <w:tcPr>
            <w:tcW w:w="60" w:type="dxa"/>
            <w:vAlign w:val="bottom"/>
          </w:tcPr>
          <w:p>
            <w:pPr>
              <w:spacing w:after="0"/>
              <w:rPr>
                <w:sz w:val="17"/>
                <w:szCs w:val="17"/>
                <w:color w:val="auto"/>
              </w:rPr>
            </w:pPr>
          </w:p>
        </w:tc>
        <w:tc>
          <w:tcPr>
            <w:tcW w:w="444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Presentation</w:t>
            </w: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w w:val="99"/>
              </w:rPr>
              <w:t>Linkbase Document.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ind w:left="1480" w:right="40" w:hanging="1423"/>
        <w:spacing w:after="0" w:line="246"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20" w:right="20"/>
        <w:spacing w:after="0" w:line="247" w:lineRule="auto"/>
        <w:rPr>
          <w:sz w:val="20"/>
          <w:szCs w:val="20"/>
          <w:color w:val="auto"/>
        </w:rPr>
      </w:pPr>
      <w:r>
        <w:rPr>
          <w:rFonts w:ascii="Arial" w:cs="Arial" w:eastAsia="Arial" w:hAnsi="Arial"/>
          <w:sz w:val="18"/>
          <w:szCs w:val="18"/>
          <w:b w:val="1"/>
          <w:bCs w:val="1"/>
          <w:color w:val="auto"/>
        </w:rPr>
        <w:t>Filed or Furnished Herewith or 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-11430</wp:posOffset>
            </wp:positionV>
            <wp:extent cx="23914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Exhibit 3.1 to the Current Report on Form 8-K filed on March 1, 2006 (000-22739)</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Exhibit 3.1 to the Current Report on Form 8-K filed on September 28, 2006 (001 -32936) Exhibit 4.32 to the Annual Report on Form 10-K filed on February 24, 2023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The instance document does not appear in</w:t>
      </w:r>
    </w:p>
    <w:p>
      <w:pPr>
        <w:spacing w:after="0" w:line="234" w:lineRule="auto"/>
        <w:rPr>
          <w:sz w:val="20"/>
          <w:szCs w:val="20"/>
          <w:color w:val="auto"/>
        </w:rPr>
      </w:pPr>
      <w:r>
        <w:rPr>
          <w:rFonts w:ascii="Arial" w:cs="Arial" w:eastAsia="Arial" w:hAnsi="Arial"/>
          <w:sz w:val="18"/>
          <w:szCs w:val="18"/>
          <w:color w:val="auto"/>
        </w:rPr>
        <w:t>the Interactive Data File because its XBRL</w:t>
      </w:r>
    </w:p>
    <w:p>
      <w:pPr>
        <w:spacing w:after="0" w:line="235" w:lineRule="auto"/>
        <w:rPr>
          <w:sz w:val="20"/>
          <w:szCs w:val="20"/>
          <w:color w:val="auto"/>
        </w:rPr>
      </w:pPr>
      <w:r>
        <w:rPr>
          <w:rFonts w:ascii="Arial" w:cs="Arial" w:eastAsia="Arial" w:hAnsi="Arial"/>
          <w:sz w:val="18"/>
          <w:szCs w:val="18"/>
          <w:color w:val="auto"/>
        </w:rPr>
        <w:t>tags are embedded within the Inline XBRL</w:t>
      </w:r>
    </w:p>
    <w:p>
      <w:pPr>
        <w:spacing w:after="0" w:line="235" w:lineRule="auto"/>
        <w:rPr>
          <w:sz w:val="20"/>
          <w:szCs w:val="20"/>
          <w:color w:val="auto"/>
        </w:rPr>
      </w:pPr>
      <w:r>
        <w:rPr>
          <w:rFonts w:ascii="Arial" w:cs="Arial" w:eastAsia="Arial" w:hAnsi="Arial"/>
          <w:sz w:val="18"/>
          <w:szCs w:val="18"/>
          <w:color w:val="auto"/>
        </w:rPr>
        <w:t>document</w:t>
      </w:r>
    </w:p>
    <w:p>
      <w:pPr>
        <w:spacing w:after="0" w:line="235" w:lineRule="auto"/>
        <w:rPr>
          <w:sz w:val="20"/>
          <w:szCs w:val="20"/>
          <w:color w:val="auto"/>
        </w:rPr>
      </w:pPr>
      <w:r>
        <w:rPr>
          <w:rFonts w:ascii="Arial" w:cs="Arial" w:eastAsia="Arial" w:hAnsi="Arial"/>
          <w:sz w:val="18"/>
          <w:szCs w:val="18"/>
          <w:color w:val="auto"/>
        </w:rPr>
        <w:t>Filed herewith</w:t>
      </w: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5920" w:space="280"/>
            <w:col w:w="3680"/>
          </w:cols>
          <w:pgMar w:left="980" w:top="517" w:right="10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HELIX ENERGY SOLUTIONS GROUP, INC.</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(Registrant)</w:t>
      </w:r>
    </w:p>
    <w:p>
      <w:pPr>
        <w:spacing w:after="0" w:line="176"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April 26,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11430</wp:posOffset>
            </wp:positionV>
            <wp:extent cx="30429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Owen Kratz</w:t>
      </w:r>
    </w:p>
    <w:p>
      <w:pPr>
        <w:ind w:left="51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Executive Officer)</w:t>
      </w:r>
    </w:p>
    <w:p>
      <w:pPr>
        <w:spacing w:after="0" w:line="176"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April 26,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11430</wp:posOffset>
            </wp:positionV>
            <wp:extent cx="30429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Erik Staffeldt</w:t>
      </w:r>
    </w:p>
    <w:p>
      <w:pPr>
        <w:ind w:left="5120"/>
        <w:spacing w:after="0" w:line="234" w:lineRule="auto"/>
        <w:rPr>
          <w:sz w:val="20"/>
          <w:szCs w:val="20"/>
          <w:color w:val="auto"/>
        </w:rPr>
      </w:pPr>
      <w:r>
        <w:rPr>
          <w:rFonts w:ascii="Arial" w:cs="Arial" w:eastAsia="Arial" w:hAnsi="Arial"/>
          <w:sz w:val="18"/>
          <w:szCs w:val="18"/>
          <w:color w:val="auto"/>
        </w:rPr>
        <w:t>Executive Vice President and</w:t>
      </w:r>
    </w:p>
    <w:p>
      <w:pPr>
        <w:ind w:left="512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80"/>
          </w:cols>
          <w:pgMar w:left="980" w:top="517" w:right="123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auto"/>
        </w:rPr>
        <w:t>EXHIBIT 31.1</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SECTION 302 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I, Owen Kratz, the President and Chief Executive Officer of Helix Energy Solutions Group, Inc., certify that:</w:t>
      </w:r>
    </w:p>
    <w:p>
      <w:pPr>
        <w:spacing w:after="0" w:line="162"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32"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20"/>
          <w:szCs w:val="20"/>
          <w:color w:val="auto"/>
        </w:rPr>
      </w:pPr>
    </w:p>
    <w:p>
      <w:pPr>
        <w:ind w:left="660" w:right="160" w:hanging="652"/>
        <w:spacing w:after="0" w:line="232"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20"/>
          <w:szCs w:val="20"/>
          <w:color w:val="auto"/>
        </w:rPr>
      </w:pPr>
    </w:p>
    <w:p>
      <w:pPr>
        <w:ind w:left="660" w:right="40" w:hanging="652"/>
        <w:spacing w:after="0" w:line="230"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20"/>
          <w:szCs w:val="20"/>
          <w:color w:val="auto"/>
        </w:rPr>
      </w:pPr>
    </w:p>
    <w:p>
      <w:pPr>
        <w:ind w:left="1300" w:right="160" w:hanging="644"/>
        <w:spacing w:after="0" w:line="230" w:lineRule="auto"/>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20"/>
          <w:szCs w:val="20"/>
          <w:color w:val="auto"/>
        </w:rPr>
      </w:pPr>
    </w:p>
    <w:p>
      <w:pPr>
        <w:ind w:left="1300" w:right="680" w:hanging="644"/>
        <w:spacing w:after="0" w:line="244" w:lineRule="auto"/>
        <w:tabs>
          <w:tab w:leader="none" w:pos="1300" w:val="left"/>
        </w:tabs>
        <w:numPr>
          <w:ilvl w:val="1"/>
          <w:numId w:val="2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9"/>
          <w:szCs w:val="19"/>
          <w:color w:val="auto"/>
        </w:rPr>
      </w:pPr>
    </w:p>
    <w:p>
      <w:pPr>
        <w:ind w:left="1300" w:right="20" w:hanging="644"/>
        <w:spacing w:after="0" w:line="232" w:lineRule="auto"/>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20"/>
          <w:szCs w:val="20"/>
          <w:color w:val="auto"/>
        </w:rPr>
      </w:pPr>
    </w:p>
    <w:p>
      <w:pPr>
        <w:ind w:left="1300" w:right="220" w:hanging="644"/>
        <w:spacing w:after="0" w:line="230" w:lineRule="auto"/>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20"/>
          <w:szCs w:val="20"/>
          <w:color w:val="auto"/>
        </w:rPr>
      </w:pPr>
    </w:p>
    <w:p>
      <w:pPr>
        <w:ind w:left="660" w:right="580" w:hanging="652"/>
        <w:spacing w:after="0" w:line="232"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20"/>
          <w:szCs w:val="20"/>
          <w:color w:val="auto"/>
        </w:rPr>
      </w:pPr>
    </w:p>
    <w:p>
      <w:pPr>
        <w:ind w:left="1300" w:right="240" w:hanging="644"/>
        <w:spacing w:after="0" w:line="232" w:lineRule="auto"/>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20"/>
          <w:szCs w:val="20"/>
          <w:color w:val="auto"/>
        </w:rPr>
      </w:pPr>
    </w:p>
    <w:p>
      <w:pPr>
        <w:ind w:left="1300" w:right="420" w:hanging="644"/>
        <w:spacing w:after="0" w:line="236" w:lineRule="auto"/>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 April 26, 2023</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10795</wp:posOffset>
            </wp:positionV>
            <wp:extent cx="3145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6"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26" w:lineRule="exact"/>
        <w:rPr>
          <w:sz w:val="20"/>
          <w:szCs w:val="20"/>
          <w:color w:val="auto"/>
        </w:rPr>
      </w:pPr>
    </w:p>
    <w:p>
      <w:pPr>
        <w:ind w:right="260"/>
        <w:spacing w:after="0" w:line="236" w:lineRule="auto"/>
        <w:rPr>
          <w:sz w:val="20"/>
          <w:szCs w:val="20"/>
          <w:color w:val="auto"/>
        </w:rPr>
      </w:pPr>
      <w:r>
        <w:rPr>
          <w:rFonts w:ascii="Arial" w:cs="Arial" w:eastAsia="Arial" w:hAnsi="Arial"/>
          <w:sz w:val="20"/>
          <w:szCs w:val="20"/>
          <w:color w:val="auto"/>
        </w:rPr>
        <w:t>I, Erik Staffeldt, the Executive Vice President and Chief Financial Officer of Helix Energy Solutions Group, Inc., certify that:</w:t>
      </w:r>
    </w:p>
    <w:p>
      <w:pPr>
        <w:spacing w:after="0" w:line="15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32"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20"/>
          <w:szCs w:val="20"/>
          <w:color w:val="auto"/>
        </w:rPr>
      </w:pPr>
    </w:p>
    <w:p>
      <w:pPr>
        <w:ind w:left="660" w:right="160" w:hanging="652"/>
        <w:spacing w:after="0" w:line="232"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20"/>
          <w:szCs w:val="20"/>
          <w:color w:val="auto"/>
        </w:rPr>
      </w:pPr>
    </w:p>
    <w:p>
      <w:pPr>
        <w:ind w:left="660" w:right="40" w:hanging="652"/>
        <w:spacing w:after="0" w:line="230"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20"/>
          <w:szCs w:val="20"/>
          <w:color w:val="auto"/>
        </w:rPr>
      </w:pPr>
    </w:p>
    <w:p>
      <w:pPr>
        <w:ind w:left="1300" w:right="160" w:hanging="644"/>
        <w:spacing w:after="0" w:line="230" w:lineRule="auto"/>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20"/>
          <w:szCs w:val="20"/>
          <w:color w:val="auto"/>
        </w:rPr>
      </w:pPr>
    </w:p>
    <w:p>
      <w:pPr>
        <w:ind w:left="1300" w:right="680" w:hanging="644"/>
        <w:spacing w:after="0" w:line="244" w:lineRule="auto"/>
        <w:tabs>
          <w:tab w:leader="none" w:pos="1300" w:val="left"/>
        </w:tabs>
        <w:numPr>
          <w:ilvl w:val="1"/>
          <w:numId w:val="2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9"/>
          <w:szCs w:val="19"/>
          <w:color w:val="auto"/>
        </w:rPr>
      </w:pPr>
    </w:p>
    <w:p>
      <w:pPr>
        <w:ind w:left="1300" w:right="20" w:hanging="644"/>
        <w:spacing w:after="0" w:line="232" w:lineRule="auto"/>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20"/>
          <w:szCs w:val="20"/>
          <w:color w:val="auto"/>
        </w:rPr>
      </w:pPr>
    </w:p>
    <w:p>
      <w:pPr>
        <w:ind w:left="1300" w:right="220" w:hanging="644"/>
        <w:spacing w:after="0" w:line="230" w:lineRule="auto"/>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20"/>
          <w:szCs w:val="20"/>
          <w:color w:val="auto"/>
        </w:rPr>
      </w:pPr>
    </w:p>
    <w:p>
      <w:pPr>
        <w:ind w:left="660" w:right="580" w:hanging="652"/>
        <w:spacing w:after="0" w:line="232"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20"/>
          <w:szCs w:val="20"/>
          <w:color w:val="auto"/>
        </w:rPr>
      </w:pPr>
    </w:p>
    <w:p>
      <w:pPr>
        <w:ind w:left="1300" w:right="240" w:hanging="644"/>
        <w:spacing w:after="0" w:line="232" w:lineRule="auto"/>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20"/>
          <w:szCs w:val="20"/>
          <w:color w:val="auto"/>
        </w:rPr>
      </w:pPr>
    </w:p>
    <w:p>
      <w:pPr>
        <w:ind w:left="1300" w:right="420" w:hanging="644"/>
        <w:spacing w:after="0" w:line="236" w:lineRule="auto"/>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 April 26, 2023</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line="225" w:lineRule="auto"/>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 Section 906 of the Sarbanes-Oxley Act of 2002)</w:t>
      </w:r>
    </w:p>
    <w:p>
      <w:pPr>
        <w:spacing w:after="0" w:line="202"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In connection with the Quarterly Report of Helix Energy Solutions Group, Inc. (“Helix”) on Form 10-Q for the quarterly period ended March 31, 2023,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p>
      <w:pPr>
        <w:spacing w:after="0" w:line="158" w:lineRule="exact"/>
        <w:rPr>
          <w:sz w:val="20"/>
          <w:szCs w:val="20"/>
          <w:color w:val="auto"/>
        </w:rPr>
      </w:pPr>
    </w:p>
    <w:p>
      <w:pPr>
        <w:ind w:left="660" w:right="140" w:hanging="328"/>
        <w:spacing w:after="0" w:line="236"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55" w:lineRule="exact"/>
        <w:rPr>
          <w:rFonts w:ascii="Arial" w:cs="Arial" w:eastAsia="Arial" w:hAnsi="Arial"/>
          <w:sz w:val="20"/>
          <w:szCs w:val="20"/>
          <w:color w:val="auto"/>
        </w:rPr>
      </w:pPr>
    </w:p>
    <w:p>
      <w:pPr>
        <w:ind w:left="660" w:right="20" w:hanging="328"/>
        <w:spacing w:after="0" w:line="236"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Helix.</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 April 26, 2023</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line="225" w:lineRule="auto"/>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Date: April 26, 2023</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line="225" w:lineRule="auto"/>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0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44" Type="http://schemas.openxmlformats.org/officeDocument/2006/relationships/hyperlink" Target="https://www.sec.gov/Archives/edgar/data/0000866829/000095012906002103/h33539exv3w1.htm" TargetMode="External"/><Relationship Id="rId45" Type="http://schemas.openxmlformats.org/officeDocument/2006/relationships/hyperlink" Target="https://www.sec.gov/Archives/edgar/data/866829/000095012906008744/h39963exv3w1.htm" TargetMode="External"/><Relationship Id="rId46" Type="http://schemas.openxmlformats.org/officeDocument/2006/relationships/hyperlink" Target="https://www.sec.gov/Archives/edgar/data/866829/000086682923000010/hlx-20221231xex4d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2023-04-26T15:20:37Z</dcterms:created>
  <dcterms:modified xsi:type="dcterms:W3CDTF">2023-04-26T15:20:37Z</dcterms:modified>
</cp:coreProperties>
</file>