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3"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52"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69215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2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75"/>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92"/>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75"/>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Common Stock</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rPr>
              <w:t>HLX</w:t>
            </w:r>
          </w:p>
        </w:tc>
        <w:tc>
          <w:tcPr>
            <w:tcW w:w="180" w:type="dxa"/>
            <w:vAlign w:val="bottom"/>
            <w:vMerge w:val="continue"/>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0" w:lineRule="exact"/>
        <w:rPr>
          <w:sz w:val="24"/>
          <w:szCs w:val="24"/>
          <w:color w:val="auto"/>
        </w:rPr>
      </w:pPr>
    </w:p>
    <w:p>
      <w:pPr>
        <w:jc w:val="both"/>
        <w:ind w:right="2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7"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38"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2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39"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1" w:right="839" w:bottom="1440" w:gutter="0" w:footer="0" w:header="0"/>
          <w:type w:val="continuous"/>
        </w:sectPr>
      </w:pPr>
    </w:p>
    <w:p>
      <w:pPr>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9" w:lineRule="exact"/>
        <w:rPr>
          <w:sz w:val="24"/>
          <w:szCs w:val="24"/>
          <w:color w:val="auto"/>
        </w:rPr>
      </w:pPr>
    </w:p>
    <w:p>
      <w:pPr>
        <w:ind w:left="2660"/>
        <w:spacing w:after="0"/>
        <w:rPr>
          <w:sz w:val="20"/>
          <w:szCs w:val="20"/>
          <w:color w:val="auto"/>
        </w:rPr>
      </w:pPr>
      <w:r>
        <w:rPr>
          <w:rFonts w:ascii="Arial" w:cs="Arial" w:eastAsia="Arial" w:hAnsi="Arial"/>
          <w:sz w:val="16"/>
          <w:szCs w:val="16"/>
          <w:color w:val="auto"/>
        </w:rPr>
        <w:t>As of April 22, 2022, 151,651,384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72390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gridSpan w:val="11"/>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2"/>
          </w:tcPr>
          <w:p>
            <w:pPr>
              <w:spacing w:after="0"/>
              <w:rPr>
                <w:sz w:val="24"/>
                <w:szCs w:val="24"/>
                <w:color w:val="auto"/>
              </w:rPr>
            </w:pPr>
          </w:p>
        </w:tc>
        <w:tc>
          <w:tcPr>
            <w:tcW w:w="22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72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3"/>
          </w:tcPr>
          <w:p>
            <w:pPr>
              <w:spacing w:after="0"/>
              <w:rPr>
                <w:sz w:val="24"/>
                <w:szCs w:val="24"/>
                <w:color w:val="auto"/>
              </w:rPr>
            </w:pPr>
          </w:p>
        </w:tc>
        <w:tc>
          <w:tcPr>
            <w:tcW w:w="8000" w:type="dxa"/>
            <w:vAlign w:val="bottom"/>
            <w:gridSpan w:val="19"/>
          </w:tcPr>
          <w:p>
            <w:pPr>
              <w:spacing w:after="0"/>
              <w:rPr>
                <w:sz w:val="20"/>
                <w:szCs w:val="20"/>
                <w:color w:val="auto"/>
              </w:rPr>
            </w:pPr>
            <w:r>
              <w:rPr>
                <w:rFonts w:ascii="Arial" w:cs="Arial" w:eastAsia="Arial" w:hAnsi="Arial"/>
                <w:sz w:val="18"/>
                <w:szCs w:val="18"/>
                <w:color w:val="0000EE"/>
              </w:rPr>
              <w:t>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76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Condensed Consolidated Balance Sheets – March 31, 2022 (Unaudited) and December 31, 2021</w:t>
            </w:r>
          </w:p>
        </w:tc>
        <w:tc>
          <w:tcPr>
            <w:tcW w:w="240" w:type="dxa"/>
            <w:vAlign w:val="bottom"/>
            <w:gridSpan w:val="2"/>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gridSpan w:val="19"/>
          </w:tcPr>
          <w:p>
            <w:pPr>
              <w:spacing w:after="0"/>
              <w:rPr>
                <w:sz w:val="20"/>
                <w:szCs w:val="20"/>
                <w:color w:val="auto"/>
              </w:rPr>
            </w:pPr>
            <w:r>
              <w:rPr>
                <w:rFonts w:ascii="Arial" w:cs="Arial" w:eastAsia="Arial" w:hAnsi="Arial"/>
                <w:sz w:val="18"/>
                <w:szCs w:val="18"/>
                <w:color w:val="0000EE"/>
              </w:rPr>
              <w:t>Condensed Consolidated Statements of Operations (Unaudited) – Three months ended March 31,</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2022 and 2021</w:t>
            </w:r>
          </w:p>
        </w:tc>
        <w:tc>
          <w:tcPr>
            <w:tcW w:w="6600" w:type="dxa"/>
            <w:vAlign w:val="bottom"/>
            <w:tcBorders>
              <w:top w:val="single" w:sz="8" w:color="0000EE"/>
            </w:tcBorders>
            <w:gridSpan w:val="14"/>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gridSpan w:val="19"/>
          </w:tcPr>
          <w:p>
            <w:pPr>
              <w:spacing w:after="0"/>
              <w:rPr>
                <w:sz w:val="20"/>
                <w:szCs w:val="20"/>
                <w:color w:val="auto"/>
              </w:rPr>
            </w:pPr>
            <w:r>
              <w:rPr>
                <w:rFonts w:ascii="Arial" w:cs="Arial" w:eastAsia="Arial" w:hAnsi="Arial"/>
                <w:sz w:val="18"/>
                <w:szCs w:val="18"/>
                <w:color w:val="0000EE"/>
              </w:rPr>
              <w:t>Condensed Consolidated Statements of Comprehensive Income (Loss) (Unaudited) – Three</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months ended March 31, 2022 and 2021</w:t>
            </w:r>
          </w:p>
        </w:tc>
        <w:tc>
          <w:tcPr>
            <w:tcW w:w="4100" w:type="dxa"/>
            <w:vAlign w:val="bottom"/>
            <w:tcBorders>
              <w:top w:val="single" w:sz="8" w:color="0000EE"/>
            </w:tcBorders>
            <w:gridSpan w:val="6"/>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gridSpan w:val="19"/>
          </w:tcPr>
          <w:p>
            <w:pPr>
              <w:spacing w:after="0"/>
              <w:rPr>
                <w:sz w:val="20"/>
                <w:szCs w:val="20"/>
                <w:color w:val="auto"/>
              </w:rPr>
            </w:pPr>
            <w:r>
              <w:rPr>
                <w:rFonts w:ascii="Arial" w:cs="Arial" w:eastAsia="Arial" w:hAnsi="Arial"/>
                <w:sz w:val="18"/>
                <w:szCs w:val="18"/>
                <w:color w:val="0000EE"/>
              </w:rPr>
              <w:t>Condensed Consolidated Statements of Shareholders’ Equity (Unaudited) – Three months ended</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7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March 31, 2022 and 2021</w:t>
            </w:r>
          </w:p>
        </w:tc>
        <w:tc>
          <w:tcPr>
            <w:tcW w:w="26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gridSpan w:val="19"/>
          </w:tcPr>
          <w:p>
            <w:pPr>
              <w:spacing w:after="0"/>
              <w:rPr>
                <w:sz w:val="20"/>
                <w:szCs w:val="20"/>
                <w:color w:val="auto"/>
              </w:rPr>
            </w:pPr>
            <w:r>
              <w:rPr>
                <w:rFonts w:ascii="Arial" w:cs="Arial" w:eastAsia="Arial" w:hAnsi="Arial"/>
                <w:sz w:val="18"/>
                <w:szCs w:val="18"/>
                <w:color w:val="0000EE"/>
              </w:rPr>
              <w:t>Condensed Consolidated Statements of Cash Flows (Unaudited) – Three months ended</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2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March 31, 2022 and 2021</w:t>
            </w:r>
          </w:p>
        </w:tc>
        <w:tc>
          <w:tcPr>
            <w:tcW w:w="60" w:type="dxa"/>
            <w:vAlign w:val="bottom"/>
          </w:tcPr>
          <w:p>
            <w:pPr>
              <w:spacing w:after="0"/>
              <w:rPr>
                <w:sz w:val="15"/>
                <w:szCs w:val="15"/>
                <w:color w:val="auto"/>
              </w:rPr>
            </w:pPr>
          </w:p>
        </w:tc>
        <w:tc>
          <w:tcPr>
            <w:tcW w:w="92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54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3"/>
          </w:tcPr>
          <w:p>
            <w:pPr>
              <w:spacing w:after="0"/>
              <w:rPr>
                <w:sz w:val="24"/>
                <w:szCs w:val="24"/>
                <w:color w:val="auto"/>
              </w:rPr>
            </w:pPr>
          </w:p>
        </w:tc>
        <w:tc>
          <w:tcPr>
            <w:tcW w:w="70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9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3"/>
          </w:tcPr>
          <w:p>
            <w:pPr>
              <w:spacing w:after="0"/>
              <w:rPr>
                <w:sz w:val="24"/>
                <w:szCs w:val="24"/>
                <w:color w:val="auto"/>
              </w:rPr>
            </w:pPr>
          </w:p>
        </w:tc>
        <w:tc>
          <w:tcPr>
            <w:tcW w:w="800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3"/>
          </w:tcPr>
          <w:p>
            <w:pPr>
              <w:spacing w:after="0"/>
              <w:rPr>
                <w:sz w:val="24"/>
                <w:szCs w:val="24"/>
                <w:color w:val="auto"/>
              </w:rPr>
            </w:pPr>
          </w:p>
        </w:tc>
        <w:tc>
          <w:tcPr>
            <w:tcW w:w="47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Controls and Procedures</w:t>
            </w:r>
          </w:p>
        </w:tc>
        <w:tc>
          <w:tcPr>
            <w:tcW w:w="330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40" w:type="dxa"/>
            <w:vAlign w:val="bottom"/>
            <w:gridSpan w:val="4"/>
          </w:tcPr>
          <w:p>
            <w:pPr>
              <w:spacing w:after="0"/>
              <w:rPr>
                <w:sz w:val="20"/>
                <w:szCs w:val="20"/>
                <w:color w:val="auto"/>
              </w:rPr>
            </w:pPr>
            <w:r>
              <w:rPr>
                <w:rFonts w:ascii="Arial" w:cs="Arial" w:eastAsia="Arial" w:hAnsi="Arial"/>
                <w:sz w:val="18"/>
                <w:szCs w:val="18"/>
                <w:b w:val="1"/>
                <w:bCs w:val="1"/>
                <w:color w:val="0000EE"/>
              </w:rPr>
              <w:t>PART II.</w:t>
            </w:r>
          </w:p>
        </w:tc>
        <w:tc>
          <w:tcPr>
            <w:tcW w:w="8000" w:type="dxa"/>
            <w:vAlign w:val="bottom"/>
            <w:gridSpan w:val="19"/>
          </w:tcPr>
          <w:p>
            <w:pPr>
              <w:spacing w:after="0"/>
              <w:rPr>
                <w:sz w:val="20"/>
                <w:szCs w:val="20"/>
                <w:color w:val="auto"/>
              </w:rPr>
            </w:pPr>
            <w:r>
              <w:rPr>
                <w:rFonts w:ascii="Arial" w:cs="Arial" w:eastAsia="Arial" w:hAnsi="Arial"/>
                <w:sz w:val="18"/>
                <w:szCs w:val="18"/>
                <w:b w:val="1"/>
                <w:bCs w:val="1"/>
                <w:color w:val="0000EE"/>
              </w:rPr>
              <w:t>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120" w:type="dxa"/>
            <w:vAlign w:val="bottom"/>
            <w:tcBorders>
              <w:top w:val="single" w:sz="8" w:color="0000EE"/>
            </w:tcBorders>
            <w:gridSpan w:val="2"/>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Legal Proceedings</w:t>
            </w:r>
          </w:p>
        </w:tc>
        <w:tc>
          <w:tcPr>
            <w:tcW w:w="60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3"/>
          </w:tcPr>
          <w:p>
            <w:pPr>
              <w:spacing w:after="0"/>
              <w:rPr>
                <w:sz w:val="24"/>
                <w:szCs w:val="24"/>
                <w:color w:val="auto"/>
              </w:rPr>
            </w:pPr>
          </w:p>
        </w:tc>
        <w:tc>
          <w:tcPr>
            <w:tcW w:w="800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3"/>
          </w:tcPr>
          <w:p>
            <w:pPr>
              <w:spacing w:after="0"/>
              <w:rPr>
                <w:sz w:val="24"/>
                <w:szCs w:val="24"/>
                <w:color w:val="auto"/>
              </w:rPr>
            </w:pPr>
          </w:p>
        </w:tc>
        <w:tc>
          <w:tcPr>
            <w:tcW w:w="48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Exhibits</w:t>
            </w:r>
          </w:p>
        </w:tc>
        <w:tc>
          <w:tcPr>
            <w:tcW w:w="316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4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Signatures</w:t>
            </w:r>
          </w:p>
        </w:tc>
        <w:tc>
          <w:tcPr>
            <w:tcW w:w="7140" w:type="dxa"/>
            <w:vAlign w:val="bottom"/>
            <w:gridSpan w:val="1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7"/>
                <w:szCs w:val="17"/>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196"/>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2960"/>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229,744</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253,515</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72,934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73,612</w:t>
            </w:r>
          </w:p>
        </w:tc>
      </w:tr>
      <w:tr>
        <w:trPr>
          <w:trHeight w:val="184"/>
        </w:trPr>
        <w:tc>
          <w:tcPr>
            <w:tcW w:w="67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Accounts receivable, net of allowance for credit losses of $1,351 and $1,477,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144,137</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59,274</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58,274</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503,730</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529,538</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2,916,214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2,938,154</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(1,306,162)</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(1,280,509)</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1,610,052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1,657,645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150,894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104,190</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42,694</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34,655</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2,307,370</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70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97,531</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87,959</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74,873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91,712</w:t>
            </w:r>
          </w:p>
        </w:tc>
      </w:tr>
      <w:tr>
        <w:trPr>
          <w:trHeight w:val="202"/>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43,117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42,873</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41,464</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55,739</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256,985</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278,283</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258,496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262,137</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112,507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50,198</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86,244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86,966</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714,624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678,559</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4"/>
        </w:trPr>
        <w:tc>
          <w:tcPr>
            <w:tcW w:w="67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no par, 240,000 shares authorized, 151,637 and 151,124 shares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1,292,935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1,292,479</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369,041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411,072</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(69,230)</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(56,082)</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1,592,746</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1,647,469</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2,307,370</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6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960" w:type="dxa"/>
            <w:vAlign w:val="bottom"/>
            <w:gridSpan w:val="4"/>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500" w:type="dxa"/>
            <w:vAlign w:val="bottom"/>
          </w:tcPr>
          <w:p>
            <w:pPr>
              <w:jc w:val="center"/>
              <w:ind w:left="1790"/>
              <w:spacing w:after="0" w:line="202" w:lineRule="exact"/>
              <w:rPr>
                <w:sz w:val="20"/>
                <w:szCs w:val="20"/>
                <w:color w:val="auto"/>
              </w:rPr>
            </w:pPr>
            <w:r>
              <w:rPr>
                <w:rFonts w:ascii="Arial" w:cs="Arial" w:eastAsia="Arial" w:hAnsi="Arial"/>
                <w:sz w:val="18"/>
                <w:szCs w:val="18"/>
                <w:b w:val="1"/>
                <w:bCs w:val="1"/>
                <w:color w:val="auto"/>
                <w:w w:val="99"/>
              </w:rPr>
              <w:t>(UNAUDITED)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5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150,125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168,734</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148,791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 (loss)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(18,609)</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(14,368)</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(32,977)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(5,174)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2,141</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(39,891)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Income tax provision</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2,140</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(42,031)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Net loss attributable to redeemable noncontrolling interests</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(42,031)</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per share of common stock:</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c>
          <w:tcPr>
            <w:tcW w:w="6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Borders>
              <w:top w:val="single" w:sz="8" w:color="CCEEFF"/>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(0.28)</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151,142</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Borders>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151,142</w:t>
            </w: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149,935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00" w:right="9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28"/>
        </w:trPr>
        <w:tc>
          <w:tcPr>
            <w:tcW w:w="1280" w:type="dxa"/>
            <w:vAlign w:val="bottom"/>
            <w:tcBorders>
              <w:top w:val="single" w:sz="8" w:color="0000EE"/>
            </w:tcBorders>
          </w:tcPr>
          <w:p>
            <w:pPr>
              <w:spacing w:after="0"/>
              <w:rPr>
                <w:sz w:val="24"/>
                <w:szCs w:val="24"/>
                <w:color w:val="auto"/>
              </w:rPr>
            </w:pPr>
          </w:p>
        </w:tc>
        <w:tc>
          <w:tcPr>
            <w:tcW w:w="720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600" w:type="dxa"/>
            <w:vAlign w:val="bottom"/>
            <w:gridSpan w:val="7"/>
          </w:tcPr>
          <w:p>
            <w:pPr>
              <w:jc w:val="center"/>
              <w:ind w:right="147"/>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10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jc w:val="center"/>
              <w:ind w:left="2110"/>
              <w:spacing w:after="0" w:line="202" w:lineRule="exact"/>
              <w:rPr>
                <w:sz w:val="20"/>
                <w:szCs w:val="20"/>
                <w:color w:val="auto"/>
              </w:rPr>
            </w:pPr>
            <w:r>
              <w:rPr>
                <w:rFonts w:ascii="Arial" w:cs="Arial" w:eastAsia="Arial" w:hAnsi="Arial"/>
                <w:sz w:val="18"/>
                <w:szCs w:val="18"/>
                <w:b w:val="1"/>
                <w:bCs w:val="1"/>
                <w:color w:val="auto"/>
                <w:w w:val="99"/>
              </w:rPr>
              <w:t>(UNAUDITED)</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518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(in thousands)</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74"/>
        </w:trPr>
        <w:tc>
          <w:tcPr>
            <w:tcW w:w="1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12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51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(42,031)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 gain (loss)</w:t>
            </w:r>
          </w:p>
        </w:tc>
        <w:tc>
          <w:tcPr>
            <w:tcW w:w="3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(13,148)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4,613</w:t>
            </w:r>
          </w:p>
        </w:tc>
      </w:tr>
      <w:tr>
        <w:trPr>
          <w:trHeight w:val="196"/>
        </w:trPr>
        <w:tc>
          <w:tcPr>
            <w:tcW w:w="64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(13,148)</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4,613</w:t>
            </w:r>
          </w:p>
        </w:tc>
      </w:tr>
      <w:tr>
        <w:trPr>
          <w:trHeight w:val="196"/>
        </w:trPr>
        <w:tc>
          <w:tcPr>
            <w:tcW w:w="6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(55,179)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1,563</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Less comprehensive loss attributable to redeemable noncontrolling interests: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r>
      <w:tr>
        <w:trPr>
          <w:trHeight w:val="203"/>
        </w:trPr>
        <w:tc>
          <w:tcPr>
            <w:tcW w:w="6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Foreign currency translation gain</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196"/>
        </w:trPr>
        <w:tc>
          <w:tcPr>
            <w:tcW w:w="64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Comprehensive loss attributable to redeemable noncontrolling interests</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6460" w:type="dxa"/>
            <w:vAlign w:val="bottom"/>
            <w:gridSpan w:val="2"/>
          </w:tcPr>
          <w:p>
            <w:pPr>
              <w:spacing w:after="0" w:line="196" w:lineRule="exact"/>
              <w:rPr>
                <w:sz w:val="20"/>
                <w:szCs w:val="20"/>
                <w:color w:val="auto"/>
              </w:rPr>
            </w:pPr>
            <w:r>
              <w:rPr>
                <w:rFonts w:ascii="Arial" w:cs="Arial" w:eastAsia="Arial" w:hAnsi="Arial"/>
                <w:sz w:val="18"/>
                <w:szCs w:val="18"/>
                <w:color w:val="auto"/>
              </w:rPr>
              <w:t>Comprehensive income (loss) attributable to common shareholders</w:t>
            </w:r>
          </w:p>
        </w:tc>
        <w:tc>
          <w:tcPr>
            <w:tcW w:w="3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(55,179)</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1,699</w:t>
            </w:r>
          </w:p>
        </w:tc>
      </w:tr>
      <w:tr>
        <w:trPr>
          <w:trHeight w:val="20"/>
        </w:trPr>
        <w:tc>
          <w:tcPr>
            <w:tcW w:w="12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28"/>
        </w:trPr>
        <w:tc>
          <w:tcPr>
            <w:tcW w:w="12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6240" w:type="dxa"/>
            <w:vAlign w:val="bottom"/>
            <w:gridSpan w:val="12"/>
          </w:tcPr>
          <w:p>
            <w:pPr>
              <w:jc w:val="center"/>
              <w:ind w:right="5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120" w:type="dxa"/>
            <w:vAlign w:val="bottom"/>
            <w:gridSpan w:val="13"/>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374"/>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Redeemable</w:t>
            </w:r>
          </w:p>
        </w:tc>
      </w:tr>
      <w:tr>
        <w:trPr>
          <w:trHeight w:val="221"/>
        </w:trPr>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Retained</w:t>
            </w: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Noncontrolling</w:t>
            </w:r>
          </w:p>
        </w:tc>
      </w:tr>
      <w:tr>
        <w:trPr>
          <w:trHeight w:val="196"/>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108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7"/>
                <w:szCs w:val="17"/>
                <w:color w:val="auto"/>
              </w:rPr>
            </w:pPr>
          </w:p>
        </w:tc>
        <w:tc>
          <w:tcPr>
            <w:tcW w:w="1280" w:type="dxa"/>
            <w:vAlign w:val="bottom"/>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r>
      <w:tr>
        <w:trPr>
          <w:trHeight w:val="164"/>
        </w:trPr>
        <w:tc>
          <w:tcPr>
            <w:tcW w:w="2160" w:type="dxa"/>
            <w:vAlign w:val="bottom"/>
            <w:tcBorders>
              <w:top w:val="single" w:sz="8" w:color="CCEEFF"/>
            </w:tcBorders>
            <w:gridSpan w:val="2"/>
            <w:shd w:val="clear" w:color="auto" w:fill="CCEEFF"/>
          </w:tcPr>
          <w:p>
            <w:pPr>
              <w:spacing w:after="0" w:line="164" w:lineRule="exact"/>
              <w:rPr>
                <w:sz w:val="20"/>
                <w:szCs w:val="20"/>
                <w:color w:val="auto"/>
              </w:rPr>
            </w:pPr>
            <w:r>
              <w:rPr>
                <w:rFonts w:ascii="Arial" w:cs="Arial" w:eastAsia="Arial" w:hAnsi="Arial"/>
                <w:sz w:val="18"/>
                <w:szCs w:val="18"/>
                <w:color w:val="auto"/>
              </w:rPr>
              <w:t>Balance,</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221"/>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151,124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$ 1,292,479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$ 411,072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(56,082)</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1,647,469</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(42,031)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84"/>
        </w:trPr>
        <w:tc>
          <w:tcPr>
            <w:tcW w:w="21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6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60" w:type="dxa"/>
            <w:vAlign w:val="bottom"/>
            <w:gridSpan w:val="2"/>
          </w:tcPr>
          <w:p>
            <w:pPr>
              <w:spacing w:after="0"/>
              <w:rPr>
                <w:sz w:val="20"/>
                <w:szCs w:val="20"/>
                <w:color w:val="auto"/>
              </w:rPr>
            </w:pPr>
            <w:r>
              <w:rPr>
                <w:rFonts w:ascii="Arial" w:cs="Arial" w:eastAsia="Arial" w:hAnsi="Arial"/>
                <w:sz w:val="18"/>
                <w:szCs w:val="18"/>
                <w:color w:val="auto"/>
              </w:rPr>
              <w:t>plans, net and 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Share-based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160" w:type="dxa"/>
            <w:vAlign w:val="bottom"/>
            <w:gridSpan w:val="2"/>
          </w:tcPr>
          <w:p>
            <w:pPr>
              <w:spacing w:after="0" w:line="196" w:lineRule="exact"/>
              <w:rPr>
                <w:sz w:val="20"/>
                <w:szCs w:val="20"/>
                <w:color w:val="auto"/>
              </w:rPr>
            </w:pPr>
            <w:r>
              <w:rPr>
                <w:rFonts w:ascii="Arial" w:cs="Arial" w:eastAsia="Arial" w:hAnsi="Arial"/>
                <w:sz w:val="18"/>
                <w:szCs w:val="18"/>
                <w:color w:val="auto"/>
              </w:rPr>
              <w:t>Balance, March 31, 2022</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151,637</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$ 1,292,935</w:t>
            </w:r>
          </w:p>
        </w:tc>
        <w:tc>
          <w:tcPr>
            <w:tcW w:w="2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$ 369,041</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(69,230)</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1,592,746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80"/>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Redeemable</w:t>
            </w:r>
          </w:p>
        </w:tc>
      </w:tr>
      <w:tr>
        <w:trPr>
          <w:trHeight w:val="221"/>
        </w:trPr>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Retained</w:t>
            </w: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Noncontrolling</w:t>
            </w:r>
          </w:p>
        </w:tc>
      </w:tr>
      <w:tr>
        <w:trPr>
          <w:trHeight w:val="196"/>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108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7"/>
                <w:szCs w:val="17"/>
                <w:color w:val="auto"/>
              </w:rPr>
            </w:pPr>
          </w:p>
        </w:tc>
        <w:tc>
          <w:tcPr>
            <w:tcW w:w="1280" w:type="dxa"/>
            <w:vAlign w:val="bottom"/>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r>
      <w:tr>
        <w:trPr>
          <w:trHeight w:val="164"/>
        </w:trPr>
        <w:tc>
          <w:tcPr>
            <w:tcW w:w="2160" w:type="dxa"/>
            <w:vAlign w:val="bottom"/>
            <w:tcBorders>
              <w:top w:val="single" w:sz="8" w:color="CCEEFF"/>
            </w:tcBorders>
            <w:gridSpan w:val="2"/>
            <w:shd w:val="clear" w:color="auto" w:fill="CCEEFF"/>
          </w:tcPr>
          <w:p>
            <w:pPr>
              <w:spacing w:after="0" w:line="164" w:lineRule="exact"/>
              <w:rPr>
                <w:sz w:val="20"/>
                <w:szCs w:val="20"/>
                <w:color w:val="auto"/>
              </w:rPr>
            </w:pPr>
            <w:r>
              <w:rPr>
                <w:rFonts w:ascii="Arial" w:cs="Arial" w:eastAsia="Arial" w:hAnsi="Arial"/>
                <w:sz w:val="18"/>
                <w:szCs w:val="18"/>
                <w:color w:val="auto"/>
              </w:rPr>
              <w:t>Balance,</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221"/>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$ 1,327,592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$ 464,524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1,740,496</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r>
      <w:tr>
        <w:trPr>
          <w:trHeight w:val="184"/>
        </w:trPr>
        <w:tc>
          <w:tcPr>
            <w:tcW w:w="21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Cumulative-effect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upon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adoption of ASU No.</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2020-06</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60" w:type="dxa"/>
            <w:vAlign w:val="bottom"/>
            <w:gridSpan w:val="2"/>
          </w:tcPr>
          <w:p>
            <w:pPr>
              <w:spacing w:after="0" w:line="183" w:lineRule="exact"/>
              <w:rPr>
                <w:sz w:val="20"/>
                <w:szCs w:val="20"/>
                <w:color w:val="auto"/>
              </w:rPr>
            </w:pPr>
            <w:r>
              <w:rPr>
                <w:rFonts w:ascii="Arial" w:cs="Arial" w:eastAsia="Arial" w:hAnsi="Arial"/>
                <w:sz w:val="18"/>
                <w:szCs w:val="18"/>
                <w:color w:val="auto"/>
              </w:rPr>
              <w:t>Foreign currency</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6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84"/>
        </w:trPr>
        <w:tc>
          <w:tcPr>
            <w:tcW w:w="21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Accretion of redeemable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184"/>
        </w:trPr>
        <w:tc>
          <w:tcPr>
            <w:tcW w:w="216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60" w:type="dxa"/>
            <w:vAlign w:val="bottom"/>
            <w:gridSpan w:val="2"/>
          </w:tcPr>
          <w:p>
            <w:pPr>
              <w:spacing w:after="0"/>
              <w:rPr>
                <w:sz w:val="20"/>
                <w:szCs w:val="20"/>
                <w:color w:val="auto"/>
              </w:rPr>
            </w:pPr>
            <w:r>
              <w:rPr>
                <w:rFonts w:ascii="Arial" w:cs="Arial" w:eastAsia="Arial" w:hAnsi="Arial"/>
                <w:sz w:val="18"/>
                <w:szCs w:val="18"/>
                <w:color w:val="auto"/>
              </w:rPr>
              <w:t>plans, net and 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Share-based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160" w:type="dxa"/>
            <w:vAlign w:val="bottom"/>
            <w:gridSpan w:val="2"/>
          </w:tcPr>
          <w:p>
            <w:pPr>
              <w:spacing w:after="0" w:line="196" w:lineRule="exact"/>
              <w:rPr>
                <w:sz w:val="20"/>
                <w:szCs w:val="20"/>
                <w:color w:val="auto"/>
              </w:rPr>
            </w:pPr>
            <w:r>
              <w:rPr>
                <w:rFonts w:ascii="Arial" w:cs="Arial" w:eastAsia="Arial" w:hAnsi="Arial"/>
                <w:sz w:val="18"/>
                <w:szCs w:val="18"/>
                <w:color w:val="auto"/>
              </w:rPr>
              <w:t>Balance, March 31, 2021</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150,715</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$ 1,286,380</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$ 468,087</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(47,007)</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1,707,460</w:t>
            </w:r>
          </w:p>
        </w:tc>
        <w:tc>
          <w:tcPr>
            <w:tcW w:w="220" w:type="dxa"/>
            <w:vAlign w:val="bottom"/>
            <w:gridSpan w:val="2"/>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3,960</w:t>
            </w:r>
          </w:p>
        </w:tc>
      </w:tr>
      <w:tr>
        <w:trPr>
          <w:trHeight w:val="20"/>
        </w:trPr>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0" w:type="dxa"/>
            <w:vAlign w:val="bottom"/>
            <w:gridSpan w:val="5"/>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20" w:type="dxa"/>
            <w:vAlign w:val="bottom"/>
          </w:tcPr>
          <w:p>
            <w:pPr>
              <w:jc w:val="center"/>
              <w:ind w:left="2070"/>
              <w:spacing w:after="0" w:line="202" w:lineRule="exact"/>
              <w:rPr>
                <w:sz w:val="20"/>
                <w:szCs w:val="20"/>
                <w:color w:val="auto"/>
              </w:rPr>
            </w:pPr>
            <w:r>
              <w:rPr>
                <w:rFonts w:ascii="Arial" w:cs="Arial" w:eastAsia="Arial" w:hAnsi="Arial"/>
                <w:sz w:val="18"/>
                <w:szCs w:val="18"/>
                <w:b w:val="1"/>
                <w:bCs w:val="1"/>
                <w:color w:val="auto"/>
                <w:w w:val="99"/>
              </w:rPr>
              <w:t>(UNAUDITED)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20" w:type="dxa"/>
            <w:vAlign w:val="bottom"/>
          </w:tcPr>
          <w:p>
            <w:pPr>
              <w:jc w:val="center"/>
              <w:ind w:left="2050"/>
              <w:spacing w:after="0"/>
              <w:rPr>
                <w:sz w:val="20"/>
                <w:szCs w:val="20"/>
                <w:color w:val="auto"/>
              </w:rPr>
            </w:pPr>
            <w:r>
              <w:rPr>
                <w:rFonts w:ascii="Arial" w:cs="Arial" w:eastAsia="Arial" w:hAnsi="Arial"/>
                <w:sz w:val="18"/>
                <w:szCs w:val="18"/>
                <w:b w:val="1"/>
                <w:bCs w:val="1"/>
                <w:color w:val="auto"/>
                <w:w w:val="99"/>
              </w:rPr>
              <w:t>(in thousands)</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2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(42,031)</w:t>
            </w:r>
          </w:p>
        </w:tc>
        <w:tc>
          <w:tcPr>
            <w:tcW w:w="260" w:type="dxa"/>
            <w:vAlign w:val="bottom"/>
          </w:tcPr>
          <w:p>
            <w:pPr>
              <w:spacing w:after="0"/>
              <w:rPr>
                <w:sz w:val="17"/>
                <w:szCs w:val="17"/>
                <w:color w:val="auto"/>
              </w:rPr>
            </w:pPr>
          </w:p>
        </w:tc>
        <w:tc>
          <w:tcPr>
            <w:tcW w:w="400" w:type="dxa"/>
            <w:vAlign w:val="bottom"/>
            <w:gridSpan w:val="2"/>
          </w:tcPr>
          <w:p>
            <w:pPr>
              <w:jc w:val="right"/>
              <w:ind w:right="227"/>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8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Adjustments to reconcile net loss to net cash provided by (used in) operating</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33,488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debt issuance costs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1,672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Unrealized foreign currency (gain) loss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2,603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bottom w:val="single" w:sz="8" w:color="CCEEFF"/>
            </w:tcBorders>
            <w:gridSpan w:val="2"/>
          </w:tcPr>
          <w:p>
            <w:pPr>
              <w:ind w:left="320"/>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(9,969)</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(17,413)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(623)</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Repayment of Term Loan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Repayment of Nordea Q5000 Loan</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Repayment of MARAD Debt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(3,920)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Debt issuance costs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Payments related to tax withholding for share-based compensation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(1,525)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Proceeds from issuance of ESPP shares</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gridSpan w:val="2"/>
          </w:tcPr>
          <w:p>
            <w:pPr>
              <w:ind w:left="420"/>
              <w:spacing w:after="0" w:line="196"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(5,408)</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(59,885)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480" w:type="dxa"/>
            <w:vAlign w:val="bottom"/>
            <w:gridSpan w:val="2"/>
          </w:tcPr>
          <w:p>
            <w:pPr>
              <w:spacing w:after="0" w:line="183" w:lineRule="exact"/>
              <w:rPr>
                <w:sz w:val="20"/>
                <w:szCs w:val="20"/>
                <w:color w:val="auto"/>
              </w:rPr>
            </w:pPr>
            <w:r>
              <w:rPr>
                <w:rFonts w:ascii="Arial" w:cs="Arial" w:eastAsia="Arial" w:hAnsi="Arial"/>
                <w:sz w:val="18"/>
                <w:szCs w:val="18"/>
                <w:color w:val="auto"/>
              </w:rPr>
              <w:t>Effect of exchange rate changes on cash and cash equivalents and restricted</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00" w:type="dxa"/>
            <w:vAlign w:val="bottom"/>
            <w:gridSpan w:val="3"/>
          </w:tcPr>
          <w:p>
            <w:pPr>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decrease in cash and cash equivalents and restricted cash</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(24,449)</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and restricted cash:</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Balance, beginning of year</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327,127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291,320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Balance, end of period</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302,678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have been prepared pursuant to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GAAP in U.S. dollars and are consistent in all material respects with those applied in our 2021 Annual Report on Form 10-K (our “2021 Form 10-K”). 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income (loss), statements of shareholders’ equity and statements of cash flows, as applicable. The operating results for the three-month period ended March 31, 2022 are not necessarily indicative of the results that may be expected for the year ending December 31, 2022. Our balance sheet as of December 31, 2021 included herein has been derived from the audited balance sheet as of December 31, 2021 included in our 2021 Form 10-K. These unaudited condensed consolidated financial statements should be read in conjunction with the audited annual consolidated financial statements and notes thereto included in our 2021 Form 10-K.</w:t>
      </w:r>
    </w:p>
    <w:p>
      <w:pPr>
        <w:spacing w:after="0" w:line="183"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54"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color w:val="auto"/>
        </w:rPr>
        <w:t>We do not expect any recently issued accounting standards to have a material impact on our financial position, results of operations or cash flows when they become effective.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and robotics operations. Traditionally, our services have covered the lifecycle of an offshore oil or gas field. In recent years, we have seen an increasing demand for our services from the offshore renewable energy market. We provide services primarily in deepwater in the Gulf of Mexico, Brazil, North Sea, Asia Pacific and West Africa regions. Our North Sea operations are subject to seasonal changes in demand, which generally peaks in the summer months and declines in the winter months. Our services are segregated into three reportable business segments: Well Intervention, Robotics and Production Facilities (Note 10).</w:t>
      </w:r>
    </w:p>
    <w:p>
      <w:pPr>
        <w:spacing w:after="0" w:line="185"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 xml:space="preserve">Our Well Intervention segment provides services enabling our customers to safely access offshore wells for the purpose of performing production enhancement or decommissioning operations, thereby avoiding drilling new wells by extending the useful lives of existing wells and preserving the environment by preventing uncontrolled releases of oil and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monohull vessels, the </w:t>
      </w:r>
      <w:r>
        <w:rPr>
          <w:rFonts w:ascii="Arial" w:cs="Arial" w:eastAsia="Arial" w:hAnsi="Arial"/>
          <w:sz w:val="18"/>
          <w:szCs w:val="18"/>
          <w:i w:val="1"/>
          <w:iCs w:val="1"/>
          <w:color w:val="auto"/>
        </w:rPr>
        <w:t>Siem H</w:t>
      </w:r>
      <w:r>
        <w:rPr>
          <w:rFonts w:ascii="Arial" w:cs="Arial" w:eastAsia="Arial" w:hAnsi="Arial"/>
          <w:sz w:val="18"/>
          <w:szCs w:val="18"/>
          <w:color w:val="auto"/>
        </w:rPr>
        <w:t xml:space="preserve">elix </w:t>
      </w:r>
      <w:r>
        <w:rPr>
          <w:rFonts w:ascii="Arial" w:cs="Arial" w:eastAsia="Arial" w:hAnsi="Arial"/>
          <w:sz w:val="18"/>
          <w:szCs w:val="18"/>
          <w:i w:val="1"/>
          <w:iCs w:val="1"/>
          <w:color w:val="auto"/>
        </w:rPr>
        <w:t>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185" w:lineRule="exact"/>
        <w:rPr>
          <w:sz w:val="20"/>
          <w:szCs w:val="20"/>
          <w:color w:val="auto"/>
        </w:rPr>
      </w:pPr>
    </w:p>
    <w:p>
      <w:pPr>
        <w:ind w:right="260" w:firstLine="648"/>
        <w:spacing w:after="0" w:line="242" w:lineRule="auto"/>
        <w:rPr>
          <w:sz w:val="20"/>
          <w:szCs w:val="20"/>
          <w:color w:val="auto"/>
        </w:rPr>
      </w:pPr>
      <w:r>
        <w:rPr>
          <w:rFonts w:ascii="Arial" w:cs="Arial" w:eastAsia="Arial" w:hAnsi="Arial"/>
          <w:sz w:val="18"/>
          <w:szCs w:val="18"/>
          <w:color w:val="auto"/>
        </w:rPr>
        <w:t>Our Robotics segment provides offshore construction, trenching, seabed clearance, and inspection, repair and maintenance (“IRM”) services to both the oil and gas and the renewable energy markets globally, thereby assisting the delivery of affordable and reliable energy and supporting the responsible transition away from a carbon-based economy. Additionally, our Robotics services are used in and complement our well intervention services. Our Robotics segment includes remotely operated vehicles (“ROVs”), trenchers and robotics support vessels under term charters as well as spot vessels as needed.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a ship-shaped dynamically positioned floating production vessel, the Helix Fast Response System (the “HFRS”) and our ownership of oil and gas properties. All of our current Production Facilities activities are located in the Gulf of Mexico.</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Note 3 — Details of Certain Accounts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6100" w:type="dxa"/>
            <w:vAlign w:val="bottom"/>
            <w:gridSpan w:val="2"/>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 assets (Note 7)</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Prepaids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16,806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18,228</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costs (Note 7)</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Income tax receivable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receivable (Note 11)</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29,522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6,719</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59,274</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58,274</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1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recertification and dry dock costs, net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24,163</w:t>
            </w:r>
          </w:p>
        </w:tc>
        <w:tc>
          <w:tcPr>
            <w:tcW w:w="28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16,291</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Deferred costs (Note 7)</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3,339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196"/>
        </w:trPr>
        <w:tc>
          <w:tcPr>
            <w:tcW w:w="6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42,694</w:t>
            </w:r>
          </w:p>
        </w:tc>
        <w:tc>
          <w:tcPr>
            <w:tcW w:w="2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34,655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15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19,661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28,657</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2,761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6,746</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(Note 7)</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8,272</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Asset retirement obligations (Note 11)</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30,399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29,658</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16,493</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18,379</w:t>
            </w:r>
          </w:p>
        </w:tc>
      </w:tr>
      <w:tr>
        <w:trPr>
          <w:trHeight w:val="196"/>
        </w:trPr>
        <w:tc>
          <w:tcPr>
            <w:tcW w:w="6800" w:type="dxa"/>
            <w:vAlign w:val="bottom"/>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74,873</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91,712</w:t>
            </w:r>
          </w:p>
        </w:tc>
      </w:tr>
      <w:tr>
        <w:trPr>
          <w:trHeight w:val="20"/>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revenue (Note 7)</w:t>
            </w:r>
          </w:p>
        </w:tc>
        <w:tc>
          <w:tcPr>
            <w:tcW w:w="30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30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3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20" w:type="dxa"/>
            <w:vAlign w:val="bottom"/>
            <w:vMerge w:val="restart"/>
          </w:tcPr>
          <w:p>
            <w:pPr>
              <w:jc w:val="right"/>
              <w:ind w:right="169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37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7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1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We charter vessels and lease facilities and equipment under non-cancelable contracts that expire on various dates through 2031. We also sublease some of our facilities under non-cancelable sublease agreements.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14,462</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16,216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4,922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3,484</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1,732</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w:t>
            </w: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24,573</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21,083</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March 31, 2022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42,951</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5,441</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37,056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4,752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17,155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1,712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21,124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3,812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156,565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21,058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(20,297)</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(3,355)</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(23,652)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136,268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17,703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99,425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13,082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136,268</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17,703</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December 31, 2021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55,573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5,601</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34,580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4,844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39,424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92,623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22,688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(5,633)</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(3,741)</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86,990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51,035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35,955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14,243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86,990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18,947</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64"/>
        </w:trPr>
        <w:tc>
          <w:tcPr>
            <w:tcW w:w="8440" w:type="dxa"/>
            <w:vAlign w:val="bottom"/>
            <w:gridSpan w:val="4"/>
          </w:tcPr>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tc>
        <w:tc>
          <w:tcPr>
            <w:tcW w:w="148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March 31,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28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196"/>
        </w:trPr>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 years</w:t>
            </w:r>
          </w:p>
        </w:tc>
      </w:tr>
      <w:tr>
        <w:trPr>
          <w:trHeight w:val="239"/>
        </w:trPr>
        <w:tc>
          <w:tcPr>
            <w:tcW w:w="67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6.99 %</w:t>
            </w:r>
          </w:p>
        </w:tc>
        <w:tc>
          <w:tcPr>
            <w:tcW w:w="26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7.57 %</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16,010</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16,502</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Right-of-use assets obtained in exchange for new operating lease obligations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60,699</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Amount in 2022 primarily relates to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(Note 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March 31, 2022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MARAD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2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Notes</w:t>
            </w:r>
          </w:p>
        </w:tc>
        <w:tc>
          <w:tcPr>
            <w:tcW w:w="18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196"/>
        </w:trPr>
        <w:tc>
          <w:tcPr>
            <w:tcW w:w="3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8,133</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43,133</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8,539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38,539</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8,965</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9,412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209,412</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9,881</w:t>
            </w:r>
          </w:p>
        </w:tc>
      </w:tr>
      <w:tr>
        <w:trPr>
          <w:trHeight w:val="196"/>
        </w:trPr>
        <w:tc>
          <w:tcPr>
            <w:tcW w:w="30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Gross debt</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44,930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309,930</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(5,592)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(2,439)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(8,317)</w:t>
            </w:r>
          </w:p>
        </w:tc>
      </w:tr>
      <w:tr>
        <w:trPr>
          <w:trHeight w:val="196"/>
        </w:trPr>
        <w:tc>
          <w:tcPr>
            <w:tcW w:w="30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34,984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29,730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194,408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42,491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301,613</w:t>
            </w:r>
          </w:p>
        </w:tc>
      </w:tr>
      <w:tr>
        <w:trPr>
          <w:trHeight w:val="203"/>
        </w:trPr>
        <w:tc>
          <w:tcPr>
            <w:tcW w:w="30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(34,984)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(8,133)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(43,117)</w:t>
            </w:r>
          </w:p>
        </w:tc>
      </w:tr>
      <w:tr>
        <w:trPr>
          <w:trHeight w:val="196"/>
        </w:trPr>
        <w:tc>
          <w:tcPr>
            <w:tcW w:w="30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194,408</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34,358</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258,496</w:t>
            </w:r>
          </w:p>
        </w:tc>
      </w:tr>
      <w:tr>
        <w:trPr>
          <w:trHeight w:val="20"/>
        </w:trPr>
        <w:tc>
          <w:tcPr>
            <w:tcW w:w="2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ind w:left="660" w:right="1100" w:hanging="652"/>
        <w:spacing w:after="0" w:line="48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over the term of the applicable debt agreement. Below is a summary of certain components of our indebtedness: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On September 30, 2021, we entered into an asset-based credit agreement (the “ABL Facility”) with Bank of America, N.A. (“Bank of America”), Wells Fargo Bank, N.A. and Zions Bancorporation. The ABL Facility provides for an $80 million asset-based revolving credit facility, which matures on September 30, 2026, with a springing maturity 91 days prior to the maturity of any outstanding indebtedness with a principal amount in excess of $50 million. The ABL Facility also permits us to request an increase of the facility by up to $70 million, subject to certain conditions.</w:t>
      </w:r>
    </w:p>
    <w:p>
      <w:pPr>
        <w:spacing w:after="0" w:line="176"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Commitments under the ABL Facility are comprised of separate U.S. and U.K. revolving credit facility commitments of $45 million and $35 million, respectively. The ABL Facility provides funding based on a borrowing base calculation that includes eligible U.S. and U.K. customer accounts receivable and cash, and provides for a $10 million sub-limit for the issuance of letters of credit. As of March 31, 2022, we had no borrowings under the ABL Facility, and our available borrowing capacity under that facility, based on the borrowing base, totaled $41.2 million, net of $2.3 million of letters of credit issued under that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40" w:firstLine="648"/>
        <w:spacing w:after="0" w:line="245" w:lineRule="auto"/>
        <w:rPr>
          <w:sz w:val="20"/>
          <w:szCs w:val="20"/>
          <w:color w:val="auto"/>
        </w:rPr>
      </w:pPr>
      <w:r>
        <w:rPr>
          <w:rFonts w:ascii="Arial" w:cs="Arial" w:eastAsia="Arial" w:hAnsi="Arial"/>
          <w:sz w:val="18"/>
          <w:szCs w:val="18"/>
          <w:color w:val="auto"/>
        </w:rPr>
        <w:t>We and certain of our U.S. and U.K. subsidiaries are the initial borrowers under the ABL Facility, whose obligations under the ABL Facility are guaranteed by those borrowers and certain other U.S. and U.K. subsidiaries, excluding Cal Dive I</w:t>
      </w:r>
    </w:p>
    <w:p>
      <w:pPr>
        <w:ind w:right="20"/>
        <w:spacing w:after="0"/>
        <w:rPr>
          <w:sz w:val="20"/>
          <w:szCs w:val="20"/>
          <w:color w:val="auto"/>
        </w:rPr>
      </w:pPr>
      <w:r>
        <w:rPr>
          <w:rFonts w:ascii="Arial" w:cs="Arial" w:eastAsia="Arial" w:hAnsi="Arial"/>
          <w:sz w:val="18"/>
          <w:szCs w:val="18"/>
          <w:color w:val="auto"/>
        </w:rPr>
        <w:t>– Title XI, Inc. (“CDI Title XI”), Helix Offshore Services Limited and certain other enumerated subsidiaries. Other subsidiaries may be added as guarantors of the facility in the future. The ABL Facility is secured by all accounts receivable and designated deposit accounts of the U.S. borrowers and guarantors, and by substantially all of the assets of the U.K. borrowers and guarantors.</w:t>
      </w:r>
    </w:p>
    <w:p>
      <w:pPr>
        <w:spacing w:after="0" w:line="18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U.S. borrowings under the ABL Facility initially bear interest at the LIBOR rate plus a margin of 1.50% to 2.00% or at a base rate plus a margin of 0.50% to 1.00%. U.K. borrowings under the ABL Facility denominated in U.S. dollars initially bear interest at the LIBOR rate and U.K. borrowings denominated in the British pound initially bear interest at the SONIA daily rate, each plus a margin of 1.50% to 2.00%. We also pay a commitment fee of 0.375% to 0.50% per annum on the unused portion of the facility. Beginning on the earlier of June 30, 2023, cessation of LIBOR or an earlier opt-in election, LIBOR will be replaced by either SOFR or term SOFR plus a margin of 0.114% to 0.428% or an alternate benchmark rate.</w:t>
      </w:r>
    </w:p>
    <w:p>
      <w:pPr>
        <w:spacing w:after="0" w:line="17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ABL Facility contains customary default provisions which, if triggered, could result in acceleration of all amounts then outstanding. The ABL Facility requires us to satisfy and maintain a fixed charge coverage ratio of not less than 1.0 to 1.0 if availability is less than the greater of 10% of the borrowing base or $ 8 million. The ABL Facility also requires us to maintain a pro forma minimum excess availability of $16 million for the 91 days prior to the maturity of each of our outstanding convertible senior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10"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The 2022 Notes bear interest at a coupon interest rate of 4.25% per annum payable semi-annually in arrears on November 1 and May 1 of each year until maturity. The 2022 Notes mature on May 1, 2022 unless earlier converted, redeemed or repurchased by us. The 2022 Notes are convertible by their holders at any time beginning February 1, 2022 at an initial conversion rate of 71.9748 shares of our common stock per $1,000 principal amount, which currently represents 2,519,118 potentially convertible shares at an initial conversion price of approximately $13.89 per share of common stock. On March 28, 2022, we elected to satisfy our conversion obligation by delivering cash.</w:t>
      </w:r>
    </w:p>
    <w:p>
      <w:pPr>
        <w:spacing w:after="0" w:line="179"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The effective interest rate for the 2022 Notes is 4.8%. For each of the three-month periods ended March 31, 2022 and 2021, total interest expense related to the 2022 Notes was $0.4 million primarily from coupon interest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Notes</w:t>
      </w:r>
    </w:p>
    <w:p>
      <w:pPr>
        <w:spacing w:after="0" w:line="21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2023 Notes bear interest at a coupon interest rate of 4.125% per annum payable semi-annually in arrears on March 15 and September 15 of each year until maturity. The 2023 Notes mature on September 15, 2023 unless earlier converted, redeemed or repurchased by us. The 2023 Notes are convertible by their holders at any time beginning March 15, 2023 at an initial conversion rate of 105.6133 shares of our common stock per $1,000 principal amount, which currently represents 3,168,399 potentially convertible shares at an initial conversion price of approximately $9.47 per share of common stock. Upon conversion, we have the right to satisfy our conversion obligation by delivering cash, shares of our common stock or any combination thereof.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Prior to March 15, 2023, holders of the 2023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2023 Notes is equal to or less than 97% of the conversion value of the notes during the five consecutive business days immediately after any ten consecutive trading day period (trading price condition). Holders of the 2023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47.5260 shares of our common stock per $1,000 principal amount.</w:t>
      </w:r>
    </w:p>
    <w:p>
      <w:pPr>
        <w:spacing w:after="0" w:line="18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Prior to March 15, 2021, the 2023 Notes were not redeemable. On or after March 15, 2021, we may redeem all or any portion of the 2023 Notes if the price of our common stock has been at least 130% of the conversion price for at least 20 trading days during any 30 consecutive trading day period preceding our redemption notice. Any redemption would be payable in cash equal to 100% of the principal amount to be redeemed plus accrued and unpaid interest and a “make-whole premium” calculated as the present value of all remaining scheduled interest payments. Holders of the 2023 Notes may convert any of their notes if we call the notes for redemption. Holders of the 2023 Notes may also require us to repurchase the notes following a “fundamental change,” which includes a change of control or a termination of trading of our common stock (as defined in the indenture governing the 2023 Notes).</w:t>
      </w:r>
    </w:p>
    <w:p>
      <w:pPr>
        <w:spacing w:after="0" w:line="180"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The indenture governing the 2023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2023 Notes together with any accrued interest will become immediately due and payable.</w:t>
      </w:r>
    </w:p>
    <w:p>
      <w:pPr>
        <w:spacing w:after="0" w:line="17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effective interest rate for the 2023 Notes is 4.8%. For each of the three-month periods ended March 31, 2022 and 2021, total interest expense related to the 2023 Notes was $0.4 million, with coupon interest expense of $0.3 million and the amortization of debt issuance costs of $0.1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10"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2026 Notes bear interest at a coupon interest rate of 6.75% per annum payable semi-annually in arrears on February 15 and August 15 of each year, beginning February 15, 2021 until maturity. The 2026 Notes mature on February 15, 2026 unless earlier converted, redeemed or repurchased by us. The 2026 Notes are convertible by their holders at any time beginning November 17, 2025 at an initial conversion rate of 143.3795 shares of our common stock per</w:t>
      </w:r>
    </w:p>
    <w:p>
      <w:pPr>
        <w:spacing w:after="0" w:line="242" w:lineRule="auto"/>
        <w:rPr>
          <w:sz w:val="20"/>
          <w:szCs w:val="20"/>
          <w:color w:val="auto"/>
        </w:rPr>
      </w:pPr>
      <w:r>
        <w:rPr>
          <w:rFonts w:ascii="Arial" w:cs="Arial" w:eastAsia="Arial" w:hAnsi="Arial"/>
          <w:sz w:val="18"/>
          <w:szCs w:val="18"/>
          <w:color w:val="auto"/>
        </w:rPr>
        <w:t>$1,000 principal amount, which currently represents 28,675,900 potentially convertible shares at an initial conversion price of approximately $ 6.97 per share of common stock. Upon conversion, we have the right to satisfy our conversion obligation by delivering cash, shares of our common stock or any combination thereof.</w:t>
      </w:r>
    </w:p>
    <w:p>
      <w:pPr>
        <w:spacing w:after="0" w:line="17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Prior to November 17, 2025, holders of the 2026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2026 Notes is equal to or less than 97% of the conversion value of the notes during the five consecutive business days immediately after any ten consecutive trading day period (trading price condition). Holders of the 2026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64.5207 shares of our common stock per $1,000 principal amount.</w:t>
      </w:r>
    </w:p>
    <w:p>
      <w:pPr>
        <w:spacing w:after="0" w:line="18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Prior to August 15, 2023, the 2026 Notes are not redeemable. On or after August 15, 2023, we may redeem all or any portion of the 2026 Notes if the price of our common stock has been at least 130% of the conversion price for at least 20 trading days during any 30 consecutive trading day period preceding our redemption notice. Any redemption would be payable in cash equal to 100% of the principal amount plus accrued and unpaid interest and a “make-whole premium” calculated as the present value of all remaining scheduled interest payments. Holders of the 2026 Notes may convert any of their notes if we call the notes for redemption. Holders of the 2026 Notes may also require us to repurchase the notes following a “fundamental change,” which includes a change of control or a termination of trading of our common stock (as defined in the indenture governing the 2026 Notes).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The indenture governing the 2026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2026 Notes together with any accrued interest will become immediately due and payable.</w:t>
      </w:r>
    </w:p>
    <w:p>
      <w:pPr>
        <w:spacing w:after="0" w:line="17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effective interest rate for the 2026 Notes is 7.6%. For each of the three-month periods ended March 31, 2022 and 2021, total interest expense related to the 2026 Notes was $3.7 million, with coupon interest expense of $3.4 million and the amortization of debt issuance costs of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Capped Calls</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option counterparties. The 2026 Capped Calls are for an aggregate of 28,675,900 shares of our common stock, which corresponds to the shares into which the 2026 Notes are initially convertible. The capped call shares are subject to certain anti-dilution adjustments. Each capped call option has an initial strike price of approximately $6.97 per share, which corresponds to the initial conversion price of the 2026 Notes, and an initial cap price of approximately $8.42 per share. The strike and cap prices are subject to certain adjustments. The 2026 Capped Calls are intended to offset some or all of the potential dilution to Helix common shares caused by any conversion of the 2026 Notes up to the cap price. The 2026 Capped Calls can be settled in either net shares or cash at our option in components commencing December 15, 2025 and ending February 12, 2026, which could be extended under certain circumstances.</w:t>
      </w:r>
    </w:p>
    <w:p>
      <w:pPr>
        <w:spacing w:after="0" w:line="183"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The 2026 Capped Calls are subject to either adjustment or termination upon the occurrence of specified extraordinary events affecting Helix, including a merger, tender offer, nationalization, insolvency or delisting. In addition, certain events may result in a termination of the 2026 Capped Calls, including changes in law, insolvency filings and hedging disruptions. The 2026 Capped Calls are recorded at their aggregate cost of $10.6 million as a reduction to common stock in the shareholders’ equity section of our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1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 xml:space="preserve">In 2005, Helix’s subsidiary CDI – 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 Title XI for so long as the MARAD Debt remains outstanding. The MARAD Debt is payable in equal semi-annual installments, matures in February 2027 and bears interest at a rate of 4.93%. The agreements relating to the bonds and the terms and conditions of our obligations to MARAD in respect of the MARAD Debt are typical for U.S. government-guaranteed ship financing transactions, including customary restrictions on incurring additional liens on the </w:t>
      </w:r>
      <w:r>
        <w:rPr>
          <w:rFonts w:ascii="Arial" w:cs="Arial" w:eastAsia="Arial" w:hAnsi="Arial"/>
          <w:sz w:val="18"/>
          <w:szCs w:val="18"/>
          <w:i w:val="1"/>
          <w:iCs w:val="1"/>
          <w:color w:val="auto"/>
        </w:rPr>
        <w:t xml:space="preserve">Q4000 </w:t>
      </w:r>
      <w:r>
        <w:rPr>
          <w:rFonts w:ascii="Arial" w:cs="Arial" w:eastAsia="Arial" w:hAnsi="Arial"/>
          <w:sz w:val="18"/>
          <w:szCs w:val="18"/>
          <w:color w:val="auto"/>
        </w:rPr>
        <w:t>and trading restrictions with respect to the vessel as well as working capital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0"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color w:val="auto"/>
        </w:rPr>
        <w:t xml:space="preserve">We previously had a credit agreement with a syndicated bank lending group for a term loan (the “Nordea Q5000 Loan”) to finance the construction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loan was secured by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its charter earnings. In January 2021, we repaid the remaining principal amount of $53.6 million.</w:t>
      </w:r>
    </w:p>
    <w:p>
      <w:pPr>
        <w:spacing w:after="0" w:line="169"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previously had another credit agreement (and the amendments made thereafter, collectively the “Credit Agreement”) with a group of lenders led by Bank of America. The Credit Agreement was comprised of a term loan (the “Term Loan”) and a revolving credit facility (the “Revolving Credit Facility”) with a maximum availability of $175 million and had a maturity date of December 31, 2021. Concurrent with our entering into the ABL Facility, the Credit Agreement was terminated. The $28 million remaining balance of the Term Loan was repaid in full and the letters of credit issued under the Revolving Credit Facility were transferred to the ABL Facility. We had no borrowings under the Revolving Credit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In accordance with the ABL Facility, the 2022 Notes, the 2023 Notes, the 2026 Notes and the MARAD Debt, we are required to comply with certain covenants, including a springing fixed charge coverage ratio and minimum liquidity with respect to the ABL Facility and the maintenance of net worth, working capital and debt-to-equity requirements with respect to the MARAD Debt. As of March 31, 2022, we were in compliance with these covenants.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196"/>
        </w:trPr>
        <w:tc>
          <w:tcPr>
            <w:tcW w:w="68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5,307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6,112</w:t>
            </w: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w:t>
            </w:r>
          </w:p>
        </w:tc>
      </w:tr>
      <w:tr>
        <w:trPr>
          <w:trHeight w:val="196"/>
        </w:trPr>
        <w:tc>
          <w:tcPr>
            <w:tcW w:w="68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5,174</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6,053</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12"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16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For the three-month periods ended March 31, 2022 and 2021, we recognized income tax expense of $2.1 million and $0.1 million, respectively, resulting in effective tax rates of (5.4)% and (4.0)%, respectively. These variances were primarily attributable to the earnings mix between our higher and lower tax rate jurisdictions as well as losses for which no financial statement benefits have been recognized. For both periods, our aggregate tax expense was greater than the aggregate tax benefit of our losses, resulting in negative effective tax rates. The effective tax rate for the three-month period ended March 31, 2022 was significantly lower than the U.S. statutory rate primarily due to non-creditable foreign income and deemed profit taxes, as well as unbenefited tax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 from Contracts with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revenues are primarily derived from short-term and long-term service contracts with customers. Our service contracts generally contain either provisions for specific time, material and equipment charges that are billed in accordance with the terms of such contracts (dayrate contracts) or lump sum payment provisions (lump sum contracts). We record revenues net of taxes collected from customers and remitted to governmental authorities.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Production</w:t>
            </w: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Intercompany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Intervention</w:t>
            </w:r>
          </w:p>
        </w:tc>
        <w:tc>
          <w:tcPr>
            <w:tcW w:w="200" w:type="dxa"/>
            <w:vAlign w:val="bottom"/>
          </w:tcPr>
          <w:p>
            <w:pPr>
              <w:spacing w:after="0"/>
              <w:rPr>
                <w:sz w:val="19"/>
                <w:szCs w:val="19"/>
                <w:color w:val="auto"/>
              </w:rPr>
            </w:pPr>
          </w:p>
        </w:tc>
        <w:tc>
          <w:tcPr>
            <w:tcW w:w="1280" w:type="dxa"/>
            <w:vAlign w:val="bottom"/>
            <w:gridSpan w:val="3"/>
          </w:tcPr>
          <w:p>
            <w:pPr>
              <w:ind w:left="160"/>
              <w:spacing w:after="0"/>
              <w:rPr>
                <w:sz w:val="20"/>
                <w:szCs w:val="20"/>
                <w:color w:val="auto"/>
              </w:rPr>
            </w:pPr>
            <w:r>
              <w:rPr>
                <w:rFonts w:ascii="Arial" w:cs="Arial" w:eastAsia="Arial" w:hAnsi="Arial"/>
                <w:sz w:val="18"/>
                <w:szCs w:val="18"/>
                <w:b w:val="1"/>
                <w:bCs w:val="1"/>
                <w:color w:val="auto"/>
              </w:rPr>
              <w:t>Robotics</w:t>
            </w:r>
          </w:p>
        </w:tc>
        <w:tc>
          <w:tcPr>
            <w:tcW w:w="12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Facilities</w:t>
            </w:r>
          </w:p>
        </w:tc>
        <w:tc>
          <w:tcPr>
            <w:tcW w:w="20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2022</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91,346</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21,137</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(635)</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111,848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15,021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18,294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106,367</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37,351</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18,294</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(11,887)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150,125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b w:val="1"/>
                <w:bCs w:val="1"/>
                <w:color w:val="auto"/>
              </w:rPr>
              <w:t>Three months ended March 31, 2021</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49,217</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9,407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84,551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12,749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16,447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104,791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133,768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22,156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13"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are recognized when our right to consideration becomes unconditional.</w:t>
      </w:r>
    </w:p>
    <w:p>
      <w:pPr>
        <w:spacing w:after="0" w:line="212"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condensed consolidated balance sheets (Note 3). Contract assets were $0.2 million at March 31, 2022 and $0.6 million at December 31, 2021. We had no credit losses on our contract assets for the three-month periods ended March 31, 2022 and 2021.</w:t>
      </w:r>
    </w:p>
    <w:p>
      <w:pPr>
        <w:spacing w:after="0" w:line="185"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Contract liabilities are reflected as “Deferred revenue,” a component of “Accrued liabilities” and “Other non-current liabilities” in the accompanying condensed consolidated balance sheets (Note 3). Contract liabilities totaled $5.7 million at March 31, 2022 and $8.7 million at December 31, 2021. Revenue recognized for the three-month periods ended March 31, 2022 and 2021 included $4.3 million and $2.5 million, respectively, that were included in the contract liability balance at the beginning of each period.</w:t>
      </w:r>
    </w:p>
    <w:p>
      <w:pPr>
        <w:spacing w:after="0" w:line="180" w:lineRule="exact"/>
        <w:rPr>
          <w:sz w:val="20"/>
          <w:szCs w:val="20"/>
          <w:color w:val="auto"/>
        </w:rPr>
      </w:pPr>
    </w:p>
    <w:p>
      <w:pPr>
        <w:ind w:right="520" w:firstLine="648"/>
        <w:spacing w:after="0" w:line="271" w:lineRule="auto"/>
        <w:rPr>
          <w:sz w:val="20"/>
          <w:szCs w:val="20"/>
          <w:color w:val="auto"/>
        </w:rPr>
      </w:pPr>
      <w:r>
        <w:rPr>
          <w:rFonts w:ascii="Arial" w:cs="Arial" w:eastAsia="Arial" w:hAnsi="Arial"/>
          <w:sz w:val="18"/>
          <w:szCs w:val="18"/>
          <w:color w:val="auto"/>
        </w:rPr>
        <w:t>We report the net contract asset or contract liability position on a contract-by-contract basis at the end of each reporting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As of March 31, 2022, $548.1 million related to unsatisfied performance obligations was expected to be recognized as revenue in the future, with $263.4 million, $203.4 million and $81.3 million in 2022, 2023 and 2024,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March 31, 2022.</w:t>
      </w:r>
    </w:p>
    <w:p>
      <w:pPr>
        <w:spacing w:after="0" w:line="179"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For the three-month periods ended March 31, 2022 and 2021, revenues recognized from performance obligations satisfied (or partially satisfied) in previous periods were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condensed consolidated balance sheets (Note 3). Our deferred contract costs totaled $ 6.2 million at March 31, 2022 and $3.3 million at December 31, 2021. For the three-month periods ended March 31, 2022 and 2021, we recorded $4.6 million and $10.4 million, respectively, related to amortization of these deferred contract costs. There were no associated impairment losses for any period presented.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revenue recognition, see Notes 2 and 12 to our 2021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basic and diluted earnings per share (“EPS”) under the two-class method in periods in which we have earnings. Under the two-class method, net income or loss attributable to common shareholders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185"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Basic EPS is computed by dividing net income or loss available to common shareholders by the weighted average shares of our common stock outstanding. The calculation of diluted EPS is similar to that for basic EPS, except that the denominator includes dilutive common stock equivalents and the numerator excludes the effects of dilutive common stock equivalents, if any. The computations of the numerator (earnings or loss) and denominator (shares) to derive the basic and diluted EPS amounts presented on the face of the accompanying condensed consolidated statements of operations are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5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9"/>
              </w:rPr>
              <w:t>March 31, 2021</w:t>
            </w:r>
          </w:p>
        </w:tc>
      </w:tr>
      <w:tr>
        <w:trPr>
          <w:trHeight w:val="196"/>
        </w:trPr>
        <w:tc>
          <w:tcPr>
            <w:tcW w:w="5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shareholders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(42,031)</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(2,878)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Accretion of redeemable noncontrolling interests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Net loss available to common shareholders</w:t>
            </w:r>
          </w:p>
        </w:tc>
        <w:tc>
          <w:tcPr>
            <w:tcW w:w="5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(42,031)</w:t>
            </w:r>
          </w:p>
        </w:tc>
        <w:tc>
          <w:tcPr>
            <w:tcW w:w="2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151,142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(3,119)</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149,935</w:t>
            </w:r>
          </w:p>
        </w:tc>
      </w:tr>
      <w:tr>
        <w:trPr>
          <w:trHeight w:val="20"/>
        </w:trPr>
        <w:tc>
          <w:tcPr>
            <w:tcW w:w="5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We had net losses for the three-month periods ended March 31, 2022 and 2021. Accordingly, our diluted EPS calculation for these periods excluded any assumed exercise or conversion of common stock equivalents. These common stock equivalents were excluded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spacing w:after="0"/>
              <w:rPr>
                <w:sz w:val="18"/>
                <w:szCs w:val="18"/>
                <w:color w:val="auto"/>
              </w:rPr>
            </w:pPr>
          </w:p>
        </w:tc>
        <w:tc>
          <w:tcPr>
            <w:tcW w:w="28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7040" w:type="dxa"/>
            <w:vAlign w:val="bottom"/>
          </w:tcPr>
          <w:p>
            <w:pPr>
              <w:spacing w:after="0"/>
              <w:rPr>
                <w:sz w:val="19"/>
                <w:szCs w:val="19"/>
                <w:color w:val="auto"/>
              </w:rPr>
            </w:pPr>
          </w:p>
        </w:tc>
        <w:tc>
          <w:tcPr>
            <w:tcW w:w="19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8"/>
              </w:rPr>
              <w:t>March 31,</w:t>
            </w:r>
          </w:p>
        </w:tc>
        <w:tc>
          <w:tcPr>
            <w:tcW w:w="960" w:type="dxa"/>
            <w:vAlign w:val="bottom"/>
            <w:tcBorders>
              <w:bottom w:val="single" w:sz="8" w:color="auto"/>
            </w:tcBorders>
          </w:tcPr>
          <w:p>
            <w:pPr>
              <w:spacing w:after="0"/>
              <w:rPr>
                <w:sz w:val="19"/>
                <w:szCs w:val="19"/>
                <w:color w:val="auto"/>
              </w:rPr>
            </w:pPr>
          </w:p>
        </w:tc>
      </w:tr>
      <w:tr>
        <w:trPr>
          <w:trHeight w:val="196"/>
        </w:trPr>
        <w:tc>
          <w:tcPr>
            <w:tcW w:w="70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151,142</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149,935</w:t>
            </w:r>
          </w:p>
        </w:tc>
      </w:tr>
      <w:tr>
        <w:trPr>
          <w:trHeight w:val="203"/>
        </w:trPr>
        <w:tc>
          <w:tcPr>
            <w:tcW w:w="7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awards</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1,093</w:t>
            </w:r>
          </w:p>
        </w:tc>
      </w:tr>
      <w:tr>
        <w:trPr>
          <w:trHeight w:val="196"/>
        </w:trPr>
        <w:tc>
          <w:tcPr>
            <w:tcW w:w="70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152,095</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151,028</w:t>
            </w:r>
          </w:p>
        </w:tc>
      </w:tr>
      <w:tr>
        <w:trPr>
          <w:trHeight w:val="20"/>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The following potentially dilutive shares related to the 2022 Notes, the 2023 Notes and the 2026 Notes were excluded from the diluted EPS calculation as they were anti-dilutive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29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92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196"/>
        </w:trPr>
        <w:tc>
          <w:tcPr>
            <w:tcW w:w="2900" w:type="dxa"/>
            <w:vAlign w:val="bottom"/>
            <w:tcBorders>
              <w:bottom w:val="single" w:sz="8" w:color="CCEEFF"/>
            </w:tcBorders>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w:t>
            </w:r>
          </w:p>
        </w:tc>
        <w:tc>
          <w:tcPr>
            <w:tcW w:w="4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2,435</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5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5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r>
      <w:tr>
        <w:trPr>
          <w:trHeight w:val="868"/>
        </w:trPr>
        <w:tc>
          <w:tcPr>
            <w:tcW w:w="2900" w:type="dxa"/>
            <w:vAlign w:val="bottom"/>
          </w:tcPr>
          <w:p>
            <w:pPr>
              <w:spacing w:after="0"/>
              <w:rPr>
                <w:sz w:val="24"/>
                <w:szCs w:val="24"/>
                <w:color w:val="auto"/>
              </w:rPr>
            </w:pPr>
          </w:p>
        </w:tc>
        <w:tc>
          <w:tcPr>
            <w:tcW w:w="4140" w:type="dxa"/>
            <w:vAlign w:val="bottom"/>
          </w:tcPr>
          <w:p>
            <w:pPr>
              <w:jc w:val="right"/>
              <w:ind w:right="1890"/>
              <w:spacing w:after="0"/>
              <w:rPr>
                <w:sz w:val="20"/>
                <w:szCs w:val="20"/>
                <w:color w:val="auto"/>
              </w:rPr>
            </w:pPr>
            <w:r>
              <w:rPr>
                <w:rFonts w:ascii="Arial" w:cs="Arial" w:eastAsia="Arial" w:hAnsi="Arial"/>
                <w:sz w:val="18"/>
                <w:szCs w:val="18"/>
                <w:color w:val="auto"/>
              </w:rPr>
              <w:t>17</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30"/>
        </w:trPr>
        <w:tc>
          <w:tcPr>
            <w:tcW w:w="29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10"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As of March 31, 2022, there were 4.2 million shares of our common stock available for issuance under our 2005 Long-Term Incentive Plan, as amended and restated (the “2005 Incentive Plan”). During the three-month period ended March 31, 2022, the following grants of share-based awards were made under the 2005 Incentive Plan: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700"/>
              <w:spacing w:after="0"/>
              <w:rPr>
                <w:sz w:val="20"/>
                <w:szCs w:val="20"/>
                <w:color w:val="auto"/>
              </w:rPr>
            </w:pPr>
            <w:r>
              <w:rPr>
                <w:rFonts w:ascii="Arial" w:cs="Arial" w:eastAsia="Arial" w:hAnsi="Arial"/>
                <w:sz w:val="18"/>
                <w:szCs w:val="18"/>
                <w:b w:val="1"/>
                <w:bCs w:val="1"/>
                <w:color w:val="auto"/>
              </w:rPr>
              <w:t>Vesting Period</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2022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1,065,705</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4, 2022 </w:t>
            </w:r>
            <w:r>
              <w:rPr>
                <w:rFonts w:ascii="Arial" w:cs="Arial" w:eastAsia="Arial" w:hAnsi="Arial"/>
                <w:sz w:val="23"/>
                <w:szCs w:val="23"/>
                <w:color w:val="auto"/>
                <w:vertAlign w:val="superscript"/>
              </w:rPr>
              <w:t>(1)</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1,065,705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January 4, 2025</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4, 2022 </w:t>
            </w:r>
            <w:r>
              <w:rPr>
                <w:rFonts w:ascii="Arial" w:cs="Arial" w:eastAsia="Arial" w:hAnsi="Arial"/>
                <w:sz w:val="23"/>
                <w:szCs w:val="23"/>
                <w:color w:val="auto"/>
                <w:vertAlign w:val="superscript"/>
              </w:rPr>
              <w:t>(2)</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15,775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2024</w:t>
            </w:r>
          </w:p>
        </w:tc>
      </w:tr>
      <w:tr>
        <w:trPr>
          <w:trHeight w:val="108"/>
        </w:trPr>
        <w:tc>
          <w:tcPr>
            <w:tcW w:w="1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60" w:type="dxa"/>
            <w:vAlign w:val="bottom"/>
          </w:tcPr>
          <w:p>
            <w:pPr>
              <w:spacing w:after="0"/>
              <w:rPr>
                <w:sz w:val="9"/>
                <w:szCs w:val="9"/>
                <w:color w:val="auto"/>
              </w:rPr>
            </w:pPr>
          </w:p>
        </w:tc>
      </w:tr>
    </w:tbl>
    <w:p>
      <w:pPr>
        <w:spacing w:after="0" w:line="7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300" w:hanging="652"/>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of Directors (our “Board”) who have elected to take their quarterly fees in stock in lieu of cash.</w:t>
      </w:r>
    </w:p>
    <w:p>
      <w:pPr>
        <w:spacing w:after="0" w:line="46"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in 2022. For the three-month periods ended March 31, 2022 and 2021, $0.6 million and $0.8 million, respectively, were recognized as share-based compensation related to restricted stock.</w:t>
      </w:r>
    </w:p>
    <w:p>
      <w:pPr>
        <w:spacing w:after="0" w:line="176"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Our performance share units (“PSUs”) that were granted prior to 2021 are to be settled solely in shares of our common stock and are accounted for as equity awards. Those PSUs, which contain a service and a market condition, are based on the performance of our common stock against peer group companies. Our PSUs granted beginning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pacing w:after="0" w:line="18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For PSUs that have a service and a market condition and are accounted for as equity awards, compensation cost is measured based on the grant date estimated fair value determined using a Monte Carlo simulation model and subsequently recognized over the vesting period on a straight-line basis. For PSUs that have a service and a performance condition and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three-month periods ended March 31, 2022 and 2021, $1.1 million and $1.0 million, respectively, were recognized as share-based compensation related to equity PSUs. In January 2022, based on the performance of our common stock price as compared to our performance peer group over a three-year period, 559,150 equity PSUs granted in 2019 vested at 157%, representing 876,469 shares of our common stock with a total market value of $3.2 million.</w:t>
      </w:r>
    </w:p>
    <w:p>
      <w:pPr>
        <w:spacing w:after="0" w:line="180"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Our restricted stock units (“RSUs”) may be settled in either cash or shares of our common stock upon vesting at the discretion of the Compensation Committee and have been accounted for as liability awards. Liability RSUs are measured at their estimated fair value at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three-month periods ended March 31, 2022 and 2021, $0.6 million and $0.2 million, respectively, were recognized as compensation cost.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300" w:firstLine="648"/>
        <w:spacing w:after="0" w:line="247" w:lineRule="auto"/>
        <w:rPr>
          <w:sz w:val="20"/>
          <w:szCs w:val="20"/>
          <w:color w:val="auto"/>
        </w:rPr>
      </w:pPr>
      <w:r>
        <w:rPr>
          <w:rFonts w:ascii="Arial" w:cs="Arial" w:eastAsia="Arial" w:hAnsi="Arial"/>
          <w:sz w:val="18"/>
          <w:szCs w:val="18"/>
          <w:color w:val="auto"/>
        </w:rPr>
        <w:t>In 2022 and 2021, we granted fixed-value cash awards of $5.0 million and $3.5 million, respectively, to select management employees under the 2005 Incentive Plan. The value of these cash awards is recognized on a straight-line basis over a vesting period of three years. Compensation cost of $1.0 million was recognized for each of the three-month periods ended March 31, 2022 and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10" w:lineRule="exact"/>
        <w:rPr>
          <w:sz w:val="20"/>
          <w:szCs w:val="20"/>
          <w:color w:val="auto"/>
        </w:rPr>
      </w:pPr>
    </w:p>
    <w:p>
      <w:pPr>
        <w:ind w:right="340" w:firstLine="648"/>
        <w:spacing w:after="0" w:line="247" w:lineRule="auto"/>
        <w:rPr>
          <w:sz w:val="20"/>
          <w:szCs w:val="20"/>
          <w:color w:val="auto"/>
        </w:rPr>
      </w:pPr>
      <w:r>
        <w:rPr>
          <w:rFonts w:ascii="Arial" w:cs="Arial" w:eastAsia="Arial" w:hAnsi="Arial"/>
          <w:sz w:val="18"/>
          <w:szCs w:val="18"/>
          <w:color w:val="auto"/>
        </w:rPr>
        <w:t>We sponsor a defined contribution 401(k) retirement plan. Our discretionary contributions are in the form of cash and consist of a 50% match of each participant’s contribution up to 5% of the participant’s salary. Our discretionary contributions were suspended for 2021 and re-activated beginning January 2022. For the three-month period ended March 31, 2022, we made $0.4 million in contributions to the 401(k)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0"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We have an employee stock purchase plan (the “ESPP”). As of March 31, 2022, 1.5 million shares were available for issuance under the ESPP. The ESPP currently has a purchase limit of 260 shares per employee per purchase period.</w:t>
      </w:r>
    </w:p>
    <w:p>
      <w:pPr>
        <w:spacing w:after="0" w:line="154" w:lineRule="exact"/>
        <w:rPr>
          <w:sz w:val="20"/>
          <w:szCs w:val="20"/>
          <w:color w:val="auto"/>
        </w:rPr>
      </w:pPr>
    </w:p>
    <w:p>
      <w:pPr>
        <w:ind w:right="280" w:firstLine="648"/>
        <w:spacing w:after="0" w:line="271" w:lineRule="auto"/>
        <w:rPr>
          <w:sz w:val="20"/>
          <w:szCs w:val="20"/>
          <w:color w:val="auto"/>
        </w:rPr>
      </w:pPr>
      <w:r>
        <w:rPr>
          <w:rFonts w:ascii="Arial" w:cs="Arial" w:eastAsia="Arial" w:hAnsi="Arial"/>
          <w:sz w:val="18"/>
          <w:szCs w:val="18"/>
          <w:color w:val="auto"/>
        </w:rPr>
        <w:t>For more information regarding our employee benefit plans, including the 2005 Incentive Plan and the ESPP, see Note 14 to our 2021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Business Segment Information</w:t>
      </w:r>
    </w:p>
    <w:p>
      <w:pPr>
        <w:spacing w:after="0" w:line="212"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 xml:space="preserve">We have three reportable business segments: Well Intervention, Robotics and Production Facilities. Our U.S., U.K. and Brazil well intervention operating segments are aggregated into the Well Intervention segment for financial reporting purposes. Our Well Intervention segment provides services enabling our customers to safely access offshore wells for the purpose of performing production enhancement or decommissioning operations primarily in the Gulf of Mexico, Brazil, the North Sea and West Africa.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w:t>
      </w:r>
      <w:r>
        <w:rPr>
          <w:rFonts w:ascii="Arial" w:cs="Arial" w:eastAsia="Arial" w:hAnsi="Arial"/>
          <w:sz w:val="18"/>
          <w:szCs w:val="18"/>
          <w:color w:val="auto"/>
        </w:rPr>
        <w:t xml:space="preserve"> </w:t>
      </w:r>
      <w:r>
        <w:rPr>
          <w:rFonts w:ascii="Arial" w:cs="Arial" w:eastAsia="Arial" w:hAnsi="Arial"/>
          <w:sz w:val="18"/>
          <w:szCs w:val="18"/>
          <w:i w:val="1"/>
          <w:iCs w:val="1"/>
          <w:color w:val="auto"/>
        </w:rPr>
        <w:t>Enhancer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Siem Helix 1 </w:t>
      </w:r>
      <w:r>
        <w:rPr>
          <w:rFonts w:ascii="Arial" w:cs="Arial" w:eastAsia="Arial" w:hAnsi="Arial"/>
          <w:sz w:val="18"/>
          <w:szCs w:val="18"/>
          <w:color w:val="auto"/>
        </w:rPr>
        <w:t>and</w:t>
      </w:r>
      <w:r>
        <w:rPr>
          <w:rFonts w:ascii="Arial" w:cs="Arial" w:eastAsia="Arial" w:hAnsi="Arial"/>
          <w:sz w:val="18"/>
          <w:szCs w:val="18"/>
          <w:i w:val="1"/>
          <w:iCs w:val="1"/>
          <w:color w:val="auto"/>
        </w:rPr>
        <w:t xml:space="preserve"> Siem Helix 2 </w:t>
      </w:r>
      <w:r>
        <w:rPr>
          <w:rFonts w:ascii="Arial" w:cs="Arial" w:eastAsia="Arial" w:hAnsi="Arial"/>
          <w:sz w:val="18"/>
          <w:szCs w:val="18"/>
          <w:color w:val="auto"/>
        </w:rPr>
        <w:t>chartered vessels. Our well intervention equipment includes intervention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systems, some of which we provide on a stand -alone basis. Our Robotics segment provides offshore construction, trenching, seabed clearance and IRM services to both the oil and gas and the renewable energy markets globally. Additionally, our Robotics services are used in and complement our well intervention services. Our Robotics segment includes ROVs, trenchers and robotics support vessels under term charters as well as spot vessels as needed.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 (Note 11). All material intercompany transactions between the segments have been eliminated.</w:t>
      </w:r>
    </w:p>
    <w:p>
      <w:pPr>
        <w:spacing w:after="0" w:line="183"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We evaluate our performance based on operating income of each reportable segment. Certain financial data by reportable segment are summarized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32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106,367</w:t>
            </w:r>
          </w:p>
        </w:tc>
        <w:tc>
          <w:tcPr>
            <w:tcW w:w="26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133,768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37,351</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18,294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(11,887)</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w:t>
            </w:r>
          </w:p>
        </w:tc>
        <w:tc>
          <w:tcPr>
            <w:tcW w:w="29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150,125</w:t>
            </w:r>
          </w:p>
        </w:tc>
        <w:tc>
          <w:tcPr>
            <w:tcW w:w="26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163,415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Income (loss) from operations —</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322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(31,758)</w:t>
            </w:r>
          </w:p>
        </w:tc>
        <w:tc>
          <w:tcPr>
            <w:tcW w:w="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100"/>
              <w:spacing w:after="0" w:line="202" w:lineRule="exact"/>
              <w:rPr>
                <w:sz w:val="20"/>
                <w:szCs w:val="20"/>
                <w:color w:val="auto"/>
              </w:rPr>
            </w:pPr>
            <w:r>
              <w:rPr>
                <w:rFonts w:ascii="Arial" w:cs="Arial" w:eastAsia="Arial" w:hAnsi="Arial"/>
                <w:sz w:val="18"/>
                <w:szCs w:val="18"/>
                <w:color w:val="auto"/>
              </w:rPr>
              <w:t>Robotics</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1,480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9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5,851</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ind w:left="200"/>
              <w:spacing w:after="0" w:line="196" w:lineRule="exact"/>
              <w:rPr>
                <w:sz w:val="20"/>
                <w:szCs w:val="20"/>
                <w:color w:val="auto"/>
              </w:rPr>
            </w:pPr>
            <w:r>
              <w:rPr>
                <w:rFonts w:ascii="Arial" w:cs="Arial" w:eastAsia="Arial" w:hAnsi="Arial"/>
                <w:sz w:val="18"/>
                <w:szCs w:val="18"/>
                <w:color w:val="auto"/>
              </w:rPr>
              <w:t>Segment operating income (loss)</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(24,427)</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eliminations and other</w:t>
            </w:r>
          </w:p>
        </w:tc>
        <w:tc>
          <w:tcPr>
            <w:tcW w:w="2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(8,550)</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(32,977)</w:t>
            </w:r>
          </w:p>
        </w:tc>
        <w:tc>
          <w:tcPr>
            <w:tcW w:w="26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920" w:type="dxa"/>
            <w:vAlign w:val="bottom"/>
            <w:vMerge w:val="restart"/>
          </w:tcPr>
          <w:p>
            <w:pPr>
              <w:jc w:val="right"/>
              <w:ind w:right="165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3,850</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2,587</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8,037</w:t>
            </w: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6,369</w:t>
            </w:r>
          </w:p>
        </w:tc>
      </w:tr>
      <w:tr>
        <w:trPr>
          <w:trHeight w:val="196"/>
        </w:trPr>
        <w:tc>
          <w:tcPr>
            <w:tcW w:w="68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11,887</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8,956</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Segment assets are comprised of all assets attributable to each reportable segment. Corporate and other includes all assets not directly identifiable with our business segments. The following table reflects total assets by reportable segment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December 31,</w:t>
            </w:r>
          </w:p>
        </w:tc>
      </w:tr>
      <w:tr>
        <w:trPr>
          <w:trHeight w:val="196"/>
        </w:trPr>
        <w:tc>
          <w:tcPr>
            <w:tcW w:w="68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2,026,522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2,012,214</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87,575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96,249</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115,977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119,004</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77,296</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98,561</w:t>
            </w:r>
          </w:p>
        </w:tc>
      </w:tr>
      <w:tr>
        <w:trPr>
          <w:trHeight w:val="196"/>
        </w:trPr>
        <w:tc>
          <w:tcPr>
            <w:tcW w:w="68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2,307,370</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Asset Retirement Obligations</w:t>
      </w:r>
    </w:p>
    <w:p>
      <w:pPr>
        <w:spacing w:after="0" w:line="212"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Asset retirement obligations (“AROs”) are recorded at fair value and consist of estimated costs for subsea infrastructure decommissioning and plug and abandonment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17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Our AROs relate to our Droshky oil and gas properties that we acquired from Marathon Oil Corporation (“Marathon Oil”) in January 2019. In connection with assuming the P&amp;A obligations related to those assets, we are entitled to receive agreed-upon amounts from Marathon Oil as the P&amp;A work is completed. The following table describes the changes in our AROs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30,913</w:t>
            </w:r>
          </w:p>
        </w:tc>
      </w:tr>
      <w:tr>
        <w:trPr>
          <w:trHeight w:val="203"/>
        </w:trPr>
        <w:tc>
          <w:tcPr>
            <w:tcW w:w="68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741</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AROs at March 31,</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30,399</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30,961</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 and 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have long-term charter agreements with Siem Offshore AS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During the first quarter 2022, the charter agreements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were extended to February</w:t>
      </w:r>
    </w:p>
    <w:p>
      <w:pPr>
        <w:spacing w:after="0" w:line="234" w:lineRule="auto"/>
        <w:rPr>
          <w:sz w:val="20"/>
          <w:szCs w:val="20"/>
          <w:color w:val="auto"/>
        </w:rPr>
      </w:pPr>
      <w:r>
        <w:rPr>
          <w:rFonts w:ascii="Arial" w:cs="Arial" w:eastAsia="Arial" w:hAnsi="Arial"/>
          <w:sz w:val="18"/>
          <w:szCs w:val="18"/>
          <w:color w:val="auto"/>
        </w:rPr>
        <w:t xml:space="preserve">2025 and February 2027, respectively, with further options to extend. We have time charter agreements for the </w:t>
      </w:r>
      <w:r>
        <w:rPr>
          <w:rFonts w:ascii="Arial" w:cs="Arial" w:eastAsia="Arial" w:hAnsi="Arial"/>
          <w:sz w:val="18"/>
          <w:szCs w:val="18"/>
          <w:i w:val="1"/>
          <w:iCs w:val="1"/>
          <w:color w:val="auto"/>
        </w:rPr>
        <w:t>Grand</w:t>
      </w:r>
    </w:p>
    <w:p>
      <w:pPr>
        <w:spacing w:after="0" w:line="235" w:lineRule="auto"/>
        <w:rPr>
          <w:sz w:val="20"/>
          <w:szCs w:val="20"/>
          <w:color w:val="auto"/>
        </w:rPr>
      </w:pPr>
      <w:r>
        <w:rPr>
          <w:rFonts w:ascii="Arial" w:cs="Arial" w:eastAsia="Arial" w:hAnsi="Arial"/>
          <w:sz w:val="18"/>
          <w:szCs w:val="18"/>
          <w:i w:val="1"/>
          <w:iCs w:val="1"/>
          <w:color w:val="auto"/>
        </w:rPr>
        <w:t xml:space="preserve">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vessels. The expiration date of the</w:t>
      </w:r>
      <w:r>
        <w:rPr>
          <w:rFonts w:ascii="Arial" w:cs="Arial" w:eastAsia="Arial" w:hAnsi="Arial"/>
          <w:sz w:val="18"/>
          <w:szCs w:val="18"/>
          <w:i w:val="1"/>
          <w:iCs w:val="1"/>
          <w:color w:val="auto"/>
        </w:rPr>
        <w:t xml:space="preserve"> Grand Canyon II </w:t>
      </w:r>
      <w:r>
        <w:rPr>
          <w:rFonts w:ascii="Arial" w:cs="Arial" w:eastAsia="Arial" w:hAnsi="Arial"/>
          <w:sz w:val="18"/>
          <w:szCs w:val="18"/>
          <w:color w:val="auto"/>
        </w:rPr>
        <w:t>charter was extended to</w:t>
      </w:r>
    </w:p>
    <w:p>
      <w:pPr>
        <w:spacing w:after="0" w:line="235" w:lineRule="auto"/>
        <w:rPr>
          <w:sz w:val="20"/>
          <w:szCs w:val="20"/>
          <w:color w:val="auto"/>
        </w:rPr>
      </w:pPr>
      <w:r>
        <w:rPr>
          <w:rFonts w:ascii="Arial" w:cs="Arial" w:eastAsia="Arial" w:hAnsi="Arial"/>
          <w:sz w:val="18"/>
          <w:szCs w:val="18"/>
          <w:color w:val="auto"/>
        </w:rPr>
        <w:t xml:space="preserve">December 2022, with an option to renew.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charter expires May 2023. During the first quarter 2022, we</w:t>
      </w:r>
    </w:p>
    <w:p>
      <w:pPr>
        <w:spacing w:after="0" w:line="235" w:lineRule="auto"/>
        <w:rPr>
          <w:sz w:val="20"/>
          <w:szCs w:val="20"/>
          <w:color w:val="auto"/>
        </w:rPr>
      </w:pPr>
      <w:r>
        <w:rPr>
          <w:rFonts w:ascii="Arial" w:cs="Arial" w:eastAsia="Arial" w:hAnsi="Arial"/>
          <w:sz w:val="18"/>
          <w:szCs w:val="18"/>
          <w:color w:val="auto"/>
        </w:rPr>
        <w:t xml:space="preserve">executed short-term time charter agreements for the </w:t>
      </w:r>
      <w:r>
        <w:rPr>
          <w:rFonts w:ascii="Arial" w:cs="Arial" w:eastAsia="Arial" w:hAnsi="Arial"/>
          <w:sz w:val="18"/>
          <w:szCs w:val="18"/>
          <w:i w:val="1"/>
          <w:iCs w:val="1"/>
          <w:color w:val="auto"/>
        </w:rPr>
        <w:t>Horizon Enabler</w:t>
      </w:r>
      <w:r>
        <w:rPr>
          <w:rFonts w:ascii="Arial" w:cs="Arial" w:eastAsia="Arial" w:hAnsi="Arial"/>
          <w:sz w:val="18"/>
          <w:szCs w:val="18"/>
          <w:color w:val="auto"/>
        </w:rPr>
        <w:t xml:space="preserve"> in the North Sea and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in the Gulf of</w:t>
      </w:r>
    </w:p>
    <w:p>
      <w:pPr>
        <w:spacing w:after="0"/>
        <w:rPr>
          <w:sz w:val="20"/>
          <w:szCs w:val="20"/>
          <w:color w:val="auto"/>
        </w:rPr>
      </w:pPr>
      <w:r>
        <w:rPr>
          <w:rFonts w:ascii="Arial" w:cs="Arial" w:eastAsia="Arial" w:hAnsi="Arial"/>
          <w:sz w:val="18"/>
          <w:szCs w:val="18"/>
          <w:color w:val="auto"/>
        </w:rPr>
        <w:t>Mexico.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10" w:lineRule="exact"/>
        <w:rPr>
          <w:sz w:val="20"/>
          <w:szCs w:val="20"/>
          <w:color w:val="auto"/>
        </w:rPr>
      </w:pPr>
    </w:p>
    <w:p>
      <w:pPr>
        <w:ind w:right="520" w:firstLine="648"/>
        <w:spacing w:after="0" w:line="271" w:lineRule="auto"/>
        <w:rPr>
          <w:sz w:val="20"/>
          <w:szCs w:val="20"/>
          <w:color w:val="auto"/>
        </w:rPr>
      </w:pPr>
      <w:r>
        <w:rPr>
          <w:rFonts w:ascii="Arial" w:cs="Arial" w:eastAsia="Arial" w:hAnsi="Arial"/>
          <w:sz w:val="18"/>
          <w:szCs w:val="18"/>
          <w:color w:val="auto"/>
        </w:rPr>
        <w:t>We believe that there are currently no contingencies that would have a material adverse effect on our financial position, results of operations or cash flows.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1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are involved in various legal proceedings, some involving claims for personal injury under the General Maritime Laws of the United States and the Jones Act. In addition, from time to time we receive other claims, such as contract and employment-related disputes, in the normal course of business.</w:t>
      </w:r>
    </w:p>
    <w:p>
      <w:pPr>
        <w:spacing w:after="0" w:line="169"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We are currently involved in several lawsuits filed by current and former offshore employees seeking overtime compensation. These suits are brought as collective actions and are in various stages of litigation. In one such lawsuit, during the third quarter 2021 the United States Court of Appeals for the Fifth Circuit issued a ruling adverse to us that may also have implications for some of the other cases in which we are involved, as well as the way offshore personnel are compensated throughout our industry. We further appealed that matter and continue to vigorously defend these lawsuits. Notwithstanding that we believe we retain valid defenses, we have established a liability for probable losses in certain of these matters. The final outcome of these matters remains uncertain and the ultimate liability to us could be more or less than the liability established.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Statement of Cash Flow Information</w:t>
      </w:r>
    </w:p>
    <w:p>
      <w:pPr>
        <w:spacing w:after="0" w:line="212"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We classify cash as restricted when there are legal or contractual restrictions for its withdrawal. The following table provides supplemental cash flow information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9,397</w:t>
            </w:r>
          </w:p>
        </w:tc>
      </w:tr>
      <w:tr>
        <w:trPr>
          <w:trHeight w:val="239"/>
        </w:trPr>
        <w:tc>
          <w:tcPr>
            <w:tcW w:w="6800" w:type="dxa"/>
            <w:vAlign w:val="bottom"/>
          </w:tcPr>
          <w:p>
            <w:pPr>
              <w:spacing w:after="0"/>
              <w:rPr>
                <w:sz w:val="20"/>
                <w:szCs w:val="20"/>
                <w:color w:val="auto"/>
              </w:rPr>
            </w:pPr>
            <w:r>
              <w:rPr>
                <w:rFonts w:ascii="Arial" w:cs="Arial" w:eastAsia="Arial" w:hAnsi="Arial"/>
                <w:sz w:val="18"/>
                <w:szCs w:val="18"/>
                <w:color w:val="auto"/>
              </w:rPr>
              <w:t>Income taxes paid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2,736</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1,790</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non-cash capital additions totaled $0.3 million at March 31, 2022 and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Allowance for Credit Losses</w:t>
      </w:r>
    </w:p>
    <w:p>
      <w:pPr>
        <w:spacing w:after="0" w:line="212"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activity in our allowance for credit losses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3,469</w:t>
            </w:r>
          </w:p>
        </w:tc>
      </w:tr>
      <w:tr>
        <w:trPr>
          <w:trHeight w:val="202"/>
        </w:trPr>
        <w:tc>
          <w:tcPr>
            <w:tcW w:w="2480" w:type="dxa"/>
            <w:vAlign w:val="bottom"/>
          </w:tcPr>
          <w:p>
            <w:pPr>
              <w:ind w:left="120"/>
              <w:spacing w:after="0" w:line="202" w:lineRule="exact"/>
              <w:rPr>
                <w:sz w:val="20"/>
                <w:szCs w:val="20"/>
                <w:color w:val="auto"/>
              </w:rPr>
            </w:pPr>
            <w:r>
              <w:rPr>
                <w:rFonts w:ascii="Arial" w:cs="Arial" w:eastAsia="Arial" w:hAnsi="Arial"/>
                <w:sz w:val="16"/>
                <w:szCs w:val="16"/>
                <w:color w:val="auto"/>
              </w:rPr>
              <w:t xml:space="preserve">Additions (reductions) </w:t>
            </w:r>
            <w:r>
              <w:rPr>
                <w:rFonts w:ascii="Arial" w:cs="Arial" w:eastAsia="Arial" w:hAnsi="Arial"/>
                <w:sz w:val="23"/>
                <w:szCs w:val="23"/>
                <w:color w:val="auto"/>
                <w:vertAlign w:val="superscript"/>
              </w:rPr>
              <w:t>(1)</w:t>
            </w:r>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248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Write-offs </w:t>
            </w:r>
            <w:r>
              <w:rPr>
                <w:rFonts w:ascii="Arial" w:cs="Arial" w:eastAsia="Arial" w:hAnsi="Arial"/>
                <w:sz w:val="23"/>
                <w:szCs w:val="23"/>
                <w:color w:val="auto"/>
                <w:vertAlign w:val="superscript"/>
              </w:rPr>
              <w:t>(2)</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(1,811)</w:t>
            </w:r>
          </w:p>
        </w:tc>
      </w:tr>
      <w:tr>
        <w:trPr>
          <w:trHeight w:val="196"/>
        </w:trPr>
        <w:tc>
          <w:tcPr>
            <w:tcW w:w="2480" w:type="dxa"/>
            <w:vAlign w:val="bottom"/>
          </w:tcPr>
          <w:p>
            <w:pPr>
              <w:spacing w:after="0" w:line="196" w:lineRule="exact"/>
              <w:rPr>
                <w:sz w:val="20"/>
                <w:szCs w:val="20"/>
                <w:color w:val="auto"/>
              </w:rPr>
            </w:pPr>
            <w:r>
              <w:rPr>
                <w:rFonts w:ascii="Arial" w:cs="Arial" w:eastAsia="Arial" w:hAnsi="Arial"/>
                <w:sz w:val="18"/>
                <w:szCs w:val="18"/>
                <w:color w:val="auto"/>
              </w:rPr>
              <w:t>Balance at March 31,</w:t>
            </w:r>
          </w:p>
        </w:tc>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1,351</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1,665</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76" w:lineRule="exact"/>
        <w:rPr>
          <w:sz w:val="20"/>
          <w:szCs w:val="20"/>
          <w:color w:val="auto"/>
        </w:rPr>
      </w:pPr>
    </w:p>
    <w:p>
      <w:pPr>
        <w:ind w:left="660" w:right="460" w:hanging="652"/>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(reductions) in allowance for credit losses reflect credit loss reserves (releases) during the respective periods.</w:t>
      </w:r>
    </w:p>
    <w:p>
      <w:pPr>
        <w:spacing w:after="0" w:line="45" w:lineRule="exact"/>
        <w:rPr>
          <w:rFonts w:ascii="Arial" w:cs="Arial" w:eastAsia="Arial" w:hAnsi="Arial"/>
          <w:sz w:val="18"/>
          <w:szCs w:val="18"/>
          <w:color w:val="auto"/>
        </w:rPr>
      </w:pPr>
    </w:p>
    <w:p>
      <w:pPr>
        <w:ind w:left="660" w:right="340" w:hanging="652"/>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write-offs of allowance for credit losses reflect certain receivables related to our Robotics segment that were previously reserved and subsequently deemed to be uncollectible.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21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accounting rules establish a three-tier fair value hierarchy, which prioritizes the inputs used in measuring fair value as follows:</w:t>
      </w:r>
    </w:p>
    <w:p>
      <w:pPr>
        <w:spacing w:after="0" w:line="169"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Level 1. Observable inputs such as quoted prices in active markets;</w:t>
      </w:r>
    </w:p>
    <w:p>
      <w:pPr>
        <w:spacing w:after="0" w:line="2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8" w:lineRule="exact"/>
        <w:rPr>
          <w:rFonts w:ascii="Times New Roman" w:cs="Times New Roman" w:eastAsia="Times New Roman" w:hAnsi="Times New Roman"/>
          <w:sz w:val="18"/>
          <w:szCs w:val="18"/>
          <w:color w:val="auto"/>
        </w:rPr>
      </w:pPr>
    </w:p>
    <w:p>
      <w:pPr>
        <w:ind w:left="680" w:right="80" w:hanging="321"/>
        <w:spacing w:after="0" w:line="249" w:lineRule="auto"/>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are based on one or more of three valuation approaches as follows:</w:t>
      </w:r>
    </w:p>
    <w:p>
      <w:pPr>
        <w:spacing w:after="0" w:line="212" w:lineRule="exact"/>
        <w:rPr>
          <w:sz w:val="20"/>
          <w:szCs w:val="20"/>
          <w:color w:val="auto"/>
        </w:rPr>
      </w:pPr>
    </w:p>
    <w:p>
      <w:pPr>
        <w:ind w:left="680" w:right="440" w:hanging="321"/>
        <w:spacing w:after="0" w:line="245"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Approach. Prices and other relevant information generated by market transactions involving identical or comparable assets or liabilities.</w:t>
      </w:r>
    </w:p>
    <w:p>
      <w:pPr>
        <w:ind w:left="68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Approach. Amount that would be required to replace the service capacity of an asset (replacement cost).</w:t>
      </w:r>
    </w:p>
    <w:p>
      <w:pPr>
        <w:ind w:left="680" w:right="240" w:hanging="321"/>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Approach. Techniques to convert expected future cash flows to a single present amount based on market expectations (including present value techniques, option-pricing and excess earnings models).</w:t>
      </w:r>
    </w:p>
    <w:p>
      <w:pPr>
        <w:spacing w:after="0" w:line="17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ind w:left="54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19"/>
                <w:szCs w:val="19"/>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 2021</w:t>
            </w:r>
          </w:p>
        </w:tc>
      </w:tr>
      <w:tr>
        <w:trPr>
          <w:trHeight w:val="168"/>
        </w:trPr>
        <w:tc>
          <w:tcPr>
            <w:tcW w:w="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8"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50"/>
              <w:spacing w:after="0" w:line="168" w:lineRule="exact"/>
              <w:rPr>
                <w:sz w:val="20"/>
                <w:szCs w:val="20"/>
                <w:color w:val="auto"/>
              </w:rPr>
            </w:pPr>
            <w:r>
              <w:rPr>
                <w:rFonts w:ascii="Arial" w:cs="Arial" w:eastAsia="Arial" w:hAnsi="Arial"/>
                <w:sz w:val="18"/>
                <w:szCs w:val="18"/>
                <w:b w:val="1"/>
                <w:bCs w:val="1"/>
                <w:color w:val="auto"/>
              </w:rPr>
              <w:t>Principal</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0"/>
              <w:spacing w:after="0" w:line="168" w:lineRule="exact"/>
              <w:rPr>
                <w:sz w:val="20"/>
                <w:szCs w:val="20"/>
                <w:color w:val="auto"/>
              </w:rPr>
            </w:pPr>
            <w:r>
              <w:rPr>
                <w:rFonts w:ascii="Arial" w:cs="Arial" w:eastAsia="Arial" w:hAnsi="Arial"/>
                <w:sz w:val="18"/>
                <w:szCs w:val="18"/>
                <w:b w:val="1"/>
                <w:bCs w:val="1"/>
                <w:color w:val="auto"/>
              </w:rPr>
              <w:t>Fair</w:t>
            </w:r>
          </w:p>
        </w:tc>
      </w:tr>
      <w:tr>
        <w:trPr>
          <w:trHeight w:val="231"/>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1"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10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7"/>
              </w:rPr>
              <w:t xml:space="preserve">Amount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0"/>
              <w:spacing w:after="0" w:line="23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43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44,930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46,688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48,850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52,481</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3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Notes (mature May 2022)</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35,022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34,794</w:t>
            </w:r>
          </w:p>
        </w:tc>
      </w:tr>
      <w:tr>
        <w:trPr>
          <w:trHeight w:val="203"/>
        </w:trPr>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9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Notes (mature September 2023)</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29,054</w:t>
            </w:r>
          </w:p>
        </w:tc>
      </w:tr>
      <w:tr>
        <w:trPr>
          <w:trHeight w:val="203"/>
        </w:trPr>
        <w:tc>
          <w:tcPr>
            <w:tcW w:w="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2026</w:t>
            </w:r>
          </w:p>
        </w:tc>
        <w:tc>
          <w:tcPr>
            <w:tcW w:w="39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Notes (mature February 2026)</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226,816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200,562</w:t>
            </w:r>
          </w:p>
        </w:tc>
      </w:tr>
      <w:tr>
        <w:trPr>
          <w:trHeight w:val="196"/>
        </w:trPr>
        <w:tc>
          <w:tcPr>
            <w:tcW w:w="4360" w:type="dxa"/>
            <w:vAlign w:val="bottom"/>
            <w:tcBorders>
              <w:bottom w:val="single" w:sz="8" w:color="CCEEFF"/>
            </w:tcBorders>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309,930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338,219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313,850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316,891</w:t>
            </w:r>
          </w:p>
        </w:tc>
      </w:tr>
      <w:tr>
        <w:trPr>
          <w:trHeight w:val="20"/>
        </w:trPr>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4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76" w:lineRule="exact"/>
        <w:rPr>
          <w:sz w:val="20"/>
          <w:szCs w:val="20"/>
          <w:color w:val="auto"/>
        </w:rPr>
      </w:pPr>
    </w:p>
    <w:p>
      <w:pPr>
        <w:ind w:left="660" w:right="60" w:hanging="652"/>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issuance costs. See Note 5 for additional disclosures on our long-term debt.</w:t>
      </w:r>
    </w:p>
    <w:p>
      <w:pPr>
        <w:spacing w:after="0" w:line="45" w:lineRule="exact"/>
        <w:rPr>
          <w:rFonts w:ascii="Arial" w:cs="Arial" w:eastAsia="Arial" w:hAnsi="Arial"/>
          <w:sz w:val="18"/>
          <w:szCs w:val="18"/>
          <w:color w:val="auto"/>
        </w:rPr>
      </w:pPr>
    </w:p>
    <w:p>
      <w:pPr>
        <w:ind w:left="660" w:right="20" w:hanging="652"/>
        <w:spacing w:after="0" w:line="24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estimated fair value of the 2022 Notes, the 2023 Notes and the 2026 Notes was determined using Level 1 fair value inputs under the market approach. The fair value of the MARAD Debt was estimated using Level 2 fair value inputs under the market approach, which was determined using a third-party evaluation of the remaining average life and outstanding principal balance of the indebtedness as compared to other obligations in the marketplace with similar terms.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80" w:lineRule="exact"/>
        <w:rPr>
          <w:sz w:val="20"/>
          <w:szCs w:val="20"/>
          <w:color w:val="auto"/>
        </w:rPr>
      </w:pPr>
    </w:p>
    <w:p>
      <w:pPr>
        <w:ind w:left="680" w:right="720" w:hanging="321"/>
        <w:spacing w:after="0" w:line="24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Times New Roman" w:cs="Times New Roman" w:eastAsia="Times New Roman" w:hAnsi="Times New Roman"/>
          <w:sz w:val="18"/>
          <w:szCs w:val="18"/>
          <w:color w:val="auto"/>
        </w:rPr>
      </w:pPr>
    </w:p>
    <w:p>
      <w:pPr>
        <w:ind w:left="680" w:right="24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capital expenditures or other financial items;</w:t>
      </w: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backlog and commercial contracts and rates thereunder;</w:t>
      </w:r>
    </w:p>
    <w:p>
      <w:pPr>
        <w:spacing w:after="0" w:line="8" w:lineRule="exact"/>
        <w:rPr>
          <w:rFonts w:ascii="Times New Roman" w:cs="Times New Roman" w:eastAsia="Times New Roman" w:hAnsi="Times New Roman"/>
          <w:sz w:val="18"/>
          <w:szCs w:val="18"/>
          <w:color w:val="auto"/>
        </w:rPr>
      </w:pPr>
    </w:p>
    <w:p>
      <w:pPr>
        <w:ind w:left="680" w:right="18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enter into and/or perform commercial contracts, including the scope, timing and outcome of those contracts;</w:t>
      </w:r>
    </w:p>
    <w:p>
      <w:pPr>
        <w:ind w:left="680" w:right="26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spot market, the continuation of our current backlog, our spending and cost reduction plans and our ability to manage changes, and the COVID-19 pandemic and oil price volatility and their respective effects and results on the foregoing as well as our protocols and plans;</w:t>
      </w:r>
    </w:p>
    <w:p>
      <w:pPr>
        <w:spacing w:after="0" w:line="1" w:lineRule="exact"/>
        <w:rPr>
          <w:rFonts w:ascii="Times New Roman" w:cs="Times New Roman" w:eastAsia="Times New Roman" w:hAnsi="Times New Roman"/>
          <w:sz w:val="18"/>
          <w:szCs w:val="18"/>
          <w:color w:val="auto"/>
        </w:rPr>
      </w:pPr>
    </w:p>
    <w:p>
      <w:pPr>
        <w:ind w:left="680" w:right="14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acquisition, construction, completion, upgrades to or maintenance of vessels, systems or equipment and any anticipated costs or downtime related thereto;</w:t>
      </w:r>
    </w:p>
    <w:p>
      <w:pPr>
        <w:ind w:left="680" w:right="30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ind w:left="680" w:right="38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trade receivables and their collectability;</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8" w:lineRule="exact"/>
        <w:rPr>
          <w:rFonts w:ascii="Times New Roman" w:cs="Times New Roman" w:eastAsia="Times New Roman" w:hAnsi="Times New Roman"/>
          <w:sz w:val="18"/>
          <w:szCs w:val="18"/>
          <w:color w:val="auto"/>
        </w:rPr>
      </w:pPr>
    </w:p>
    <w:p>
      <w:pPr>
        <w:ind w:left="680" w:right="20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Environmental, Social and Governance (“ESG”) initiatives and the successes thereon or regarding our environmental efforts, including greenhouse gas emissions targets;</w:t>
      </w: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8" w:lineRule="exact"/>
        <w:rPr>
          <w:rFonts w:ascii="Times New Roman" w:cs="Times New Roman" w:eastAsia="Times New Roman" w:hAnsi="Times New Roman"/>
          <w:sz w:val="18"/>
          <w:szCs w:val="18"/>
          <w:color w:val="auto"/>
        </w:rPr>
      </w:pPr>
    </w:p>
    <w:p>
      <w:pPr>
        <w:ind w:left="680" w:right="26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ind w:left="680" w:right="140" w:hanging="321"/>
        <w:spacing w:after="0" w:line="234" w:lineRule="auto"/>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human capital resources, including our ability to retain our senior management and other key employees;</w:t>
      </w: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statements that relate to non-historical or future information.</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69" w:lineRule="exact"/>
        <w:rPr>
          <w:sz w:val="20"/>
          <w:szCs w:val="20"/>
          <w:color w:val="auto"/>
        </w:rPr>
      </w:pPr>
    </w:p>
    <w:p>
      <w:pPr>
        <w:ind w:left="680" w:right="400" w:hanging="321"/>
        <w:spacing w:after="0" w:line="24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domestic and global economic conditions and the future impact of such conditions on the offshore energy industry and the demand for our services;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general impact of oil and gas price volatility and the cyclical nature of the oil and gas market;</w:t>
      </w:r>
    </w:p>
    <w:p>
      <w:pPr>
        <w:spacing w:after="0" w:line="8" w:lineRule="exact"/>
        <w:rPr>
          <w:rFonts w:ascii="Times New Roman" w:cs="Times New Roman" w:eastAsia="Times New Roman" w:hAnsi="Times New Roman"/>
          <w:sz w:val="18"/>
          <w:szCs w:val="18"/>
          <w:color w:val="auto"/>
        </w:rPr>
      </w:pPr>
    </w:p>
    <w:p>
      <w:pPr>
        <w:ind w:left="680" w:right="24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p>
      <w:pPr>
        <w:spacing w:after="0" w:line="1" w:lineRule="exact"/>
        <w:rPr>
          <w:rFonts w:ascii="Times New Roman" w:cs="Times New Roman" w:eastAsia="Times New Roman" w:hAnsi="Times New Roman"/>
          <w:sz w:val="18"/>
          <w:szCs w:val="18"/>
          <w:color w:val="auto"/>
        </w:rPr>
      </w:pPr>
    </w:p>
    <w:p>
      <w:pPr>
        <w:ind w:left="680" w:right="160" w:hanging="321"/>
        <w:spacing w:after="0" w:line="249"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and effects of the COVID-19 pandemic and actions by governments, customers, suppliers and partners with respect thereto;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80" w:right="60" w:hanging="321"/>
        <w:spacing w:after="0" w:line="24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or the determination not to pursue or effect such initiatives;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potential cancellation, deferral or modification of our work or contracts by our customers;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8" w:lineRule="exact"/>
        <w:rPr>
          <w:rFonts w:ascii="Times New Roman" w:cs="Times New Roman" w:eastAsia="Times New Roman" w:hAnsi="Times New Roman"/>
          <w:sz w:val="18"/>
          <w:szCs w:val="18"/>
          <w:color w:val="auto"/>
        </w:rPr>
      </w:pPr>
    </w:p>
    <w:p>
      <w:pPr>
        <w:ind w:left="680" w:right="20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future capital expenditures, including the amount and nature thereof;</w:t>
      </w:r>
    </w:p>
    <w:p>
      <w:pPr>
        <w:spacing w:after="0" w:line="8" w:lineRule="exact"/>
        <w:rPr>
          <w:rFonts w:ascii="Times New Roman" w:cs="Times New Roman" w:eastAsia="Times New Roman" w:hAnsi="Times New Roman"/>
          <w:sz w:val="18"/>
          <w:szCs w:val="18"/>
          <w:color w:val="auto"/>
        </w:rPr>
      </w:pPr>
    </w:p>
    <w:p>
      <w:pPr>
        <w:ind w:left="680" w:right="6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and timing of our vessel and/or system upgrades, regulatory recertification and inspection as well as major maintenance items;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delays in the delivery, chartering or customer acceptance, and terms of acceptance, of our assets;</w:t>
      </w:r>
    </w:p>
    <w:p>
      <w:pPr>
        <w:spacing w:after="0" w:line="8" w:lineRule="exact"/>
        <w:rPr>
          <w:rFonts w:ascii="Times New Roman" w:cs="Times New Roman" w:eastAsia="Times New Roman" w:hAnsi="Times New Roman"/>
          <w:sz w:val="18"/>
          <w:szCs w:val="18"/>
          <w:color w:val="auto"/>
        </w:rPr>
      </w:pPr>
    </w:p>
    <w:p>
      <w:pPr>
        <w:ind w:left="680" w:right="84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continuing efforts to control costs and improve performance;</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risk management activities, including with respect to our cybersecurity initiatives;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competition;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ESG initiatives and disclosures;</w:t>
      </w:r>
    </w:p>
    <w:p>
      <w:pPr>
        <w:spacing w:after="0" w:line="8" w:lineRule="exact"/>
        <w:rPr>
          <w:rFonts w:ascii="Times New Roman" w:cs="Times New Roman" w:eastAsia="Times New Roman" w:hAnsi="Times New Roman"/>
          <w:sz w:val="18"/>
          <w:szCs w:val="18"/>
          <w:color w:val="auto"/>
        </w:rPr>
      </w:pPr>
    </w:p>
    <w:p>
      <w:pPr>
        <w:ind w:left="680" w:right="26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litigation and similar claims in which we may be involved;</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8" w:lineRule="exact"/>
        <w:rPr>
          <w:rFonts w:ascii="Times New Roman" w:cs="Times New Roman" w:eastAsia="Times New Roman" w:hAnsi="Times New Roman"/>
          <w:sz w:val="18"/>
          <w:szCs w:val="18"/>
          <w:color w:val="auto"/>
        </w:rPr>
      </w:pPr>
    </w:p>
    <w:p>
      <w:pPr>
        <w:ind w:left="680" w:right="68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future hedging activities;</w:t>
      </w:r>
    </w:p>
    <w:p>
      <w:pPr>
        <w:spacing w:after="0" w:line="8" w:lineRule="exact"/>
        <w:rPr>
          <w:rFonts w:ascii="Times New Roman" w:cs="Times New Roman" w:eastAsia="Times New Roman" w:hAnsi="Times New Roman"/>
          <w:sz w:val="18"/>
          <w:szCs w:val="18"/>
          <w:color w:val="auto"/>
        </w:rPr>
      </w:pPr>
    </w:p>
    <w:p>
      <w:pPr>
        <w:ind w:left="680" w:right="4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a negative event related to our human capital resources, including a loss of one or more key employees;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general, market, industry or business conditions;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20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2021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176"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2021 Form 10-K that attempt to advise interested parties of the risks and factors that may affect our business.</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and robotics operations. The services we offer to the oil and gas market cover the lifecycle of an offshore oil or gas field, and the services we offer to the renewable energy market are currently focused on offshore wind farm projects, including trenching and cable burial and seabed clearance operations. Our well intervention fleet includes seven purpose-built well intervention vessels and 10 intervention systems. Our robotics equipment includes 40 work-class ROVs and four trenchers. We charter robotics support vessels on both long-term and spot bases to facilitate our ROV and trenching operations. Our well intervention and robotics operations are geographically dispersed throughout the world.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 and Industry Influences</w:t>
      </w:r>
    </w:p>
    <w:p>
      <w:pPr>
        <w:spacing w:after="0" w:line="212" w:lineRule="exact"/>
        <w:rPr>
          <w:sz w:val="20"/>
          <w:szCs w:val="20"/>
          <w:color w:val="auto"/>
        </w:rPr>
      </w:pPr>
    </w:p>
    <w:p>
      <w:pPr>
        <w:ind w:right="240" w:firstLine="648"/>
        <w:spacing w:after="0" w:line="244"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w:t>
      </w:r>
    </w:p>
    <w:p>
      <w:pPr>
        <w:spacing w:after="0" w:line="17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Oil and gas prices experienced recent highs during the first quarter 2022 as global demand continued to recover from COVID-19 related restrictions and supply was disrupted by regional conflicts. The increases in oil prices, as well as the outlook for higher sustained oil prices, should lead to higher customer spending for the industry. However, despite the current strong commodity price environment, there are broad headwinds to commodity price stability. The headwinds include those regional conflicts, high inflation, ongoing COVID-related uncertainties, various governmental and customer ESG initiatives and continued shifting of resource allocation to renewable energy. We expect this will contribute to commodity price volatility and may temper customer spending for oil and gas projects.</w:t>
      </w:r>
    </w:p>
    <w:p>
      <w:pPr>
        <w:spacing w:after="0" w:line="185"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the day rates quoted by drilling rig contractors and existing rig overhang affect the utilization and/or rates we can achieve for our assets and services.</w:t>
      </w:r>
    </w:p>
    <w:p>
      <w:pPr>
        <w:spacing w:after="0" w:line="174"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The COVID-19 pandemic resulted in new market dynamics and challenges to us, including contributing significantly to oil and gas price volatility and increased costs related to our supply chain, logistics and human capital resources. While the full impact of the COVID-19 pandemic, including the duration of its impact on economic activity, remains unknown, we expect such impact may continue into the foreseeable future, including affecting our customers’ willingness to commit to future spending, limiting access to and use of capital, disrupting supply chains and increasing costs, and negatively affecting human capital resources.</w:t>
      </w:r>
    </w:p>
    <w:p>
      <w:pPr>
        <w:spacing w:after="0" w:line="179"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Over the near-term, as oil and gas companies evaluate their budgetary spend allocations, we expect they may be weighted towards short-cycle production enhancement of existing wells rather than new long-cycle exploration projects, as historically enhancement is less expensive per incremental barrel of oil than exploration. Over the longer term, we continue to expect oil and gas companies to increasingly focus on optimizing production of their existing subsea wells. Moreover, as the subsea tree base expands and ages and customers shift resources to renewable energy, the demand for P&amp;A services should persist. Our well intervention and robotics operations service the lifecycle of an oil and gas field and provide P&amp;A services at the end of the life of a field as required by governmental regulations, and we believe that we have a competitive advantage in performing these services efficiently.</w:t>
      </w:r>
    </w:p>
    <w:p>
      <w:pPr>
        <w:spacing w:after="0" w:line="18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expect the fundamentals for our business will remain favorable over the longer term as the need to prolong well life in oil and gas production and safely decommission end of life wells are primary drivers of demand for our services. This expectation is based on multiple factors, including (1) maintaining the optimal production of a well through enhancement is fundamental to maximizing the overall economics of well production; (2) our services offer commercially viable alternatives for reducing the finding and development costs of reserves as compared to new drilling; and (3) extending the production of offshore wells not only maximizes a well’s production economics but also enables the financial benefit of delaying P&amp;A costs, which can be substantial.</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Demand for our services in the renewable energy market is affected by various factors, including the pace of consumer shift towards renewable energy sources, global electricity demand, technological advancements that increase the production and/or reduce the cost of renewable energy, expansion of offshore renewable energy projects to deeper water, and government subsidies for renewable energy projects.</w:t>
      </w:r>
    </w:p>
    <w:p>
      <w:pPr>
        <w:spacing w:after="0" w:line="17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are subject to the effects of changing prices. Inflation rates have been relatively low and stable over the previous three decades; however, in 2021 due in part to supply chain disruptions and the effects of the COVID-19 pandemic, inflation rates began to rise significantly and remained high through the first quarter 2022. Although we are able to reduce some of our exposure to price increases through the rates we charge, we bear the costs of operating and maintaining our assets, including labor and material costs as well as recertification and dry dock costs. While the cost outlook is not certain, we believe that we can manage these inflationary pressures by introducing appropriate sales price adjustments and by actively pursuing internal cost reduction efforts. However, competitive market pressures may affect our ability to recoup these price increases through the rates we charge, which may result in reductions in our operating margins and cash flows in the future. The recent high inflation rates seen in various major economies have caused concerns for central banks’ tightening of monetary policies. These concerns have contributed to stock market volatility as well as higher interest rates, which, combined with ongoing regional conflicts and unrest and continued COVID-related disruptions throughout the globe, could provide a strained macroeconomic outlook and in turn affect energy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 xml:space="preserve">We define backlog as firm commitments represented by signed contracts. As of March 31, 2022, our consolidated backlog totaled $548 million, of which $263 million is expected to be performed over the remainder of 2022. Our contract with Trident Energy Do Brasil LTDA. to provide P&amp;A services offshore Brazil with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chartered vessel, our contract with Petróleo Brasileiro S.A. (“Petrobras”) to provide well intervention services offshore Brazil with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chartered vessel, our well intervention contract with Shell Offshore Inc. for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our fixed fee agreement for the </w:t>
      </w:r>
      <w:r>
        <w:rPr>
          <w:rFonts w:ascii="Arial" w:cs="Arial" w:eastAsia="Arial" w:hAnsi="Arial"/>
          <w:sz w:val="18"/>
          <w:szCs w:val="18"/>
          <w:i w:val="1"/>
          <w:iCs w:val="1"/>
          <w:color w:val="auto"/>
        </w:rPr>
        <w:t xml:space="preserve">HP I </w:t>
      </w:r>
      <w:r>
        <w:rPr>
          <w:rFonts w:ascii="Arial" w:cs="Arial" w:eastAsia="Arial" w:hAnsi="Arial"/>
          <w:sz w:val="18"/>
          <w:szCs w:val="18"/>
          <w:color w:val="auto"/>
        </w:rPr>
        <w:t>represented approximately 58% of our total backlog as of March 31, 2022. Backlog is not necessarily a reliable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7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measure our operating performance based on EBITDA, Adjusted EBITDA and Free Cash Flow. EBITDA, Adjusted EBITDA and Free Cash Flow are non-GAAP financial measures that are commonly used but are not recognized accounting terms under GAAP. We use EBITDA, Adjusted EBITDA and Free Cash Flow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and Free Cash Flow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and Free Cash Flow differently from the way we do, which may limit their usefulness as comparative measures. EBITDA, Adjusted EBITDA and Free Cash Flow should not be considered in isolation or as a substitute for, but instead are supplemental to, income from operations, net income, cash flows from operating activities, or other income or cash flow data prepared in accordance with GAAP.</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We define EBITDA as earnings before income taxes, net interest expense, gain or loss on extinguishment of long-term debt, net other income or expense, and depreciation and amortization expense. Non-cash impairment losses on goodwill and other long-lived assets and non-cash gains and losses on equity investments are also added back if applicable. To arrive at our measure of Adjusted EBITDA, we exclude the gain or loss on disposition of assets and the general provision (release) for current expected credit losses, if any. In addition, we include realized losses from foreign currency exchange contracts not designated as hedging instruments, which are excluded from EBITDA as a component of net other income or expense. We define Free Cash Flow as cash flows from operating activities less capital expenditures, net of proceeds from sale of assets. In the following reconciliation, we provide amounts as reflected in the condensed consolidated financial statements unless otherwise noted.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(42,031)</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r>
      <w:tr>
        <w:trPr>
          <w:trHeight w:val="203"/>
        </w:trPr>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5,174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6,053</w:t>
            </w:r>
          </w:p>
        </w:tc>
      </w:tr>
      <w:tr>
        <w:trPr>
          <w:trHeight w:val="203"/>
        </w:trPr>
        <w:tc>
          <w:tcPr>
            <w:tcW w:w="6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3,881</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r>
      <w:tr>
        <w:trPr>
          <w:trHeight w:val="203"/>
        </w:trPr>
        <w:tc>
          <w:tcPr>
            <w:tcW w:w="68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33,488</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34,566</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2,652</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36,068</w:t>
            </w:r>
          </w:p>
        </w:tc>
      </w:tr>
      <w:tr>
        <w:trPr>
          <w:trHeight w:val="196"/>
        </w:trPr>
        <w:tc>
          <w:tcPr>
            <w:tcW w:w="6800" w:type="dxa"/>
            <w:vAlign w:val="bottom"/>
          </w:tcPr>
          <w:p>
            <w:pPr>
              <w:ind w:left="120"/>
              <w:spacing w:after="0" w:line="196" w:lineRule="exact"/>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provision (release) for current expected credit losses</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196"/>
        </w:trPr>
        <w:tc>
          <w:tcPr>
            <w:tcW w:w="6800" w:type="dxa"/>
            <w:vAlign w:val="bottom"/>
          </w:tcPr>
          <w:p>
            <w:pPr>
              <w:spacing w:after="0" w:line="196" w:lineRule="exact"/>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2,526</w:t>
            </w:r>
          </w:p>
        </w:tc>
        <w:tc>
          <w:tcPr>
            <w:tcW w:w="26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36,168</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(17,413)</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39,869</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Capital expenditures, net of proceeds from sale of assets</w:t>
            </w:r>
          </w:p>
        </w:tc>
        <w:tc>
          <w:tcPr>
            <w:tcW w:w="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8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(18,036)</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38,540</w:t>
            </w:r>
          </w:p>
        </w:tc>
        <w:tc>
          <w:tcPr>
            <w:tcW w:w="0" w:type="dxa"/>
            <w:vAlign w:val="bottom"/>
          </w:tcPr>
          <w:p>
            <w:pPr>
              <w:spacing w:after="0"/>
              <w:rPr>
                <w:sz w:val="1"/>
                <w:szCs w:val="1"/>
                <w:color w:val="auto"/>
              </w:rPr>
            </w:pPr>
          </w:p>
        </w:tc>
      </w:tr>
      <w:tr>
        <w:trPr>
          <w:trHeight w:val="20"/>
        </w:trPr>
        <w:tc>
          <w:tcPr>
            <w:tcW w:w="5960" w:type="dxa"/>
            <w:vAlign w:val="bottom"/>
            <w:vMerge w:val="restart"/>
          </w:tcPr>
          <w:p>
            <w:pPr>
              <w:jc w:val="right"/>
              <w:ind w:right="810"/>
              <w:spacing w:after="0"/>
              <w:rPr>
                <w:sz w:val="20"/>
                <w:szCs w:val="20"/>
                <w:color w:val="auto"/>
              </w:rPr>
            </w:pPr>
            <w:r>
              <w:rPr>
                <w:rFonts w:ascii="Arial" w:cs="Arial" w:eastAsia="Arial" w:hAnsi="Arial"/>
                <w:sz w:val="18"/>
                <w:szCs w:val="18"/>
                <w:color w:val="auto"/>
              </w:rPr>
              <w:t>27</w:t>
            </w: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5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2022 and 2021</w:t>
      </w:r>
    </w:p>
    <w:p>
      <w:pPr>
        <w:spacing w:after="0" w:line="21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We have three reportable business segments: Well Intervention, Robotics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2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106,367</w:t>
            </w:r>
          </w:p>
        </w:tc>
        <w:tc>
          <w:tcPr>
            <w:tcW w:w="200" w:type="dxa"/>
            <w:vAlign w:val="bottom"/>
          </w:tcPr>
          <w:p>
            <w:pPr>
              <w:spacing w:after="0"/>
              <w:rPr>
                <w:sz w:val="17"/>
                <w:szCs w:val="17"/>
                <w:color w:val="auto"/>
              </w:rPr>
            </w:pPr>
          </w:p>
        </w:tc>
        <w:tc>
          <w:tcPr>
            <w:tcW w:w="3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133,768</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(27,401)</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37,351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22,156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15,195</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18,294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16,447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1,847</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(11,887)</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(8,956)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(2,931)</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150,125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163,415</w:t>
            </w: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(13,290)</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gridSpan w:val="2"/>
          </w:tcPr>
          <w:p>
            <w:pPr>
              <w:jc w:val="right"/>
              <w:ind w:right="8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(28,446)</w:t>
            </w:r>
          </w:p>
        </w:tc>
        <w:tc>
          <w:tcPr>
            <w:tcW w:w="3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8,726</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(37,172)</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3,520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(933)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4,453</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7,213</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(604)</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14,624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(33,233)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9 %</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36 %</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Number of vessels or robotics assets </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 Utilization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 / 67 %</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 / 70 %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 / 35 %</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 / 24 %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Chartered robotics vessels</w:t>
            </w:r>
          </w:p>
        </w:tc>
        <w:tc>
          <w:tcPr>
            <w:tcW w:w="2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 / 90 %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 / 90 %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5684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1" w:lineRule="exact"/>
        <w:rPr>
          <w:sz w:val="20"/>
          <w:szCs w:val="20"/>
          <w:color w:val="auto"/>
        </w:rPr>
      </w:pPr>
    </w:p>
    <w:p>
      <w:pPr>
        <w:ind w:left="660" w:right="20" w:hanging="652"/>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number of vessels or robotics assets as of the end of the period, including spot vessels and those under term charters, and excluding acquired vessels prior to their in-service dates and vessels or assets disposed of and/or taken out of service.</w:t>
      </w:r>
    </w:p>
    <w:p>
      <w:pPr>
        <w:spacing w:after="0" w:line="60" w:lineRule="exact"/>
        <w:rPr>
          <w:rFonts w:ascii="Arial" w:cs="Arial" w:eastAsia="Arial" w:hAnsi="Arial"/>
          <w:sz w:val="18"/>
          <w:szCs w:val="18"/>
          <w:color w:val="auto"/>
        </w:rPr>
      </w:pPr>
    </w:p>
    <w:p>
      <w:pPr>
        <w:ind w:left="660" w:right="20" w:hanging="652"/>
        <w:spacing w:after="0" w:line="24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or robotics assets generated revenues by the total number of calendar days in the applicable period. Utilization rates of chartered robotics vessels during the three-month periods ended March 31, 2022 and 2021 included 136 and three spot vessel days, respectively, at near full utilization.</w:t>
      </w:r>
    </w:p>
    <w:p>
      <w:pPr>
        <w:spacing w:after="0" w:line="6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ROVs and trenchers.</w:t>
      </w:r>
    </w:p>
    <w:p>
      <w:pPr>
        <w:spacing w:after="0" w:line="21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3,850</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2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8,037</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6,369</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11,887</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8,956</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340" w:type="dxa"/>
            <w:vAlign w:val="bottom"/>
            <w:vMerge w:val="restart"/>
          </w:tcPr>
          <w:p>
            <w:pPr>
              <w:jc w:val="right"/>
              <w:ind w:right="290"/>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1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March 31, 2022 decreased by 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same period in 2021, reflecting lower revenues from our Well Intervention segment, offset in part by higher revenues from our Robotics and Production Facilities segments.</w:t>
      </w:r>
    </w:p>
    <w:p>
      <w:pPr>
        <w:spacing w:after="0" w:line="169"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 xml:space="preserve">Our Well Intervention revenues decreased by 20% for the three-month period ended March 31, 2022 as compared to the same period in 2021, primarily reflecting lower rates and vessel utilization in Brazil and the North Sea, offset in part by higher utilization in West Africa. Our Brazil operations were on legacy contract rates with Petrobras with near full utilization during the first quarter 2021. However, during the first quarter 2022,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operated at lower rates under the extended contract with Petrobras and incurred 23 days off contract during its five-year regulatory inspection, and the </w:t>
      </w:r>
      <w:r>
        <w:rPr>
          <w:rFonts w:ascii="Arial" w:cs="Arial" w:eastAsia="Arial" w:hAnsi="Arial"/>
          <w:sz w:val="18"/>
          <w:szCs w:val="18"/>
          <w:i w:val="1"/>
          <w:iCs w:val="1"/>
          <w:color w:val="auto"/>
        </w:rPr>
        <w:t>Siem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Helix 1 </w:t>
      </w:r>
      <w:r>
        <w:rPr>
          <w:rFonts w:ascii="Arial" w:cs="Arial" w:eastAsia="Arial" w:hAnsi="Arial"/>
          <w:sz w:val="18"/>
          <w:szCs w:val="18"/>
          <w:color w:val="auto"/>
        </w:rPr>
        <w:t>was operating on a short-term accommodations project offshore Ghana at lower rates. The</w:t>
      </w:r>
      <w:r>
        <w:rPr>
          <w:rFonts w:ascii="Arial" w:cs="Arial" w:eastAsia="Arial" w:hAnsi="Arial"/>
          <w:sz w:val="18"/>
          <w:szCs w:val="18"/>
          <w:i w:val="1"/>
          <w:iCs w:val="1"/>
          <w:color w:val="auto"/>
        </w:rPr>
        <w:t xml:space="preserve"> Q7000 </w:t>
      </w:r>
      <w:r>
        <w:rPr>
          <w:rFonts w:ascii="Arial" w:cs="Arial" w:eastAsia="Arial" w:hAnsi="Arial"/>
          <w:sz w:val="18"/>
          <w:szCs w:val="18"/>
          <w:color w:val="auto"/>
        </w:rPr>
        <w:t>was fully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West Africa during the first quarter 2022 as compared to 67% utilized during the first quarter 2021. Gulf of Mexico revenues were nominally changed from the prior year, with the </w:t>
      </w:r>
      <w:r>
        <w:rPr>
          <w:rFonts w:ascii="Arial" w:cs="Arial" w:eastAsia="Arial" w:hAnsi="Arial"/>
          <w:sz w:val="18"/>
          <w:szCs w:val="18"/>
          <w:i w:val="1"/>
          <w:iCs w:val="1"/>
          <w:color w:val="auto"/>
        </w:rPr>
        <w:t>Q5000</w:t>
      </w:r>
      <w:r>
        <w:rPr>
          <w:rFonts w:ascii="Arial" w:cs="Arial" w:eastAsia="Arial" w:hAnsi="Arial"/>
          <w:sz w:val="18"/>
          <w:szCs w:val="18"/>
          <w:color w:val="auto"/>
        </w:rPr>
        <w:t>’s higher-margin work on the legacy BP contract during the first quarter 2021 replaced by higher cost integrated projects during the first quarter 2022.</w:t>
      </w:r>
    </w:p>
    <w:p>
      <w:pPr>
        <w:spacing w:after="0" w:line="183"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Our Robotics revenues increased by 69% for the three-month period ended March 31, 2022 as compared to the same period in 2021, primarily reflecting higher vessel and ROV activities. Chartered vessel days increased to 323 days during the first quarter 2022 as compared to 165 days during the first quarter 2021, although vessel utilization was flat at 90% during both periods. Vessel days during the first quarter 2022 included 136 spot vessel days performing seabed clearance work in the North Sea as compared to three spot vessel days during the first quarter 2021. ROV and trencher utilization increased to 35% in the first quarter 2022 from 24% during the first quarter 2021, although trenching days decreased to 66 days during the first quarter 2022 as compared to 72 days during the first quarter 2021.</w:t>
      </w:r>
    </w:p>
    <w:p>
      <w:pPr>
        <w:spacing w:after="0" w:line="185" w:lineRule="exact"/>
        <w:rPr>
          <w:sz w:val="20"/>
          <w:szCs w:val="20"/>
          <w:color w:val="auto"/>
        </w:rPr>
      </w:pPr>
    </w:p>
    <w:p>
      <w:pPr>
        <w:ind w:right="820" w:firstLine="648"/>
        <w:spacing w:after="0" w:line="271" w:lineRule="auto"/>
        <w:rPr>
          <w:sz w:val="20"/>
          <w:szCs w:val="20"/>
          <w:color w:val="auto"/>
        </w:rPr>
      </w:pPr>
      <w:r>
        <w:rPr>
          <w:rFonts w:ascii="Arial" w:cs="Arial" w:eastAsia="Arial" w:hAnsi="Arial"/>
          <w:sz w:val="18"/>
          <w:szCs w:val="18"/>
          <w:color w:val="auto"/>
        </w:rPr>
        <w:t>Our Production Facilities revenues increased by 11% for the three-month period ended March 31, 2022 as compared to the same period in 2021, primarily reflecting higher oil and gas prices.</w:t>
      </w:r>
    </w:p>
    <w:p>
      <w:pPr>
        <w:spacing w:after="0" w:line="154"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loss was $18.6 million for the three-month period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consolidated gross profit of $14.6 million for the same period in 2021, primarily reflecting decreased profitability in our Well Intervention and Production Facilities segments, offset in part by increased profitability in our Robotics segment.</w:t>
      </w:r>
    </w:p>
    <w:p>
      <w:pPr>
        <w:spacing w:after="0" w:line="17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Well Intervention segment had a gross loss of $28.4 million for the three-month period ended March 31, 2022 as compared to a gross profit of $8.7 million for the same period in 2021, primarily reflecting lower segment revenues as well as lower margins in the Gulf of Mexico due to higher integrated project costs.</w:t>
      </w:r>
    </w:p>
    <w:p>
      <w:pPr>
        <w:spacing w:after="0" w:line="169"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Our Robotics segment had a gross profit of $ 3.5 million for the three-month period ended March 31, 2022 as compared to a gross loss of $0.9 million for the same period in 2021, primarily reflecting higher revenues due to increased ROV activity and a higher number of vessel days.</w:t>
      </w:r>
    </w:p>
    <w:p>
      <w:pPr>
        <w:spacing w:after="0" w:line="16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$ 14.4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March 31, 2022 as compared to $15.2 million for the same period in 2021, primarily reflecting lower employee incentive compensation costs.</w:t>
      </w:r>
    </w:p>
    <w:p>
      <w:pPr>
        <w:spacing w:after="0" w:line="169"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Net other expense was $3.9 million for the three-month period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primarily due to foreign currency transaction losses reflecting the weakening of the British pound. Net other income was $ 1.6 million for the same period in 2021 primarily due to foreign currency transaction gains reflecting the strengthening of the British pound.</w:t>
      </w:r>
    </w:p>
    <w:p>
      <w:pPr>
        <w:spacing w:after="0" w:line="174"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$2.1 million for the three-month period ended March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$0.1 million for the same period in 2021. The effective tax rates for the three-month periods ended March 31, 2022 and 2021 were (5.4)% and (4.0)%, respectively. These variances were primarily attributable to the earnings mix between our higher and lower tax rate jurisdictions as well as losses for which no financial statement benefits have been recognized (Note 6).</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2" w:lineRule="exact"/>
        <w:rPr>
          <w:sz w:val="20"/>
          <w:szCs w:val="20"/>
          <w:color w:val="auto"/>
        </w:rPr>
      </w:pPr>
    </w:p>
    <w:p>
      <w:pPr>
        <w:ind w:right="780" w:firstLine="648"/>
        <w:spacing w:after="0" w:line="271"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43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246,745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251,255</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3"/>
                <w:szCs w:val="23"/>
                <w:color w:val="auto"/>
                <w:vertAlign w:val="superscript"/>
              </w:rPr>
              <w:t>(1)</w:t>
            </w:r>
          </w:p>
        </w:tc>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258,496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262,137</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4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270,983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304,660</w:t>
            </w:r>
          </w:p>
        </w:tc>
      </w:tr>
      <w:tr>
        <w:trPr>
          <w:trHeight w:val="108"/>
        </w:trPr>
        <w:tc>
          <w:tcPr>
            <w:tcW w:w="248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r>
    </w:tbl>
    <w:p>
      <w:pPr>
        <w:spacing w:after="0" w:line="76" w:lineRule="exact"/>
        <w:rPr>
          <w:sz w:val="20"/>
          <w:szCs w:val="20"/>
          <w:color w:val="auto"/>
        </w:rPr>
      </w:pPr>
    </w:p>
    <w:p>
      <w:pPr>
        <w:ind w:left="660" w:right="180" w:hanging="652"/>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debt is net of unamortized debt issuance costs. Current maturities of our long-term debt of $43.1 million and $42.9 million, respectively, are excluded from long-term debt. See Note 5 for information relating to our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10"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Net working capital is equal to current assets minus current liabilities. It measures short-term liquidity and operational efficiency and is important for predicting cash flow and debt requirements. Our net working capital includes current maturities of our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We define liquidity as cash and cash equivalents, excluding restricted cash, plus available capacity under our credit facility. Our liquidity at March 31, 2022 included $229.7 million of cash and cash equivalents and $41.2 million of available borrowing capacity under the ABL Facility (Note 5) and excluded $72.9 million of restricted cash primarily related to a short-term project related letter of credit, the restriction from which is expected to be released upon completion of the project. Our liquidity at December 31, 2021 included $253.5 million of cash and cash equivalents and $51.1 million of available borrowing capacity under the ABL Facility and excluded $73.6 million of short-term project related restricted cash.</w:t>
      </w:r>
    </w:p>
    <w:p>
      <w:pPr>
        <w:spacing w:after="0" w:line="17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The COVID-19 pandemic impacted our operations and our revenues. We responded by deferring or reducing planned capital expenditures and operating costs during the past two years. This spending is expected to return with our outlook of increased activity. Furthermore, we have convertible debt instruments and other term debt maturities during 2022 that we intend to settle in cash. We believe that our cash on hand, internally generated cash flows and availability under the ABL Facility will be sufficient to fund our operations and service our debt over at least the next 12 months.</w:t>
      </w:r>
    </w:p>
    <w:p>
      <w:pPr>
        <w:spacing w:after="0" w:line="176" w:lineRule="exact"/>
        <w:rPr>
          <w:sz w:val="20"/>
          <w:szCs w:val="20"/>
          <w:color w:val="auto"/>
        </w:rPr>
      </w:pPr>
    </w:p>
    <w:p>
      <w:pPr>
        <w:ind w:right="200" w:firstLine="648"/>
        <w:spacing w:after="0" w:line="242" w:lineRule="auto"/>
        <w:rPr>
          <w:sz w:val="20"/>
          <w:szCs w:val="20"/>
          <w:color w:val="auto"/>
        </w:rPr>
      </w:pPr>
      <w:r>
        <w:rPr>
          <w:rFonts w:ascii="Arial" w:cs="Arial" w:eastAsia="Arial" w:hAnsi="Arial"/>
          <w:sz w:val="18"/>
          <w:szCs w:val="18"/>
          <w:color w:val="auto"/>
        </w:rPr>
        <w:t>An ongoing period of weak, or continued decreases in,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ABL Facility. At March 31, 2022, our available borrowing capacity under the ABL Facility was $ 41.2 million, net of $2.3 million of letters of credit issued under that facility. We currently do not anticipate borrowing under the ABL Facility other than for the issuance of letters of credit.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right="1120" w:firstLine="648"/>
        <w:spacing w:after="0" w:line="271"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35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3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54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3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(17,413)</w:t>
            </w: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39,869</w:t>
            </w:r>
          </w:p>
        </w:tc>
      </w:tr>
      <w:tr>
        <w:trPr>
          <w:trHeight w:val="203"/>
        </w:trPr>
        <w:tc>
          <w:tcPr>
            <w:tcW w:w="35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3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(1,329)</w:t>
            </w:r>
          </w:p>
        </w:tc>
      </w:tr>
      <w:tr>
        <w:trPr>
          <w:trHeight w:val="239"/>
        </w:trPr>
        <w:tc>
          <w:tcPr>
            <w:tcW w:w="354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(59,885)</w:t>
            </w:r>
          </w:p>
        </w:tc>
      </w:tr>
      <w:tr>
        <w:trPr>
          <w:trHeight w:val="616"/>
        </w:trPr>
        <w:tc>
          <w:tcPr>
            <w:tcW w:w="3540" w:type="dxa"/>
            <w:vAlign w:val="bottom"/>
          </w:tcPr>
          <w:p>
            <w:pPr>
              <w:spacing w:after="0"/>
              <w:rPr>
                <w:sz w:val="24"/>
                <w:szCs w:val="24"/>
                <w:color w:val="auto"/>
              </w:rPr>
            </w:pPr>
          </w:p>
        </w:tc>
        <w:tc>
          <w:tcPr>
            <w:tcW w:w="3260" w:type="dxa"/>
            <w:vAlign w:val="bottom"/>
          </w:tcPr>
          <w:p>
            <w:pPr>
              <w:jc w:val="right"/>
              <w:ind w:right="165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35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0"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The decrease in our operating cash flows for the three-month period ended March 31, 2022 as compared to the same period in 2021 primarily reflects lower earnings, higher regulatory recertification costs for our vessels and systems and negative changes in net working capital. Operating cash flows for the three-month periods ended March 31, 2022 and 2021 included the receipt of $1.1 million and $6.6 million, respectively, in income tax refunds related to the U.S. Coronavirus Aid, Relief, and Economic Security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Cash flows used in investing activities for the three-month periods ended March 31, 2022 and 2021 reflect the deferral or reduction of our planned capital expenditures as our response to the adverse impact to our operations as a result of the COVID-19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0" w:lineRule="exact"/>
        <w:rPr>
          <w:sz w:val="20"/>
          <w:szCs w:val="20"/>
          <w:color w:val="auto"/>
        </w:rPr>
      </w:pPr>
    </w:p>
    <w:p>
      <w:pPr>
        <w:ind w:right="240" w:firstLine="648"/>
        <w:spacing w:after="0" w:line="247" w:lineRule="auto"/>
        <w:rPr>
          <w:sz w:val="20"/>
          <w:szCs w:val="20"/>
          <w:color w:val="auto"/>
        </w:rPr>
      </w:pPr>
      <w:r>
        <w:rPr>
          <w:rFonts w:ascii="Arial" w:cs="Arial" w:eastAsia="Arial" w:hAnsi="Arial"/>
          <w:sz w:val="18"/>
          <w:szCs w:val="18"/>
          <w:color w:val="auto"/>
        </w:rPr>
        <w:t>Net cash outflows from financing activities for the three-month period ended March 31, 2022 primarily reflect the repayment of $3.9 million related to the MARAD Debt (Note 5). Net cash outflows from financing activities for the three-month period ended March 31, 2021 primarily reflect the repayment of $58.2 million related to our indebtedness, including the final maturity of $53.6 million of the Nordea Q5000 Loan.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1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following table summarizes the principal amount of our long-term debt and related debt service costs as well as other contractual commitments, which include commitments for property and equipment and operating lease obligations, as of March 31, 2022 and the portions of those amounts that are short-term (due in less than one year) and long-term (due in one year or greater) based on their stated maturities (in thousands).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March 31, 2022. Our 2022 Notes, 2023 Notes and 2026 Notes have certain early redemption and conversion features that could affect the timing and amount of any cash requirements. Although upon conversion these notes are able to be settled in either cash or shares, we intend to settle their principal amounts in cash (Note 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Short-Term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44,930</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8,133</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36,797</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2022 Notes</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 Notes</w:t>
            </w:r>
          </w:p>
        </w:tc>
        <w:tc>
          <w:tcPr>
            <w:tcW w:w="2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2026 Notes</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debt</w:t>
            </w:r>
          </w:p>
        </w:tc>
        <w:tc>
          <w:tcPr>
            <w:tcW w:w="2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62,148</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17,362</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44,786</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9,125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9,125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308,370</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99,767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208,603</w:t>
            </w:r>
          </w:p>
        </w:tc>
      </w:tr>
      <w:tr>
        <w:trPr>
          <w:trHeight w:val="196"/>
        </w:trPr>
        <w:tc>
          <w:tcPr>
            <w:tcW w:w="2480" w:type="dxa"/>
            <w:vAlign w:val="bottom"/>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689,573</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169,387</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520,186</w:t>
            </w:r>
          </w:p>
        </w:tc>
      </w:tr>
      <w:tr>
        <w:trPr>
          <w:trHeight w:val="20"/>
        </w:trPr>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76" w:lineRule="exact"/>
        <w:rPr>
          <w:sz w:val="20"/>
          <w:szCs w:val="20"/>
          <w:color w:val="auto"/>
        </w:rPr>
      </w:pPr>
    </w:p>
    <w:p>
      <w:pPr>
        <w:ind w:left="660" w:right="160" w:hanging="652"/>
        <w:spacing w:after="0" w:line="24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At March 31, 2022, our commitment related to long-term vessel charters totaled approximately $268.4 million, of which $111.8 million was related to the non-lease (services) components that are not included in operating lease liabilities in the condensed consolidated balance sheet as of March 31, 2022.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212"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11).</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approximate $31.0 million (undiscounted) as of March 31, 2022 and are all expected to be paid during the next 12 months. We are entitled to receive certain amounts from Marathon Oil Corporation as these decommissioning obligations are fulfilled.</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vessels and intervention systems are subject to certain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recertification requirements that must be satisfied in order for the vessels and intervention systems to operate. Recertification may require dry dock and other compliance costs on a periodic basis, usually every 30 months. These costs can vary and generally range between $3.0 million to $15.0 million per vessel and $0.5 million to $5.0 million per intervention system. The timing of these costs can vary.</w:t>
      </w:r>
    </w:p>
    <w:p>
      <w:pPr>
        <w:spacing w:after="0" w:line="176"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ABL Facility and access to capital markets.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2021 Form 10-K.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As of March 31, 2022, we were exposed to market risks associated with foreign currency exchange rates. We had no exposure to interest rate risk as we had no outstanding debt subject to floating rates.</w:t>
      </w:r>
    </w:p>
    <w:p>
      <w:pPr>
        <w:spacing w:after="0" w:line="154"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85"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resulting in translation adjustments that are reflected in “Accumulated other comprehensive loss” in the shareholders’ equity section of our condensed consolidated balance sheets. For the three-month period ended March 31, 2022, we recorded foreign currency translation losses of $13.1 million to accumulated other comprehensive loss. Deferred taxes have not been provided on foreign currency translation adjustments as our non-U.S. undistributed earnings are permanently reinvested.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three-month period ended March 31, 2022, we recorded foreign currency transaction losses of $3.9 million, primarily related to our subsidiaries in the U.K.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right="40" w:firstLine="656"/>
        <w:spacing w:after="0"/>
        <w:tabs>
          <w:tab w:leader="none" w:pos="9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March 31, 2022. Based on this evaluation, our principal executive officer and principal financial officer have concluded that our disclosure controls and procedures were effective as of March 31, 2022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180" w:lineRule="exact"/>
        <w:rPr>
          <w:rFonts w:ascii="Arial" w:cs="Arial" w:eastAsia="Arial" w:hAnsi="Arial"/>
          <w:sz w:val="18"/>
          <w:szCs w:val="18"/>
          <w:color w:val="auto"/>
        </w:rPr>
      </w:pPr>
    </w:p>
    <w:p>
      <w:pPr>
        <w:ind w:right="280" w:firstLine="656"/>
        <w:spacing w:after="0" w:line="253" w:lineRule="auto"/>
        <w:tabs>
          <w:tab w:leader="none" w:pos="9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There have been no changes in our internal control over financial reporting that occurred during the quarter ended March 31, 2022 that have materially affected, or are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See Part I, Item 1, Note 12 to the Condensed Consolidated Financial Statements,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80" w:type="dxa"/>
            <w:vAlign w:val="bottom"/>
            <w:gridSpan w:val="7"/>
          </w:tcPr>
          <w:p>
            <w:pPr>
              <w:ind w:left="380"/>
              <w:spacing w:after="0"/>
              <w:rPr>
                <w:sz w:val="20"/>
                <w:szCs w:val="20"/>
                <w:color w:val="auto"/>
              </w:rPr>
            </w:pPr>
            <w:r>
              <w:rPr>
                <w:rFonts w:ascii="Arial" w:cs="Arial" w:eastAsia="Arial" w:hAnsi="Arial"/>
                <w:sz w:val="18"/>
                <w:szCs w:val="18"/>
                <w:b w:val="1"/>
                <w:bCs w:val="1"/>
                <w:color w:val="auto"/>
              </w:rPr>
              <w:t>Issuer Purchases of Equity Securities</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93"/>
        </w:trPr>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2"/>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w:t>
            </w:r>
          </w:p>
        </w:tc>
        <w:tc>
          <w:tcPr>
            <w:tcW w:w="200" w:type="dxa"/>
            <w:vAlign w:val="bottom"/>
          </w:tcPr>
          <w:p>
            <w:pPr>
              <w:spacing w:after="0"/>
              <w:rPr>
                <w:sz w:val="17"/>
                <w:szCs w:val="17"/>
                <w:color w:val="auto"/>
              </w:rPr>
            </w:pPr>
          </w:p>
        </w:tc>
        <w:tc>
          <w:tcPr>
            <w:tcW w:w="1560" w:type="dxa"/>
            <w:vAlign w:val="bottom"/>
          </w:tcPr>
          <w:p>
            <w:pPr>
              <w:ind w:left="660"/>
              <w:spacing w:after="0" w:line="202" w:lineRule="exact"/>
              <w:rPr>
                <w:sz w:val="20"/>
                <w:szCs w:val="20"/>
                <w:color w:val="auto"/>
              </w:rPr>
            </w:pPr>
            <w:r>
              <w:rPr>
                <w:rFonts w:ascii="Arial" w:cs="Arial" w:eastAsia="Arial" w:hAnsi="Arial"/>
                <w:sz w:val="18"/>
                <w:szCs w:val="18"/>
                <w:b w:val="1"/>
                <w:bCs w:val="1"/>
                <w:color w:val="auto"/>
              </w:rPr>
              <w:t>(d)</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Maximum</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5"/>
              </w:rPr>
              <w:t>(b)</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number of shares</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Average</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2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that may yet be</w:t>
            </w:r>
          </w:p>
        </w:tc>
      </w:tr>
      <w:tr>
        <w:trPr>
          <w:trHeight w:val="193"/>
        </w:trPr>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00"/>
              <w:spacing w:after="0" w:line="193" w:lineRule="exact"/>
              <w:rPr>
                <w:sz w:val="20"/>
                <w:szCs w:val="20"/>
                <w:color w:val="auto"/>
              </w:rPr>
            </w:pPr>
            <w:r>
              <w:rPr>
                <w:rFonts w:ascii="Arial" w:cs="Arial" w:eastAsia="Arial" w:hAnsi="Arial"/>
                <w:sz w:val="18"/>
                <w:szCs w:val="18"/>
                <w:b w:val="1"/>
                <w:bCs w:val="1"/>
                <w:color w:val="auto"/>
              </w:rPr>
              <w:t>price paid</w:t>
            </w:r>
          </w:p>
        </w:tc>
        <w:tc>
          <w:tcPr>
            <w:tcW w:w="130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announced</w:t>
            </w:r>
          </w:p>
        </w:tc>
        <w:tc>
          <w:tcPr>
            <w:tcW w:w="200" w:type="dxa"/>
            <w:vAlign w:val="bottom"/>
          </w:tcPr>
          <w:p>
            <w:pPr>
              <w:spacing w:after="0"/>
              <w:rPr>
                <w:sz w:val="16"/>
                <w:szCs w:val="16"/>
                <w:color w:val="auto"/>
              </w:rPr>
            </w:pPr>
          </w:p>
        </w:tc>
        <w:tc>
          <w:tcPr>
            <w:tcW w:w="15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purchased under</w:t>
            </w:r>
          </w:p>
        </w:tc>
      </w:tr>
      <w:tr>
        <w:trPr>
          <w:trHeight w:val="23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5"/>
              </w:rPr>
              <w:t xml:space="preserve">purchased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per share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rPr>
              <w:t>program</w:t>
            </w:r>
          </w:p>
        </w:tc>
        <w:tc>
          <w:tcPr>
            <w:tcW w:w="200" w:type="dxa"/>
            <w:vAlign w:val="bottom"/>
          </w:tcPr>
          <w:p>
            <w:pPr>
              <w:spacing w:after="0"/>
              <w:rPr>
                <w:sz w:val="20"/>
                <w:szCs w:val="20"/>
                <w:color w:val="auto"/>
              </w:rPr>
            </w:pPr>
          </w:p>
        </w:tc>
        <w:tc>
          <w:tcPr>
            <w:tcW w:w="156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7"/>
              </w:rPr>
              <w:t xml:space="preserve">the program </w:t>
            </w:r>
            <w:r>
              <w:rPr>
                <w:rFonts w:ascii="Arial" w:cs="Arial" w:eastAsia="Arial" w:hAnsi="Arial"/>
                <w:sz w:val="26"/>
                <w:szCs w:val="26"/>
                <w:b w:val="1"/>
                <w:bCs w:val="1"/>
                <w:color w:val="auto"/>
                <w:w w:val="97"/>
                <w:vertAlign w:val="superscript"/>
              </w:rPr>
              <w:t>(2)</w:t>
            </w:r>
          </w:p>
        </w:tc>
      </w:tr>
      <w:tr>
        <w:trPr>
          <w:trHeight w:val="196"/>
        </w:trPr>
        <w:tc>
          <w:tcPr>
            <w:tcW w:w="29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1 to January 31, 2022</w:t>
            </w: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488,718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2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ind w:left="700"/>
              <w:spacing w:after="0" w:line="196" w:lineRule="exact"/>
              <w:rPr>
                <w:sz w:val="20"/>
                <w:szCs w:val="20"/>
                <w:color w:val="auto"/>
              </w:rPr>
            </w:pPr>
            <w:r>
              <w:rPr>
                <w:rFonts w:ascii="Arial" w:cs="Arial" w:eastAsia="Arial" w:hAnsi="Arial"/>
                <w:sz w:val="18"/>
                <w:szCs w:val="18"/>
                <w:color w:val="auto"/>
              </w:rPr>
              <w:t>9,183,183</w:t>
            </w: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February 1 to February 28, 2022</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ind w:left="10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9,183,183</w:t>
            </w: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 to March 31, 2022</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9,183,183</w:t>
            </w:r>
          </w:p>
        </w:tc>
      </w:tr>
      <w:tr>
        <w:trPr>
          <w:trHeight w:val="196"/>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488,718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r>
    </w:tbl>
    <w:p>
      <w:pPr>
        <w:spacing w:after="0" w:line="76" w:lineRule="exact"/>
        <w:rPr>
          <w:sz w:val="20"/>
          <w:szCs w:val="20"/>
          <w:color w:val="auto"/>
        </w:rPr>
      </w:pPr>
    </w:p>
    <w:p>
      <w:pPr>
        <w:ind w:left="660" w:right="340" w:hanging="652"/>
        <w:spacing w:after="0" w:line="27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forfeited in satisfaction of tax obligations upon vesting of share-based awards under our existing long-term incentive plans.</w:t>
      </w:r>
    </w:p>
    <w:p>
      <w:pPr>
        <w:spacing w:after="0" w:line="45"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Under the terms of our stock repurchase program, we may repurchase shares of our common stock in an amount equal to any equity granted to our employees, officers and directors under our share-based compensation plans, including share-based awards under our existing long-term incentive plans and shares issued to our employees under our Employee Stock Purchase Plan (Note 9), and such shares increase the number of shares available for repurchase. For additional information regarding our stock repurchase program, see Note 11 to our 2021 Form 10-K.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120" w:type="dxa"/>
            <w:vAlign w:val="bottom"/>
            <w:gridSpan w:val="12"/>
          </w:tcPr>
          <w:p>
            <w:pPr>
              <w:ind w:left="3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520" w:type="dxa"/>
            <w:vAlign w:val="bottom"/>
            <w:tcBorders>
              <w:top w:val="single" w:sz="8" w:color="auto"/>
            </w:tcBorders>
            <w:gridSpan w:val="13"/>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2005 Amended and Restated Articles of Incorporation,</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40">
              <w:r>
                <w:rPr>
                  <w:rFonts w:ascii="Arial" w:cs="Arial" w:eastAsia="Arial" w:hAnsi="Arial"/>
                  <w:sz w:val="18"/>
                  <w:szCs w:val="18"/>
                  <w:color w:val="0000EE"/>
                </w:rPr>
                <w:t>as amended, of Helix Energy Solutions Group,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Second  Amended  and  Restated  By-Laws  of</w:t>
              </w:r>
            </w:hyperlink>
          </w:p>
        </w:tc>
        <w:tc>
          <w:tcPr>
            <w:tcW w:w="480" w:type="dxa"/>
            <w:vAlign w:val="bottom"/>
            <w:gridSpan w:val="8"/>
          </w:tcPr>
          <w:p>
            <w:pPr>
              <w:jc w:val="right"/>
              <w:ind w:right="120"/>
              <w:spacing w:after="0" w:line="182" w:lineRule="exact"/>
              <w:rPr>
                <w:rFonts w:ascii="Arial" w:cs="Arial" w:eastAsia="Arial" w:hAnsi="Arial"/>
                <w:sz w:val="18"/>
                <w:szCs w:val="18"/>
                <w:color w:val="0000EE"/>
                <w:w w:val="84"/>
              </w:rPr>
            </w:pPr>
            <w:hyperlink r:id="rId41">
              <w:r>
                <w:rPr>
                  <w:rFonts w:ascii="Arial" w:cs="Arial" w:eastAsia="Arial" w:hAnsi="Arial"/>
                  <w:sz w:val="18"/>
                  <w:szCs w:val="18"/>
                  <w:color w:val="0000EE"/>
                  <w:w w:val="84"/>
                </w:rPr>
                <w:t>Helix</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Energy Solutions Group, Inc., as amended.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Certification Pursuant to Rule 13a-14(a)</w:t>
            </w:r>
          </w:p>
        </w:tc>
        <w:tc>
          <w:tcPr>
            <w:tcW w:w="1080" w:type="dxa"/>
            <w:vAlign w:val="bottom"/>
            <w:gridSpan w:val="9"/>
          </w:tcPr>
          <w:p>
            <w:pPr>
              <w:jc w:val="right"/>
              <w:ind w:right="120"/>
              <w:spacing w:after="0" w:line="182" w:lineRule="exact"/>
              <w:rPr>
                <w:sz w:val="20"/>
                <w:szCs w:val="20"/>
                <w:color w:val="auto"/>
              </w:rPr>
            </w:pPr>
            <w:r>
              <w:rPr>
                <w:rFonts w:ascii="Arial" w:cs="Arial" w:eastAsia="Arial" w:hAnsi="Arial"/>
                <w:sz w:val="18"/>
                <w:szCs w:val="18"/>
                <w:color w:val="0000EE"/>
              </w:rPr>
              <w:t>under the</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00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2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Chief Financial Officer.</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Certification  of  Helix’s</w:t>
            </w:r>
          </w:p>
        </w:tc>
        <w:tc>
          <w:tcPr>
            <w:tcW w:w="2720" w:type="dxa"/>
            <w:vAlign w:val="bottom"/>
            <w:gridSpan w:val="11"/>
          </w:tcPr>
          <w:p>
            <w:pPr>
              <w:jc w:val="right"/>
              <w:ind w:right="120"/>
              <w:spacing w:after="0" w:line="182" w:lineRule="exact"/>
              <w:rPr>
                <w:sz w:val="20"/>
                <w:szCs w:val="20"/>
                <w:color w:val="auto"/>
              </w:rPr>
            </w:pPr>
            <w:r>
              <w:rPr>
                <w:rFonts w:ascii="Arial" w:cs="Arial" w:eastAsia="Arial" w:hAnsi="Arial"/>
                <w:sz w:val="18"/>
                <w:szCs w:val="18"/>
                <w:color w:val="0000EE"/>
              </w:rPr>
              <w:t>Chief  Executive  Officer  and</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5"/>
                <w:szCs w:val="15"/>
                <w:color w:val="auto"/>
              </w:rPr>
            </w:pPr>
          </w:p>
        </w:tc>
        <w:tc>
          <w:tcPr>
            <w:tcW w:w="44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Sarbanes–Oxley Act of 2002.</w:t>
            </w: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4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18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768"/>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bl>
    <w:p>
      <w:pPr>
        <w:ind w:left="1480" w:right="40" w:hanging="1423"/>
        <w:spacing w:after="0" w:line="250"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0" w:right="20"/>
        <w:spacing w:after="0" w:line="247"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-13970</wp:posOffset>
            </wp:positionV>
            <wp:extent cx="23914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242" w:lineRule="auto"/>
        <w:rPr>
          <w:sz w:val="20"/>
          <w:szCs w:val="20"/>
          <w:color w:val="auto"/>
        </w:rPr>
      </w:pPr>
      <w:r>
        <w:rPr>
          <w:rFonts w:ascii="Arial" w:cs="Arial" w:eastAsia="Arial" w:hAnsi="Arial"/>
          <w:sz w:val="18"/>
          <w:szCs w:val="18"/>
          <w:color w:val="auto"/>
        </w:rPr>
        <w:t>Exhibit 3.1 to the Current Report on Form 8-K filed on September 28, 2006 (001-32936) Filed herewith</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instance document does not appear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Interactive Data File because its XBRL</w:t>
      </w:r>
    </w:p>
    <w:p>
      <w:pPr>
        <w:spacing w:after="0" w:line="234" w:lineRule="auto"/>
        <w:rPr>
          <w:sz w:val="20"/>
          <w:szCs w:val="20"/>
          <w:color w:val="auto"/>
        </w:rPr>
      </w:pPr>
      <w:r>
        <w:rPr>
          <w:rFonts w:ascii="Arial" w:cs="Arial" w:eastAsia="Arial" w:hAnsi="Arial"/>
          <w:sz w:val="18"/>
          <w:szCs w:val="18"/>
          <w:color w:val="auto"/>
        </w:rPr>
        <w:t>tags are embedded within the Inline XBRL</w:t>
      </w:r>
    </w:p>
    <w:p>
      <w:pPr>
        <w:spacing w:after="0" w:line="235" w:lineRule="auto"/>
        <w:rPr>
          <w:sz w:val="20"/>
          <w:szCs w:val="20"/>
          <w:color w:val="auto"/>
        </w:rPr>
      </w:pPr>
      <w:r>
        <w:rPr>
          <w:rFonts w:ascii="Arial" w:cs="Arial" w:eastAsia="Arial" w:hAnsi="Arial"/>
          <w:sz w:val="18"/>
          <w:szCs w:val="18"/>
          <w:color w:val="auto"/>
        </w:rPr>
        <w:t>document</w:t>
      </w:r>
    </w:p>
    <w:p>
      <w:pPr>
        <w:spacing w:after="0" w:line="235" w:lineRule="auto"/>
        <w:rPr>
          <w:sz w:val="20"/>
          <w:szCs w:val="20"/>
          <w:color w:val="auto"/>
        </w:rPr>
      </w:pP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Filed 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20" w:space="280"/>
            <w:col w:w="3680"/>
          </w:cols>
          <w:pgMar w:left="980" w:top="513"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April 27,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April 27,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April 27, 2022</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1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April 27, 2022</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4"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In connection with the Annual Report of Helix Energy Solutions Group, Inc. (“Helix”) on Form 10-Q for the quarterly period ended March 31, 2022,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34" w:lineRule="exact"/>
        <w:rPr>
          <w:sz w:val="20"/>
          <w:szCs w:val="20"/>
          <w:color w:val="auto"/>
        </w:rPr>
      </w:pPr>
    </w:p>
    <w:p>
      <w:pPr>
        <w:ind w:left="660" w:right="140" w:hanging="328"/>
        <w:spacing w:after="0" w:line="25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14"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April 27, 2022</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April 27, 2022</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endash "/>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0" Type="http://schemas.openxmlformats.org/officeDocument/2006/relationships/hyperlink" Target="https://www.sec.gov/Archives/edgar/data/0000866829/000095012906002103/h33539exv3w1.htm" TargetMode="External"/><Relationship Id="rId41" Type="http://schemas.openxmlformats.org/officeDocument/2006/relationships/hyperlink" Target="https://www.sec.gov/Archives/edgar/data/866829/000095012906008744/h39963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2022-04-27T15:36:43Z</dcterms:created>
  <dcterms:modified xsi:type="dcterms:W3CDTF">2022-04-27T15:36:43Z</dcterms:modified>
</cp:coreProperties>
</file>