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3"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2"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69215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5"/>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2"/>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5"/>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 no par value</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vMerge w:val="continue"/>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jc w:val="both"/>
        <w:ind w:right="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2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2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49"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1" w:right="839" w:bottom="1440" w:gutter="0" w:footer="0" w:header="0"/>
          <w:type w:val="continuous"/>
        </w:sectPr>
      </w:pPr>
    </w:p>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9" w:lineRule="exact"/>
        <w:rPr>
          <w:sz w:val="24"/>
          <w:szCs w:val="24"/>
          <w:color w:val="auto"/>
        </w:rPr>
      </w:pPr>
    </w:p>
    <w:p>
      <w:pPr>
        <w:ind w:left="2660"/>
        <w:spacing w:after="0"/>
        <w:rPr>
          <w:sz w:val="20"/>
          <w:szCs w:val="20"/>
          <w:color w:val="auto"/>
        </w:rPr>
      </w:pPr>
      <w:r>
        <w:rPr>
          <w:rFonts w:ascii="Arial" w:cs="Arial" w:eastAsia="Arial" w:hAnsi="Arial"/>
          <w:sz w:val="16"/>
          <w:szCs w:val="16"/>
          <w:color w:val="auto"/>
        </w:rPr>
        <w:t>As of April 21, 2025, 151,530,339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72390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68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60" w:type="dxa"/>
            <w:vAlign w:val="bottom"/>
            <w:tcBorders>
              <w:bottom w:val="single" w:sz="8" w:color="0000EE"/>
            </w:tcBorders>
            <w:gridSpan w:val="21"/>
          </w:tcPr>
          <w:p>
            <w:pPr>
              <w:spacing w:after="0" w:line="182" w:lineRule="exact"/>
              <w:rPr>
                <w:sz w:val="20"/>
                <w:szCs w:val="20"/>
                <w:color w:val="auto"/>
              </w:rPr>
            </w:pPr>
            <w:r>
              <w:rPr>
                <w:rFonts w:ascii="Arial" w:cs="Arial" w:eastAsia="Arial" w:hAnsi="Arial"/>
                <w:sz w:val="18"/>
                <w:szCs w:val="18"/>
                <w:color w:val="0000EE"/>
                <w:w w:val="99"/>
              </w:rPr>
              <w:t>Condensed Consolidated Balance Sheets – March 31, 2025 (Unaudited) and December 31, 2024</w:t>
            </w: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Operations (Unaudited) – Three months ended</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9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March 31, 2025 and 2024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Comprehensive Income (Loss) (Unaudited) – Three</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months ended March 31, 2025 and 2024</w:t>
            </w:r>
          </w:p>
        </w:tc>
        <w:tc>
          <w:tcPr>
            <w:tcW w:w="4100" w:type="dxa"/>
            <w:vAlign w:val="bottom"/>
            <w:tcBorders>
              <w:top w:val="single" w:sz="8" w:color="0000EE"/>
            </w:tcBorders>
            <w:gridSpan w:val="7"/>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Shareholders’ Equity (Unaudited) – Three months ended</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4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March 31, 2025 and 2024</w:t>
            </w: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Cash Flows (Unaudited) – Three months ended</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March 31, 2025 and 2024</w:t>
            </w:r>
          </w:p>
        </w:tc>
        <w:tc>
          <w:tcPr>
            <w:tcW w:w="60" w:type="dxa"/>
            <w:vAlign w:val="bottom"/>
          </w:tcPr>
          <w:p>
            <w:pPr>
              <w:spacing w:after="0"/>
              <w:rPr>
                <w:sz w:val="15"/>
                <w:szCs w:val="15"/>
                <w:color w:val="auto"/>
              </w:rPr>
            </w:pPr>
          </w:p>
        </w:tc>
        <w:tc>
          <w:tcPr>
            <w:tcW w:w="88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50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88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Controls and Procedures</w:t>
            </w:r>
          </w:p>
        </w:tc>
        <w:tc>
          <w:tcPr>
            <w:tcW w:w="32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99"/>
              </w:rPr>
              <w:t>OTHER INFORMATION</w:t>
            </w:r>
          </w:p>
        </w:tc>
        <w:tc>
          <w:tcPr>
            <w:tcW w:w="59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6960" w:type="dxa"/>
            <w:vAlign w:val="bottom"/>
            <w:gridSpan w:val="1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Defaults Upon Senior Securities</w:t>
            </w:r>
          </w:p>
        </w:tc>
        <w:tc>
          <w:tcPr>
            <w:tcW w:w="31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Mine Safety Disclosures</w:t>
            </w:r>
          </w:p>
        </w:tc>
        <w:tc>
          <w:tcPr>
            <w:tcW w:w="542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4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960" w:type="dxa"/>
            <w:vAlign w:val="bottom"/>
            <w:gridSpan w:val="22"/>
          </w:tcPr>
          <w:p>
            <w:pPr>
              <w:spacing w:after="0"/>
              <w:rPr>
                <w:sz w:val="20"/>
                <w:szCs w:val="20"/>
                <w:color w:val="auto"/>
              </w:rPr>
            </w:pPr>
            <w:r>
              <w:rPr>
                <w:rFonts w:ascii="Arial" w:cs="Arial" w:eastAsia="Arial" w:hAnsi="Arial"/>
                <w:sz w:val="18"/>
                <w:szCs w:val="18"/>
                <w:color w:val="0000EE"/>
              </w:rPr>
              <w:t>Exhibits</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Signatures</w:t>
            </w:r>
          </w:p>
        </w:tc>
        <w:tc>
          <w:tcPr>
            <w:tcW w:w="7100" w:type="dxa"/>
            <w:vAlign w:val="bottom"/>
            <w:gridSpan w:val="1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196"/>
        </w:trPr>
        <w:tc>
          <w:tcPr>
            <w:tcW w:w="6700" w:type="dxa"/>
            <w:vAlign w:val="bottom"/>
            <w:shd w:val="clear" w:color="auto" w:fill="CCEEFF"/>
          </w:tcPr>
          <w:p>
            <w:pPr>
              <w:ind w:left="296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369,987</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368,030</w:t>
            </w:r>
          </w:p>
        </w:tc>
      </w:tr>
      <w:tr>
        <w:trPr>
          <w:trHeight w:val="184"/>
        </w:trPr>
        <w:tc>
          <w:tcPr>
            <w:tcW w:w="6700" w:type="dxa"/>
            <w:vAlign w:val="bottom"/>
          </w:tcPr>
          <w:p>
            <w:pPr>
              <w:ind w:left="120"/>
              <w:spacing w:after="0" w:line="183" w:lineRule="exact"/>
              <w:rPr>
                <w:sz w:val="20"/>
                <w:szCs w:val="20"/>
                <w:color w:val="auto"/>
              </w:rPr>
            </w:pPr>
            <w:r>
              <w:rPr>
                <w:rFonts w:ascii="Arial" w:cs="Arial" w:eastAsia="Arial" w:hAnsi="Arial"/>
                <w:sz w:val="18"/>
                <w:szCs w:val="18"/>
                <w:color w:val="auto"/>
              </w:rPr>
              <w:t>Accounts receivable, net of allowance for credit losses of $3,597 and $3,682,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67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258,485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258,630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107,735</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83,022</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736,207</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709,682</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3,113,515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(1,679,150)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(1,630,902)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1,434,365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1,437,853</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327,732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329,649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89,115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71,718</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47,604</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48,178</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2,635,023</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159,835</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144,793</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90,606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90,455</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202"/>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63,542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59,982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323,395</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304,416</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301,697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305,971</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281,146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285,984</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113,416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113,973</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70,104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66,971</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1,089,758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1,077,315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no par, 240,000 shares authorized, 151,530 and 150,243 shares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1,247,496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1,252,253</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371,159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368,087</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(73,390)</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(100,575)</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1,545,265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1,519,765</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2,635,023</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40" w:type="dxa"/>
            <w:vAlign w:val="bottom"/>
            <w:gridSpan w:val="4"/>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500" w:type="dxa"/>
            <w:vAlign w:val="bottom"/>
          </w:tcPr>
          <w:p>
            <w:pPr>
              <w:jc w:val="center"/>
              <w:ind w:left="179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5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278,064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250,526</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276,657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27,538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 on disposition of assets, net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(19,366)</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tcPr>
          <w:p>
            <w:pPr>
              <w:spacing w:after="0" w:line="196" w:lineRule="exact"/>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8,172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(5,706)</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1,416</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3,525</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 (benefit)</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3,072</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6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0.02</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151,039</w:t>
            </w:r>
          </w:p>
        </w:tc>
        <w:tc>
          <w:tcPr>
            <w:tcW w:w="2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152,369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152,174</w:t>
            </w:r>
          </w:p>
        </w:tc>
        <w:tc>
          <w:tcPr>
            <w:tcW w:w="2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152,369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43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(26,287)</w:t>
            </w:r>
          </w:p>
        </w:tc>
      </w:tr>
      <w:tr>
        <w:trPr>
          <w:trHeight w:val="184"/>
        </w:trPr>
        <w:tc>
          <w:tcPr>
            <w:tcW w:w="6820" w:type="dxa"/>
            <w:vAlign w:val="bottom"/>
          </w:tcPr>
          <w:p>
            <w:pPr>
              <w:spacing w:after="0" w:line="183" w:lineRule="exact"/>
              <w:rPr>
                <w:sz w:val="20"/>
                <w:szCs w:val="20"/>
                <w:color w:val="auto"/>
              </w:rPr>
            </w:pPr>
            <w:r>
              <w:rPr>
                <w:rFonts w:ascii="Arial" w:cs="Arial" w:eastAsia="Arial" w:hAnsi="Arial"/>
                <w:sz w:val="18"/>
                <w:szCs w:val="18"/>
                <w:color w:val="auto"/>
              </w:rPr>
              <w:t>Other comprehensive income (loss) - foreign currency translation gain (loss), net</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1"/>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of tax</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30,257</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(32,970)</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40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0" w:type="dxa"/>
            <w:vAlign w:val="bottom"/>
            <w:gridSpan w:val="10"/>
          </w:tcPr>
          <w:p>
            <w:pPr>
              <w:jc w:val="center"/>
              <w:ind w:right="2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0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Accumulated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9"/>
              </w:rPr>
              <w:t>Loss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2024</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150,243</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$ 1,252,253</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$ 368,087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(100,575)</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1,519,765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1,287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(6,279)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Balance, March 31, 2025</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151,530</w:t>
            </w:r>
          </w:p>
        </w:tc>
        <w:tc>
          <w:tcPr>
            <w:tcW w:w="2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$ 1,247,496</w:t>
            </w:r>
          </w:p>
        </w:tc>
        <w:tc>
          <w:tcPr>
            <w:tcW w:w="2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$ 371,159</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(73,390)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1,545,265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Balance, December 31, 2023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152,291</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$ 1,271,565</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$ 312,450</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(83,015)</w:t>
            </w:r>
          </w:p>
        </w:tc>
        <w:tc>
          <w:tcPr>
            <w:tcW w:w="200" w:type="dxa"/>
            <w:vAlign w:val="bottom"/>
          </w:tcPr>
          <w:p>
            <w:pPr>
              <w:spacing w:after="0"/>
              <w:rPr>
                <w:sz w:val="17"/>
                <w:szCs w:val="17"/>
                <w:color w:val="auto"/>
              </w:rPr>
            </w:pPr>
          </w:p>
        </w:tc>
        <w:tc>
          <w:tcPr>
            <w:tcW w:w="2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(26,287)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(6,683)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(5,032)</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of capped calls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4,381</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Balance, March 31, 2024</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152,450</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$ 1,270,357</w:t>
            </w:r>
          </w:p>
        </w:tc>
        <w:tc>
          <w:tcPr>
            <w:tcW w:w="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$ 286,163</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(89,698)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1,466,822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63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7"/>
                <w:szCs w:val="17"/>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7"/>
                <w:szCs w:val="17"/>
                <w:b w:val="1"/>
                <w:bCs w:val="1"/>
                <w:color w:val="auto"/>
              </w:rPr>
              <w:t>2025</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Net income (loss)</w:t>
            </w:r>
          </w:p>
        </w:tc>
        <w:tc>
          <w:tcPr>
            <w:tcW w:w="5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3,072</w:t>
            </w:r>
          </w:p>
        </w:tc>
        <w:tc>
          <w:tcPr>
            <w:tcW w:w="640" w:type="dxa"/>
            <w:vAlign w:val="bottom"/>
            <w:gridSpan w:val="2"/>
          </w:tcPr>
          <w:p>
            <w:pPr>
              <w:jc w:val="right"/>
              <w:ind w:right="225"/>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(26,287)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Adjustments to reconcile net income (loss) to net cash provided by operating</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activities: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tcPr>
          <w:p>
            <w:pPr>
              <w:ind w:left="200"/>
              <w:spacing w:after="0" w:line="167" w:lineRule="exact"/>
              <w:rPr>
                <w:sz w:val="20"/>
                <w:szCs w:val="20"/>
                <w:color w:val="auto"/>
              </w:rPr>
            </w:pPr>
            <w:r>
              <w:rPr>
                <w:rFonts w:ascii="Arial" w:cs="Arial" w:eastAsia="Arial" w:hAnsi="Arial"/>
                <w:sz w:val="17"/>
                <w:szCs w:val="17"/>
                <w:color w:val="auto"/>
              </w:rPr>
              <w:t>Depreciation and amortization, excluding amortization of deferred recertification</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7"/>
                <w:szCs w:val="17"/>
                <w:color w:val="auto"/>
              </w:rPr>
              <w:t>and dry dock costs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33,248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deferred recertification and dry dock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9,234</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Deferred recertification and dry dock costs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(17,855)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(9,594)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discount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502</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1,651</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(400)</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Loss on disposition of assets, net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Losses related to convertible senior notes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20,922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Unrealized foreign currency (gain) loss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(572)</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59,059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(16,835)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23,196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(2,702)</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4,518</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(50,489)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3,640</w:t>
            </w:r>
          </w:p>
        </w:tc>
        <w:tc>
          <w:tcPr>
            <w:tcW w:w="2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16,442</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64,484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(4,488)</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Proceeds from insurance recoveries</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(4,488)</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(3,242)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(60,699)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(4,537)</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Proceeds from settlement of capped calls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(7,266)</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728</w:t>
            </w: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(11,075)</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(69,304)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1,078</w:t>
            </w:r>
          </w:p>
        </w:tc>
        <w:tc>
          <w:tcPr>
            <w:tcW w:w="2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1,957</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(8,342)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368,030</w:t>
            </w: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332,191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369,987</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323,849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accounting principles generally accepted in the U.S. (“GAAP”).</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three-month period ended March 31, 2025 are not necessarily indicative of the results that may be expected for the year ending December 31, 2025. Our balance sheet as of December 31, 2024 included herein has been derived from the audited balance sheet as of December 31, 2024 included in our 2024 Annual Report on Form 10-K (our “2024 Form 10-K”). These unaudited condensed consolidated financial statements should be read in conjunction with the audited annual consolidated financial statements and notes thereto included in our 2024 Form 10-K.</w:t>
      </w:r>
    </w:p>
    <w:p>
      <w:pPr>
        <w:spacing w:after="0" w:line="180"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1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In November 2023, the Financial Accounting Standards Board (the “FASB”) issued Accounting Standards Update (“ASU”) No. 2023-07, “Improvements to Reportable Segment Disclosures,” which requires entities to disclose, on an annual and interim basis, significant segment expenses that are regularly provided to the chief operating decision maker (the “CODM”) and included within each reported measure of segment profit or loss as well as an amount for other segment items by reportable segment and a description of its composition. ASU No. 2023-07 requires all annual disclosures about a reportable segment’s profit or loss and assets to be provided in interim periods as well. Among other things, this ASU also requires that a public entity disclose the title and position of the CODM and an explanation of how the CODM uses the reported measure(s) of segment profit or loss in assessing segment performance and deciding how to allocate resources. We adopted ASU No. 2023-07 on a retrospective basis starting with our 2024 Form 10-K. The adoption of this ASU increased segment disclosures, which are reflected in Note 11, but otherwise had no impact on our earnings, cash flows or financial condition.</w:t>
      </w:r>
    </w:p>
    <w:p>
      <w:pPr>
        <w:spacing w:after="0" w:line="18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December 2023, the FASB issued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In November 2024, the FASB issued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w:t>
      </w:r>
    </w:p>
    <w:p>
      <w:pPr>
        <w:spacing w:after="0" w:line="2" w:lineRule="exact"/>
        <w:rPr>
          <w:sz w:val="20"/>
          <w:szCs w:val="20"/>
          <w:color w:val="auto"/>
        </w:rPr>
      </w:pPr>
    </w:p>
    <w:p>
      <w:pPr>
        <w:ind w:right="40" w:firstLine="8"/>
        <w:spacing w:after="0" w:line="23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spacing w:after="0" w:line="183"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We do not expect other recently issued accounting standards to have a material impact on our financial position, results of operations or cash flows when they become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12"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Our services are key in supporting a global energy transition:</w:t>
      </w:r>
    </w:p>
    <w:p>
      <w:pPr>
        <w:spacing w:after="0" w:line="169" w:lineRule="exact"/>
        <w:rPr>
          <w:sz w:val="20"/>
          <w:szCs w:val="20"/>
          <w:color w:val="auto"/>
        </w:rPr>
      </w:pPr>
    </w:p>
    <w:p>
      <w:pPr>
        <w:jc w:val="both"/>
        <w:ind w:left="680" w:right="440" w:hanging="321"/>
        <w:spacing w:after="0" w:line="241"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are a full-field abandonment contractor and believe that regulatory push for plug and</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(“P&amp;A”) and transition to renewable energy will facilitate the continued growth of the abandonment market; and</w:t>
      </w:r>
    </w:p>
    <w:p>
      <w:pPr>
        <w:spacing w:after="0" w:line="1" w:lineRule="exact"/>
        <w:rPr>
          <w:rFonts w:ascii="Times New Roman" w:cs="Times New Roman" w:eastAsia="Times New Roman" w:hAnsi="Times New Roman"/>
          <w:sz w:val="18"/>
          <w:szCs w:val="18"/>
          <w:color w:val="auto"/>
        </w:rPr>
      </w:pPr>
    </w:p>
    <w:p>
      <w:pPr>
        <w:ind w:left="680" w:right="60" w:hanging="321"/>
        <w:spacing w:after="0" w:line="242"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Renewables </w:t>
      </w:r>
      <w:r>
        <w:rPr>
          <w:rFonts w:ascii="Arial" w:cs="Arial" w:eastAsia="Arial" w:hAnsi="Arial"/>
          <w:sz w:val="18"/>
          <w:szCs w:val="18"/>
          <w:color w:val="auto"/>
        </w:rPr>
        <w:t>— we are an established global leader in jet trenching and provide specialty support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developments such as offshore wind farms, including boulder removal and unexploded ordnance clearance.</w:t>
      </w:r>
    </w:p>
    <w:p>
      <w:pPr>
        <w:spacing w:after="0" w:line="179"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We provide a range of services to the oil and gas and renewable energy markets primarily in the Gulf of America (deepwater and shelf), U.S. East Coast, Brazil, North Sea, Asia Pacific and West Africa regions. Our North Sea operations and our Gulf of America shelf operations are usually subject to seasonal changes in activity levels, which generally peaks in the summer months and declines in the winter months. Our services are segregated into four reportable business segments: Well Intervention, Robotics, Shallow Water Abandonment and Production Facilities.</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vessels,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predominantly in the Gulf of America shelf, including offshore oilfield decommissioning and ‎reclamation, well intervention, IRM, heavy lift and commercial diving services. Our Shallow Water Abandonment segment includes Helix Alliance that was acquired in July 2022, a vertically integrated company which offers a diversified fleet of marine assets including liftboats, offshore supply vessels (“OSVs”), dive support vessels (“DSVs”), a heavy lift derrick barge, a crew boat, P&amp;A systems and coiled tubing (“CT”) systems.</w:t>
      </w:r>
    </w:p>
    <w:p>
      <w:pPr>
        <w:spacing w:after="0" w:line="17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100" w:type="dxa"/>
            <w:vAlign w:val="bottom"/>
            <w:gridSpan w:val="2"/>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24,333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9,441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8)</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25,974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38,823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31,874</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9,164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196"/>
        </w:trPr>
        <w:tc>
          <w:tcPr>
            <w:tcW w:w="6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107,735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83,022</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1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4,358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25,422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3,555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96"/>
        </w:trPr>
        <w:tc>
          <w:tcPr>
            <w:tcW w:w="6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47,604</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4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present value of receivables for P&amp;A work to be performed by us on Droshky oil and gas properties we acquired from Marathon Oil Corporation in 2019.</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30,101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2,634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(Note 8)</w:t>
            </w: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37,756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20,115</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2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90,606</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90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9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9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65"/>
        </w:trPr>
        <w:tc>
          <w:tcPr>
            <w:tcW w:w="6800" w:type="dxa"/>
            <w:vAlign w:val="bottom"/>
            <w:gridSpan w:val="2"/>
          </w:tcPr>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8)</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Asset retirement obligations (Note 12)</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64,355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62,947</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3,325</w:t>
            </w:r>
          </w:p>
        </w:tc>
      </w:tr>
      <w:tr>
        <w:trPr>
          <w:trHeight w:val="196"/>
        </w:trPr>
        <w:tc>
          <w:tcPr>
            <w:tcW w:w="68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70,104</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66,971</w:t>
            </w: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21,230</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20,475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3,057</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8,914</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32,490</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32,424</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March 31, 2025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81,873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4,883</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68,327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3,295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65,904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53,539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2,963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73,250</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14,968</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395,641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34,285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(75,728)</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(9,510)</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(85,238)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319,913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24,775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260,397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20,749</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319,913</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24,775</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20" w:type="dxa"/>
            <w:vAlign w:val="bottom"/>
          </w:tcPr>
          <w:p>
            <w:pPr>
              <w:spacing w:after="0"/>
              <w:rPr>
                <w:sz w:val="24"/>
                <w:szCs w:val="24"/>
                <w:color w:val="auto"/>
              </w:rPr>
            </w:pPr>
          </w:p>
        </w:tc>
        <w:tc>
          <w:tcPr>
            <w:tcW w:w="8540" w:type="dxa"/>
            <w:vAlign w:val="bottom"/>
            <w:gridSpan w:val="8"/>
          </w:tcPr>
          <w:p>
            <w:pPr>
              <w:ind w:left="640"/>
              <w:spacing w:after="0"/>
              <w:rPr>
                <w:sz w:val="20"/>
                <w:szCs w:val="20"/>
                <w:color w:val="auto"/>
              </w:rPr>
            </w:pPr>
            <w:r>
              <w:rPr>
                <w:rFonts w:ascii="Arial" w:cs="Arial" w:eastAsia="Arial" w:hAnsi="Arial"/>
                <w:sz w:val="18"/>
                <w:szCs w:val="18"/>
                <w:color w:val="auto"/>
              </w:rPr>
              <w:t>Maturities of our operating lease liabilities as of December 31, 2024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78,442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5,324</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55,933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3,368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86,257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15,736</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401,171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34,926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(80,564)</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(9,567)</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(90,131)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264,964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21,020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March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 years</w:t>
            </w:r>
          </w:p>
        </w:tc>
      </w:tr>
      <w:tr>
        <w:trPr>
          <w:trHeight w:val="239"/>
        </w:trPr>
        <w:tc>
          <w:tcPr>
            <w:tcW w:w="67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7.86 %</w:t>
            </w:r>
          </w:p>
        </w:tc>
        <w:tc>
          <w:tcPr>
            <w:tcW w:w="2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7.89 %</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20,428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18,720</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Right-of-use assets related to new operating lease liabilities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12,073</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right="180" w:hanging="652"/>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operating lease additions are primarily related to the charter for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during the three-month period ended March 31, 2025, and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Shelia Bordelon </w:t>
      </w:r>
      <w:r>
        <w:rPr>
          <w:rFonts w:ascii="Arial" w:cs="Arial" w:eastAsia="Arial" w:hAnsi="Arial"/>
          <w:sz w:val="18"/>
          <w:szCs w:val="18"/>
          <w:color w:val="auto"/>
        </w:rPr>
        <w:t>during the three-month period ended March 31, 2024 (Note 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March 31, 2025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MARAD</w:t>
            </w:r>
          </w:p>
        </w:tc>
        <w:tc>
          <w:tcPr>
            <w:tcW w:w="260" w:type="dxa"/>
            <w:vAlign w:val="bottom"/>
          </w:tcPr>
          <w:p>
            <w:pPr>
              <w:spacing w:after="0"/>
              <w:rPr>
                <w:sz w:val="18"/>
                <w:szCs w:val="18"/>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1"/>
        </w:trPr>
        <w:tc>
          <w:tcPr>
            <w:tcW w:w="2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Debt</w:t>
            </w: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5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9,412</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9,882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9,882</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3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319,294</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discount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(1,129)</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(1,129)</w:t>
            </w:r>
          </w:p>
        </w:tc>
      </w:tr>
      <w:tr>
        <w:trPr>
          <w:trHeight w:val="202"/>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(976)</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(6,080)</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(7,056)</w:t>
            </w:r>
          </w:p>
        </w:tc>
      </w:tr>
      <w:tr>
        <w:trPr>
          <w:trHeight w:val="196"/>
        </w:trPr>
        <w:tc>
          <w:tcPr>
            <w:tcW w:w="5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18,318</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292,791</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311,109</w:t>
            </w:r>
          </w:p>
        </w:tc>
      </w:tr>
      <w:tr>
        <w:trPr>
          <w:trHeight w:val="203"/>
        </w:trPr>
        <w:tc>
          <w:tcPr>
            <w:tcW w:w="5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(9,412)</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(9,412)</w:t>
            </w:r>
          </w:p>
        </w:tc>
      </w:tr>
      <w:tr>
        <w:trPr>
          <w:trHeight w:val="196"/>
        </w:trPr>
        <w:tc>
          <w:tcPr>
            <w:tcW w:w="5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8,906</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292,791</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301,697</w:t>
            </w:r>
          </w:p>
        </w:tc>
      </w:tr>
      <w:tr>
        <w:trPr>
          <w:trHeight w:val="20"/>
        </w:trPr>
        <w:tc>
          <w:tcPr>
            <w:tcW w:w="2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76" w:lineRule="exact"/>
        <w:rPr>
          <w:sz w:val="20"/>
          <w:szCs w:val="20"/>
          <w:color w:val="auto"/>
        </w:rPr>
      </w:pPr>
    </w:p>
    <w:p>
      <w:pPr>
        <w:ind w:left="660" w:right="600" w:hanging="65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discount and debt issuance costs are amortized to interest expense over the term of the applicable debt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our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various amendments (collectively, the “Amended ABL Facility”). The most recent amendment on August 2, 2024 extended the maturity of the Amended ABL Facility and increased the letter of credit basket size. The Amended ABL Facility provides a $120 million asset-based revolving credit facility, which matures on August 2, 2029,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spacing w:after="0" w:line="185"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March 31, 2025, we had no borrowings under the Amended ABL Facility, and our available borrowing capacity, based on the borrowing base, totaled $62.7 million, net of $31.8 million of letters of credit issued.</w:t>
      </w:r>
    </w:p>
    <w:p>
      <w:pPr>
        <w:spacing w:after="0" w:line="179"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7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7"/>
          <w:szCs w:val="17"/>
          <w:color w:val="auto"/>
        </w:rPr>
        <w:t>U.S. borrowings under the Amended ABL Facility bear interest at the Term SOFR rate (also known as CME Term SOFR as administered by CME Group, Inc.) plus a margin of 1.50% to 2.00% or at a base rate plus a margin of 0.50%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8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In 2005, Helix’s subsidiary CDI-Title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CDI-Title XI for so long as the MARAD Debt remains outstanding. The MARAD Debt is payable in equal semi-annual installments through February 2027 and bears interest at a rate of 4.93%.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 (“2029 Notes”)</w:t>
      </w:r>
    </w:p>
    <w:p>
      <w:pPr>
        <w:spacing w:after="0" w:line="210"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color w:val="auto"/>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redeem our former Convertible Senior Notes due 2026 (the “2026 Notes”). See details regarding the redemption of the 2026 Notes below.</w:t>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The 2029 Notes bear interest at a coupon interest rate of 9.75% per annum payable semi-annually in arrears on March 1 and September 1 of each year, beginning on March 1, 2024. The 2029 Notes mature on March 1, 2029 unless earlier redeemed or repurchased by us.</w:t>
      </w:r>
    </w:p>
    <w:p>
      <w:pPr>
        <w:spacing w:after="0" w:line="16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8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104.875%</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8"/>
              </w:rPr>
              <w:t>102.438%</w:t>
            </w: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2028 and thereafter</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100.000%</w:t>
            </w:r>
          </w:p>
        </w:tc>
      </w:tr>
    </w:tbl>
    <w:p>
      <w:pPr>
        <w:spacing w:after="0" w:line="18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spacing w:after="0" w:line="169"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spacing w:after="0" w:line="169"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 Redemption</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January 2024, we issued a notice for the redemption of the remaining $ 40.0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$ 60.2 million cash in March 2024 and recognized pre-tax losses of $20.9 million. These losses are reflected in “Losses related to convertible senior notes” in the accompanying condensed consolidated statement of operations. The 2026 Notes had a coupon interest rate of 6.75% per annum and an effective interest rate of 7.6%. For the three-month period ended March 31, 2024, total interest expense related to the 2026 Notes was $0.4 million with coupon interest expense of $0.3 million and the amortization of debt issuance costs of $0.1 million.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In connection with the 2026 Notes offering, we had entered into capped call transactions (the “2026 Capped Calls”) with three separate counterparties to hedge the dilution risk of the 2026 Notes. Concurrent with the settlement of the 2026 Notes Redemptions in March 2024, we terminated the remaining 2026 Capped Calls and received $ 4.4 million in cash, recognizing an increase to “Common stock” in the shareholders’ equity section of the accompanying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March 31, 2025, we were in compliance with these covenants.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8,239</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8,778</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(3,301)</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5,706</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5,477</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69" w:lineRule="exact"/>
        <w:rPr>
          <w:sz w:val="20"/>
          <w:szCs w:val="20"/>
          <w:color w:val="auto"/>
        </w:rPr>
      </w:pPr>
    </w:p>
    <w:p>
      <w:pPr>
        <w:jc w:val="both"/>
        <w:ind w:right="80" w:firstLine="648"/>
        <w:spacing w:after="0" w:line="244" w:lineRule="auto"/>
        <w:rPr>
          <w:sz w:val="20"/>
          <w:szCs w:val="20"/>
          <w:color w:val="auto"/>
        </w:rPr>
      </w:pPr>
      <w:r>
        <w:rPr>
          <w:rFonts w:ascii="Arial" w:cs="Arial" w:eastAsia="Arial" w:hAnsi="Arial"/>
          <w:sz w:val="18"/>
          <w:szCs w:val="18"/>
          <w:color w:val="auto"/>
        </w:rPr>
        <w:t>For the three-month periods ended March 31, 2025 and 2024, we recognized income tax provision (benefit) of $0.5 million and $(1.7) million, respectively, resulting in effective tax rates of 12.9% and 6.1%, respectively. The effective tax rate for the three-month period ended March 31, 2025 was impacted by a discrete non-U.S. tax benefit. The effective rate for the three-month period ended March 31, 2024 was impacted by the non-deductibility of certain losses associated with the 2026 Notes Redemptions, which was characterized as a discrete event.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Repurchase Programs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February 2023, our Board of Directors (our “Board”) authorized a share repurchase program to repurchase issued and outstanding shares of our common stock up to $200 million (the “2023 Repurchase Program”). As of March 31, 2025, approximately $158.4 million remain authorized for repurchase under the 2023 Repurchase Program.</w:t>
      </w:r>
    </w:p>
    <w:p>
      <w:pPr>
        <w:spacing w:after="0" w:line="16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spacing w:after="0" w:line="16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We provide services to our customers in the following markets that are key to our energy transition strategy: Production maximization, Decommissioning and Renewables. The following tables provide information about disaggregated revenue by contract duration and by market strategy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Production</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140" w:type="dxa"/>
            <w:vAlign w:val="bottom"/>
          </w:tcPr>
          <w:p>
            <w:pPr>
              <w:spacing w:after="0"/>
              <w:rPr>
                <w:sz w:val="17"/>
                <w:szCs w:val="17"/>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21"/>
        </w:trPr>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Abandonment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Facilities</w:t>
            </w: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Eliminations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Revenue</w:t>
            </w:r>
          </w:p>
        </w:tc>
      </w:tr>
      <w:tr>
        <w:trPr>
          <w:trHeight w:val="210"/>
        </w:trPr>
        <w:tc>
          <w:tcPr>
            <w:tcW w:w="2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1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03"/>
        </w:trPr>
        <w:tc>
          <w:tcPr>
            <w:tcW w:w="1820" w:type="dxa"/>
            <w:vAlign w:val="bottom"/>
          </w:tcPr>
          <w:p>
            <w:pPr>
              <w:ind w:left="12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24,223</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22,550</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15,571</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62,292</w:t>
            </w:r>
          </w:p>
        </w:tc>
      </w:tr>
      <w:tr>
        <w:trPr>
          <w:trHeight w:val="203"/>
        </w:trPr>
        <w:tc>
          <w:tcPr>
            <w:tcW w:w="1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Long-term</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174,151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28,492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19,837</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(7,955)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215,772</w:t>
            </w:r>
          </w:p>
        </w:tc>
      </w:tr>
      <w:tr>
        <w:trPr>
          <w:trHeight w:val="196"/>
        </w:trPr>
        <w:tc>
          <w:tcPr>
            <w:tcW w:w="182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8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198,374</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51,042</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16,818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19,837</w:t>
            </w:r>
          </w:p>
        </w:tc>
        <w:tc>
          <w:tcPr>
            <w:tcW w:w="20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(8,007)</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278,064</w:t>
            </w:r>
          </w:p>
        </w:tc>
      </w:tr>
      <w:tr>
        <w:trPr>
          <w:trHeight w:val="20"/>
        </w:trPr>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Three months ended March 31, 2024 </w:t>
      </w:r>
      <w:r>
        <w:rPr>
          <w:rFonts w:ascii="Arial" w:cs="Arial" w:eastAsia="Arial" w:hAnsi="Arial"/>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23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Short-term</w:t>
            </w:r>
          </w:p>
        </w:tc>
        <w:tc>
          <w:tcPr>
            <w:tcW w:w="52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134,414</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25,176</w:t>
            </w:r>
          </w:p>
        </w:tc>
        <w:tc>
          <w:tcPr>
            <w:tcW w:w="56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25,363</w:t>
            </w:r>
          </w:p>
        </w:tc>
        <w:tc>
          <w:tcPr>
            <w:tcW w:w="3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(6,327)</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$ 178,626</w:t>
            </w:r>
          </w:p>
        </w:tc>
      </w:tr>
      <w:tr>
        <w:trPr>
          <w:trHeight w:val="203"/>
        </w:trPr>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76,886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25,133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24,152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(10,076)</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117,585</w:t>
            </w:r>
          </w:p>
        </w:tc>
      </w:tr>
      <w:tr>
        <w:trPr>
          <w:trHeight w:val="196"/>
        </w:trPr>
        <w:tc>
          <w:tcPr>
            <w:tcW w:w="238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211,300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24,152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$ 296,211</w:t>
            </w:r>
          </w:p>
        </w:tc>
      </w:tr>
      <w:tr>
        <w:trPr>
          <w:trHeight w:val="20"/>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0"/>
        </w:trPr>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20" w:type="dxa"/>
            <w:vAlign w:val="bottom"/>
          </w:tcPr>
          <w:p>
            <w:pPr>
              <w:spacing w:after="0"/>
              <w:rPr>
                <w:sz w:val="24"/>
                <w:szCs w:val="24"/>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21"/>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Abandonment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Facilities</w:t>
            </w:r>
          </w:p>
        </w:tc>
        <w:tc>
          <w:tcPr>
            <w:tcW w:w="200" w:type="dxa"/>
            <w:vAlign w:val="bottom"/>
          </w:tcPr>
          <w:p>
            <w:pPr>
              <w:spacing w:after="0"/>
              <w:rPr>
                <w:sz w:val="19"/>
                <w:szCs w:val="19"/>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Eliminations</w:t>
            </w: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r>
      <w:tr>
        <w:trPr>
          <w:trHeight w:val="210"/>
        </w:trPr>
        <w:tc>
          <w:tcPr>
            <w:tcW w:w="2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1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03"/>
        </w:trPr>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Production maximization</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96,962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24,726</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19,837</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(3,972)</w:t>
            </w:r>
          </w:p>
        </w:tc>
        <w:tc>
          <w:tcPr>
            <w:tcW w:w="2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$ 138,629</w:t>
            </w:r>
          </w:p>
        </w:tc>
      </w:tr>
      <w:tr>
        <w:trPr>
          <w:trHeight w:val="203"/>
        </w:trPr>
        <w:tc>
          <w:tcPr>
            <w:tcW w:w="23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Decommissioning</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100,683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116,330</w:t>
            </w:r>
          </w:p>
        </w:tc>
      </w:tr>
      <w:tr>
        <w:trPr>
          <w:trHeight w:val="203"/>
        </w:trPr>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Renewables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16,774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16,850</w:t>
            </w:r>
          </w:p>
        </w:tc>
      </w:tr>
      <w:tr>
        <w:trPr>
          <w:trHeight w:val="203"/>
        </w:trPr>
        <w:tc>
          <w:tcPr>
            <w:tcW w:w="23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6,255</w:t>
            </w:r>
          </w:p>
        </w:tc>
      </w:tr>
      <w:tr>
        <w:trPr>
          <w:trHeight w:val="196"/>
        </w:trPr>
        <w:tc>
          <w:tcPr>
            <w:tcW w:w="238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198,374</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51,042</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16,818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19,837</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$ 278,064</w:t>
            </w:r>
          </w:p>
        </w:tc>
      </w:tr>
      <w:tr>
        <w:trPr>
          <w:trHeight w:val="20"/>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Three months ended March 31, 2024 </w:t>
      </w:r>
      <w:r>
        <w:rPr>
          <w:rFonts w:ascii="Arial" w:cs="Arial" w:eastAsia="Arial" w:hAnsi="Arial"/>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24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Production maximization</w:t>
            </w:r>
          </w:p>
        </w:tc>
        <w:tc>
          <w:tcPr>
            <w:tcW w:w="42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69,935</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18,436</w:t>
            </w:r>
          </w:p>
        </w:tc>
        <w:tc>
          <w:tcPr>
            <w:tcW w:w="560" w:type="dxa"/>
            <w:vAlign w:val="bottom"/>
            <w:gridSpan w:val="2"/>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3,242</w:t>
            </w:r>
          </w:p>
        </w:tc>
        <w:tc>
          <w:tcPr>
            <w:tcW w:w="42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24,152</w:t>
            </w:r>
          </w:p>
        </w:tc>
        <w:tc>
          <w:tcPr>
            <w:tcW w:w="52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(10,878)</w:t>
            </w:r>
          </w:p>
        </w:tc>
        <w:tc>
          <w:tcPr>
            <w:tcW w:w="3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104,887</w:t>
            </w:r>
          </w:p>
        </w:tc>
      </w:tr>
      <w:tr>
        <w:trPr>
          <w:trHeight w:val="203"/>
        </w:trPr>
        <w:tc>
          <w:tcPr>
            <w:tcW w:w="2480" w:type="dxa"/>
            <w:vAlign w:val="bottom"/>
          </w:tcPr>
          <w:p>
            <w:pPr>
              <w:ind w:left="120"/>
              <w:spacing w:after="0" w:line="202" w:lineRule="exact"/>
              <w:rPr>
                <w:sz w:val="20"/>
                <w:szCs w:val="20"/>
                <w:color w:val="auto"/>
              </w:rPr>
            </w:pPr>
            <w:r>
              <w:rPr>
                <w:rFonts w:ascii="Arial" w:cs="Arial" w:eastAsia="Arial" w:hAnsi="Arial"/>
                <w:sz w:val="18"/>
                <w:szCs w:val="18"/>
                <w:color w:val="auto"/>
              </w:rPr>
              <w:t>Decommissioning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141,278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5,412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23,611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164,780</w:t>
            </w:r>
          </w:p>
        </w:tc>
      </w:tr>
      <w:tr>
        <w:trPr>
          <w:trHeight w:val="203"/>
        </w:trPr>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Renewables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24,172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24,172</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2,289</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2,372</w:t>
            </w:r>
          </w:p>
        </w:tc>
      </w:tr>
      <w:tr>
        <w:trPr>
          <w:trHeight w:val="196"/>
        </w:trPr>
        <w:tc>
          <w:tcPr>
            <w:tcW w:w="24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211,300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50,309</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24,152</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(16,403)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296,211</w:t>
            </w:r>
          </w:p>
        </w:tc>
      </w:tr>
      <w:tr>
        <w:trPr>
          <w:trHeight w:val="20"/>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76" w:lineRule="exact"/>
        <w:rPr>
          <w:sz w:val="20"/>
          <w:szCs w:val="20"/>
          <w:color w:val="auto"/>
        </w:rPr>
      </w:pPr>
    </w:p>
    <w:p>
      <w:pPr>
        <w:ind w:left="660" w:right="80" w:hanging="652"/>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three-month period ended March 31, 2024, $5.2 million have been removed from Well Intervention segment revenues and related intersegment eliminations. See Note 11 regarding this change in prior year reported segment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0" w:lineRule="exact"/>
        <w:rPr>
          <w:sz w:val="20"/>
          <w:szCs w:val="20"/>
          <w:color w:val="auto"/>
        </w:rPr>
      </w:pPr>
    </w:p>
    <w:p>
      <w:pPr>
        <w:ind w:right="180" w:firstLine="648"/>
        <w:spacing w:after="0" w:line="244" w:lineRule="auto"/>
        <w:rPr>
          <w:sz w:val="20"/>
          <w:szCs w:val="20"/>
          <w:color w:val="auto"/>
        </w:rPr>
      </w:pPr>
      <w:r>
        <w:rPr>
          <w:rFonts w:ascii="Arial" w:cs="Arial" w:eastAsia="Arial" w:hAnsi="Arial"/>
          <w:sz w:val="18"/>
          <w:szCs w:val="18"/>
          <w:color w:val="auto"/>
        </w:rPr>
        <w:t>Net contract assets were $26.0 million as of March 31, 2025 and $12.2 million as of December 31, 2024 and are reflected in “Other current assets” in the accompanying condensed consolidated balance sheets (Note 3). The increase in net contract assets was primarily attributable to more revenue recognized for demobilization fees and more revenue recognized in excess of the amount billed to the customer for lump sum contracts. We had no credit losses on our contract assets for the three-month periods ended March 31, 2025 and 2024.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Net contract liabilities totaled $40.2 million as of March 31, 2025 and $15.6 million as of December 31, 2024 and are reflected as “Deferred revenue,” a component of “Accrued liabilities” and ‘Other non-current liabilities” in the accompanying condensed consolidated balance sheets (Note 3). The increase was primarily attributable to the increase in deferred mobilization revenue due to the timing of mobilization payments for contracts. Revenue recognized for the three-month periods ended March 31, 2025 and 2024 included $15.6 million and $16.4 million, respectively, that were included in the contract liability balance at the beginning of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As of March 31, 2025, $1.4 billion related to unsatisfied performance obligations was expected to be recognized as revenue in the future, with $592.1 million, $ 429.3 million and $394.4 million in 2025, 2026, 2027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March 31, 2025.</w:t>
      </w:r>
    </w:p>
    <w:p>
      <w:pPr>
        <w:spacing w:after="0" w:line="179"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For the three-month periods ended March 31, 2025 and 2024, revenues recognized from performance obligations satisfied (or partially satisfied) in previous periods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Deferred contract costs are reflected as “Deferred costs,” a component of “Other current assets” and “Other assets, net” in the accompanying condensed consolidated balance sheets (Note 3). Our deferred contract costs totaled $43.2 million as of March 31, 2025 and $37.2 million as of December 31, 2024. For the three-month periods ended March 31, 2025 and 2024, we recorded $16.4 million and $ 20.3 million, respectively, related to amortization of these deferred contract costs. There were no associated impairment losses for any period presented.</w:t>
      </w:r>
    </w:p>
    <w:p>
      <w:pPr>
        <w:spacing w:after="0" w:line="176" w:lineRule="exact"/>
        <w:rPr>
          <w:sz w:val="20"/>
          <w:szCs w:val="20"/>
          <w:color w:val="auto"/>
        </w:rPr>
      </w:pPr>
    </w:p>
    <w:p>
      <w:pPr>
        <w:ind w:right="1240" w:firstLine="648"/>
        <w:spacing w:after="0" w:line="477" w:lineRule="auto"/>
        <w:rPr>
          <w:sz w:val="20"/>
          <w:szCs w:val="20"/>
          <w:color w:val="auto"/>
        </w:rPr>
      </w:pPr>
      <w:r>
        <w:rPr>
          <w:rFonts w:ascii="Arial" w:cs="Arial" w:eastAsia="Arial" w:hAnsi="Arial"/>
          <w:sz w:val="18"/>
          <w:szCs w:val="18"/>
          <w:color w:val="auto"/>
        </w:rPr>
        <w:t xml:space="preserve">For additional information regarding revenue recognition, see Notes 2 and 11 to our 2024 Form 10-K. </w:t>
      </w:r>
      <w:r>
        <w:rPr>
          <w:rFonts w:ascii="Arial" w:cs="Arial" w:eastAsia="Arial" w:hAnsi="Arial"/>
          <w:sz w:val="18"/>
          <w:szCs w:val="18"/>
          <w:b w:val="1"/>
          <w:bCs w:val="1"/>
          <w:color w:val="auto"/>
        </w:rPr>
        <w:t>Note 9 — Earnings Per Share</w:t>
      </w:r>
    </w:p>
    <w:p>
      <w:pPr>
        <w:spacing w:after="0" w:line="1" w:lineRule="exact"/>
        <w:rPr>
          <w:sz w:val="20"/>
          <w:szCs w:val="20"/>
          <w:color w:val="auto"/>
        </w:rPr>
      </w:pPr>
    </w:p>
    <w:p>
      <w:pPr>
        <w:jc w:val="both"/>
        <w:ind w:right="400" w:firstLine="648"/>
        <w:spacing w:after="0" w:line="253" w:lineRule="auto"/>
        <w:rPr>
          <w:sz w:val="20"/>
          <w:szCs w:val="20"/>
          <w:color w:val="auto"/>
        </w:rPr>
      </w:pPr>
      <w:r>
        <w:rPr>
          <w:rFonts w:ascii="Arial" w:cs="Arial" w:eastAsia="Arial" w:hAnsi="Arial"/>
          <w:sz w:val="18"/>
          <w:szCs w:val="18"/>
          <w:color w:val="auto"/>
        </w:rPr>
        <w:t>The computations of the numerator (earnings or loss) and denominator (shares) to derive the basic and diluted earnings per share (“EPS”) amounts presented on the face of the accompanying condensed consolidated statements of operations are as follows (in thousands,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March 31, 2025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March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3,072</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(26,287)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Pr>
          <w:p>
            <w:pPr>
              <w:spacing w:after="0" w:line="196" w:lineRule="exact"/>
              <w:rPr>
                <w:sz w:val="20"/>
                <w:szCs w:val="20"/>
                <w:color w:val="auto"/>
              </w:rPr>
            </w:pPr>
            <w:r>
              <w:rPr>
                <w:rFonts w:ascii="Arial" w:cs="Arial" w:eastAsia="Arial" w:hAnsi="Arial"/>
                <w:sz w:val="18"/>
                <w:szCs w:val="18"/>
                <w:color w:val="auto"/>
              </w:rPr>
              <w:t>Net income (loss) available to common shareholders, basic</w:t>
            </w:r>
          </w:p>
        </w:tc>
        <w:tc>
          <w:tcPr>
            <w:tcW w:w="20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3,070</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151,039</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(26,287)</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152,369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Earnings (loss) per share, basic</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 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151,039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(26,287)</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3,070</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152,174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(26,287)</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diluted</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color w:val="auto"/>
        </w:rPr>
        <w:t>We had a net loss for the three-month period ended March 31, 2024. Accordingly, our diluted EPS calculation for this period excluded the dilutive effect of share-based awards because they were deemed to be anti-dilutive, meaning their inclusion would have reduced the reported net loss per share in the applicable period. Shares that otherwise would have been included in the diluted per share calculations assuming we had earnings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778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March 31,</w:t>
            </w:r>
          </w:p>
        </w:tc>
      </w:tr>
      <w:tr>
        <w:trPr>
          <w:trHeight w:val="196"/>
        </w:trPr>
        <w:tc>
          <w:tcPr>
            <w:tcW w:w="778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152,369</w:t>
            </w:r>
          </w:p>
        </w:tc>
      </w:tr>
      <w:tr>
        <w:trPr>
          <w:trHeight w:val="202"/>
        </w:trPr>
        <w:tc>
          <w:tcPr>
            <w:tcW w:w="7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2,705</w:t>
            </w:r>
          </w:p>
        </w:tc>
      </w:tr>
      <w:tr>
        <w:trPr>
          <w:trHeight w:val="196"/>
        </w:trPr>
        <w:tc>
          <w:tcPr>
            <w:tcW w:w="77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155,074</w:t>
            </w:r>
          </w:p>
        </w:tc>
      </w:tr>
      <w:tr>
        <w:trPr>
          <w:trHeight w:val="20"/>
        </w:trPr>
        <w:tc>
          <w:tcPr>
            <w:tcW w:w="77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2026 Notes were excluded from the diluted EPS calculation as they were anti-dilutive (in thousands):</w:t>
      </w:r>
    </w:p>
    <w:p>
      <w:pPr>
        <w:spacing w:after="0" w:line="73"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-1905</wp:posOffset>
            </wp:positionV>
            <wp:extent cx="18256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7500"/>
        <w:spacing w:after="0"/>
        <w:tabs>
          <w:tab w:leader="none" w:pos="904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tabs>
          <w:tab w:leader="none" w:pos="8080" w:val="left"/>
          <w:tab w:leader="none" w:pos="9380" w:val="left"/>
        </w:tabs>
        <w:rPr>
          <w:sz w:val="20"/>
          <w:szCs w:val="20"/>
          <w:color w:val="auto"/>
        </w:rPr>
      </w:pPr>
      <w:r>
        <w:rPr>
          <w:rFonts w:ascii="Arial" w:cs="Arial" w:eastAsia="Arial" w:hAnsi="Arial"/>
          <w:sz w:val="18"/>
          <w:szCs w:val="18"/>
          <w:color w:val="auto"/>
        </w:rPr>
        <w:t>2026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We have outstanding restricted stock units (“RSUs”) (Note 10) that can be settled in either cash or shares of our common stock, or a combination thereof, which are not included in the computation of diluted EPS as cash settlement is assumed.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As of March 31, 2025, there were approximately 8.1 million shares of our common stock available for issuance under the 2005 Incentive Plan, assuming outstanding performance share units (“PSUs”) vest in shares of our common stock at 100% of the original awards and outstanding RSUs are settled in cash. During the three-month period ended March 31, 2025, the following grants of share-based awards were made under the 2005 Incentive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Vesting Period/Vesting Date</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443,401</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(2)</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397,264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December 31, 2027</w:t>
            </w:r>
          </w:p>
        </w:tc>
      </w:tr>
      <w:tr>
        <w:trPr>
          <w:trHeight w:val="202"/>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(3)</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2027</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certain officers including our executive officers.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140"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We grant restricted stock to members of our Board and from time to time our executive officers and select management employees. For the three-month periods ended March 31, 2025 and 2024, we recognized $0.2 million and $0.3 million, respectively, as share-based compensation related to restricted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outstanding PSUs can be settled in either cash or shares of our common stock, or a combination thereof, at the discretion of the Compensation Committee of our Board upon vesting and generally have been accounted for as equity awards. Those PSUs consist of two components measured across a three-year performance period: (i) 50% based on the performance of our common stock against peer group companies (TSR component), which component contains a service and a market condition, and (ii) 50% based on cumulative total Free Cash Flow (FCF component), which component contains a service and a performance condition.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spacing w:after="0" w:line="18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For each of the three-month periods ended March 31, 2025 and 2024, $1.3 million were recognized as share-based compensation related to PSUs. In the first quarter 2025, based on the performance of our common stock price as compared to our performance peer group and our cumulative total Free Cash Flow, in each case over a three-year performance period, 1,065,705 PSUs granted in 2022 vested at 200%, resulting in 1,958,334 shares of our common stock with a total market value of $18.3 million and $1.6 million of cash.</w:t>
      </w:r>
    </w:p>
    <w:p>
      <w:pPr>
        <w:spacing w:after="0" w:line="176"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Our currently outstanding RSUs can be settled in either cash or shares of our common stock, or a combination thereof, at the discretion of the Compensation Committee of our Board upon vesting and generally have been accounted for as liability awards. For the three-month periods ended March 31, 2025 and 2024, $1.0 million and $1.5 million, respectively, were recognized as compensation cost.</w:t>
      </w:r>
    </w:p>
    <w:p>
      <w:pPr>
        <w:spacing w:after="0" w:line="174"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During the three-month period ended March 31, 2025 and the year ended December 31, 2024, we granted fixed-value cash awards of $6.7 million and $6.1 million, respectively, to select management employees under the 2005 Incentive Plan. The value of these cash awards is recognized on a straight-line basis over a vesting period of three years. For the three-month periods ended March 31, 2025 and 2024, $1.5 million and $1.4 million, respectively, were recognized as compensation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10"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8"/>
          <w:szCs w:val="18"/>
          <w:color w:val="auto"/>
        </w:rPr>
        <w:t>We sponsor a defined contribution 401(k) retirement plan in the U.S. We also contribute to various other defined contribution plans globally. For the three-month periods ended March 31, 2025 and 2024, we made contributions to our defined contribution plans totaling $1.5 million and $1.4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10"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As of March 31, 2025, 0.9 million shares were available for issuance under the ESPP. The ESPP currently has a purchase limit of 260 shares per employee per purchase period.</w:t>
      </w:r>
    </w:p>
    <w:p>
      <w:pPr>
        <w:spacing w:after="0" w:line="154" w:lineRule="exact"/>
        <w:rPr>
          <w:sz w:val="20"/>
          <w:szCs w:val="20"/>
          <w:color w:val="auto"/>
        </w:rPr>
      </w:pPr>
    </w:p>
    <w:p>
      <w:pPr>
        <w:ind w:right="820" w:firstLine="648"/>
        <w:spacing w:after="0" w:line="271" w:lineRule="auto"/>
        <w:rPr>
          <w:sz w:val="20"/>
          <w:szCs w:val="20"/>
          <w:color w:val="auto"/>
        </w:rPr>
      </w:pPr>
      <w:r>
        <w:rPr>
          <w:rFonts w:ascii="Arial" w:cs="Arial" w:eastAsia="Arial" w:hAnsi="Arial"/>
          <w:sz w:val="18"/>
          <w:szCs w:val="18"/>
          <w:color w:val="auto"/>
        </w:rPr>
        <w:t>For more information regarding our employee benefit plans, including the 2005 Incentive Plan, the defined contribution plans and the ESPP, see Note 13 to our 2024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12" w:lineRule="exact"/>
        <w:rPr>
          <w:sz w:val="20"/>
          <w:szCs w:val="20"/>
          <w:color w:val="auto"/>
        </w:rPr>
      </w:pPr>
    </w:p>
    <w:p>
      <w:pPr>
        <w:ind w:right="320" w:firstLine="648"/>
        <w:spacing w:after="0" w:line="244"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These reportable segments are strategic business units that utilize different mix of vessels and/or equipment to perform different types of services. All material intercompany transactions between the segments have been eliminated. See Note 2 for more information on our business segments.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17"/>
                <w:szCs w:val="17"/>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Production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Facilities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2025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198,374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43,087</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16,766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19,837</w:t>
            </w:r>
          </w:p>
        </w:tc>
        <w:tc>
          <w:tcPr>
            <w:tcW w:w="200" w:type="dxa"/>
            <w:vAlign w:val="bottom"/>
          </w:tcPr>
          <w:p>
            <w:pPr>
              <w:spacing w:after="0"/>
              <w:rPr>
                <w:sz w:val="17"/>
                <w:szCs w:val="17"/>
                <w:color w:val="auto"/>
              </w:rPr>
            </w:pP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278,064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198,374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51,042</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16,818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19,837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286,071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Borders>
              <w:bottom w:val="single" w:sz="8" w:color="CCEEFF"/>
            </w:tcBorders>
            <w:gridSpan w:val="2"/>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278,064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(41,635)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Segment operating income (loss)</w:t>
            </w:r>
          </w:p>
        </w:tc>
        <w:tc>
          <w:tcPr>
            <w:tcW w:w="200" w:type="dxa"/>
            <w:vAlign w:val="bottom"/>
          </w:tcPr>
          <w:p>
            <w:pPr>
              <w:spacing w:after="0"/>
              <w:rPr>
                <w:sz w:val="20"/>
                <w:szCs w:val="20"/>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19,970</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5,347</w:t>
            </w:r>
          </w:p>
        </w:tc>
        <w:tc>
          <w:tcPr>
            <w:tcW w:w="200" w:type="dxa"/>
            <w:vAlign w:val="bottom"/>
          </w:tcPr>
          <w:p>
            <w:pPr>
              <w:spacing w:after="0"/>
              <w:rPr>
                <w:sz w:val="20"/>
                <w:szCs w:val="20"/>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(13,441)</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6,944</w:t>
            </w:r>
          </w:p>
        </w:tc>
        <w:tc>
          <w:tcPr>
            <w:tcW w:w="200" w:type="dxa"/>
            <w:vAlign w:val="bottom"/>
          </w:tcPr>
          <w:p>
            <w:pPr>
              <w:spacing w:after="0"/>
              <w:rPr>
                <w:sz w:val="20"/>
                <w:szCs w:val="20"/>
                <w:color w:val="auto"/>
              </w:rPr>
            </w:pPr>
          </w:p>
        </w:tc>
        <w:tc>
          <w:tcPr>
            <w:tcW w:w="220" w:type="dxa"/>
            <w:vAlign w:val="bottom"/>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Three months ended March 31, 2024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205,207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40,081</w:t>
            </w:r>
          </w:p>
        </w:tc>
        <w:tc>
          <w:tcPr>
            <w:tcW w:w="5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24,152</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10,228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211,300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50,309</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26,853</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24,152</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gridSpan w:val="2"/>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CCEEFF"/>
            </w:tcBorders>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(184,193)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(40,713)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(33,224)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(25,315)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Segment operating income (loss)</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18,679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5,450</w:t>
            </w: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(12,428)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(1,543)</w:t>
            </w:r>
          </w:p>
        </w:tc>
        <w:tc>
          <w:tcPr>
            <w:tcW w:w="20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0" w:hanging="652"/>
        <w:spacing w:after="0" w:line="24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Intersegment amounts are derived primarily from equipment and services provided to other business segments. Beginning in 2024, certain intersegment revenues of Well Intervention are no longer evaluated by the CODM in his assessment of the segment’s results as those revenues are pass-through amounts related to non-core services. For the three-month period ended March 31, 2024, $5.2 million have been removed from Well Intervention segment revenues and related intersegment eliminations. This change has no impact on our segment profit or our consolidated revenues and operating income (loss).</w:t>
      </w:r>
    </w:p>
    <w:p>
      <w:pPr>
        <w:spacing w:after="0" w:line="70" w:lineRule="exact"/>
        <w:rPr>
          <w:rFonts w:ascii="Arial" w:cs="Arial" w:eastAsia="Arial" w:hAnsi="Arial"/>
          <w:sz w:val="18"/>
          <w:szCs w:val="18"/>
          <w:color w:val="auto"/>
        </w:rPr>
      </w:pPr>
    </w:p>
    <w:p>
      <w:pPr>
        <w:ind w:left="660" w:right="180" w:hanging="652"/>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shown.</w:t>
      </w:r>
    </w:p>
    <w:p>
      <w:pPr>
        <w:spacing w:after="0" w:line="4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segment items relate to gain (loss) on disposition of assets, net.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reconciliation of segment profit to income (loss) before income taxes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Reconciliation of segment profit —</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Segment operating income</w:t>
            </w:r>
          </w:p>
        </w:tc>
        <w:tc>
          <w:tcPr>
            <w:tcW w:w="3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18,820</w:t>
            </w:r>
          </w:p>
        </w:tc>
        <w:tc>
          <w:tcPr>
            <w:tcW w:w="120" w:type="dxa"/>
            <w:vAlign w:val="bottom"/>
          </w:tcPr>
          <w:p>
            <w:pPr>
              <w:spacing w:after="0"/>
              <w:rPr>
                <w:sz w:val="17"/>
                <w:szCs w:val="17"/>
                <w:color w:val="auto"/>
              </w:rPr>
            </w:pPr>
          </w:p>
        </w:tc>
        <w:tc>
          <w:tcPr>
            <w:tcW w:w="5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(10,648)</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(5,706)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Other non-operating expense, net</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bottom w:val="single" w:sz="8" w:color="CCEEFF"/>
            </w:tcBorders>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(loss) before income taxes</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gridSpan w:val="2"/>
            <w:vMerge w:val="restart"/>
          </w:tcPr>
          <w:p>
            <w:pPr>
              <w:ind w:left="640"/>
              <w:spacing w:after="0"/>
              <w:rPr>
                <w:sz w:val="20"/>
                <w:szCs w:val="20"/>
                <w:color w:val="auto"/>
              </w:rPr>
            </w:pPr>
            <w:r>
              <w:rPr>
                <w:rFonts w:ascii="Arial" w:cs="Arial" w:eastAsia="Arial" w:hAnsi="Arial"/>
                <w:sz w:val="18"/>
                <w:szCs w:val="18"/>
                <w:color w:val="auto"/>
              </w:rPr>
              <w:t>The following items are also regularly provided to the CODM (in thousands):</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6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3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2,968</w:t>
            </w:r>
          </w:p>
        </w:tc>
        <w:tc>
          <w:tcPr>
            <w:tcW w:w="120" w:type="dxa"/>
            <w:vAlign w:val="bottom"/>
          </w:tcPr>
          <w:p>
            <w:pPr>
              <w:spacing w:after="0"/>
              <w:rPr>
                <w:sz w:val="17"/>
                <w:szCs w:val="17"/>
                <w:color w:val="auto"/>
              </w:rPr>
            </w:pPr>
          </w:p>
        </w:tc>
        <w:tc>
          <w:tcPr>
            <w:tcW w:w="5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3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30,591</w:t>
            </w:r>
          </w:p>
        </w:tc>
        <w:tc>
          <w:tcPr>
            <w:tcW w:w="120" w:type="dxa"/>
            <w:vAlign w:val="bottom"/>
          </w:tcPr>
          <w:p>
            <w:pPr>
              <w:spacing w:after="0"/>
              <w:rPr>
                <w:sz w:val="17"/>
                <w:szCs w:val="17"/>
                <w:color w:val="auto"/>
              </w:rPr>
            </w:pPr>
          </w:p>
        </w:tc>
        <w:tc>
          <w:tcPr>
            <w:tcW w:w="5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5,678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42,482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60" w:hanging="65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 cash paid principally for the acquisition, construction, upgrade, modification and refurbishment of long-lived property and equipment.</w:t>
      </w:r>
    </w:p>
    <w:p>
      <w:pPr>
        <w:spacing w:after="0" w:line="45" w:lineRule="exact"/>
        <w:rPr>
          <w:rFonts w:ascii="Arial" w:cs="Arial" w:eastAsia="Arial" w:hAnsi="Arial"/>
          <w:sz w:val="18"/>
          <w:szCs w:val="18"/>
          <w:color w:val="auto"/>
        </w:rPr>
      </w:pPr>
    </w:p>
    <w:p>
      <w:pPr>
        <w:ind w:left="660" w:right="80" w:hanging="652"/>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aggregate of depreciation and amortization expense related to property and equipment and deferred recertification and dry dock costs, which is included within the segment expense captions “Direct cost of revenues” and “Selling, general and administrative expenses” as well as the line item caption “Corporate, eliminations and other” presented above.</w:t>
      </w:r>
    </w:p>
    <w:p>
      <w:pPr>
        <w:spacing w:after="0" w:line="160" w:lineRule="exact"/>
        <w:rPr>
          <w:sz w:val="20"/>
          <w:szCs w:val="20"/>
          <w:color w:val="auto"/>
        </w:rPr>
      </w:pPr>
    </w:p>
    <w:p>
      <w:pPr>
        <w:ind w:right="960" w:firstLine="648"/>
        <w:spacing w:after="0" w:line="271" w:lineRule="auto"/>
        <w:rPr>
          <w:sz w:val="20"/>
          <w:szCs w:val="20"/>
          <w:color w:val="auto"/>
        </w:rPr>
      </w:pPr>
      <w:r>
        <w:rPr>
          <w:rFonts w:ascii="Arial" w:cs="Arial" w:eastAsia="Arial" w:hAnsi="Arial"/>
          <w:sz w:val="18"/>
          <w:szCs w:val="18"/>
          <w:color w:val="auto"/>
        </w:rPr>
        <w:t>The CODM does not regularly review segment asset information as management’s focus is on operating performance and cash flow generation. As such, we have omitted the disclosure of total assets by segment.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 Retirement Obligations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asset retirement obligations (“AROs”) relate to mature offshore oil and gas properties (Droshky and Thunder Hawk Field) that we acquired with the intention to perform decommissioning work at the end of their life cycles. The following table describes the changes in our AROs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5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62,947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1,408</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March 31,</w:t>
            </w:r>
          </w:p>
        </w:tc>
        <w:tc>
          <w:tcPr>
            <w:tcW w:w="3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64,355</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560" w:type="dxa"/>
            <w:vAlign w:val="bottom"/>
            <w:vMerge w:val="restart"/>
          </w:tcPr>
          <w:p>
            <w:pPr>
              <w:jc w:val="right"/>
              <w:ind w:right="165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2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jc w:val="both"/>
        <w:ind w:right="200" w:firstLine="648"/>
        <w:spacing w:after="0" w:line="242" w:lineRule="auto"/>
        <w:rPr>
          <w:sz w:val="20"/>
          <w:szCs w:val="20"/>
          <w:color w:val="auto"/>
        </w:rPr>
      </w:pPr>
      <w:r>
        <w:rPr>
          <w:rFonts w:ascii="Arial" w:cs="Arial" w:eastAsia="Arial" w:hAnsi="Arial"/>
          <w:sz w:val="18"/>
          <w:szCs w:val="18"/>
          <w:color w:val="auto"/>
        </w:rPr>
        <w:t xml:space="preserve">Our Well Intervention segment has long-term charter agreements with Sea1 Offshore (formerly Siem Offshore)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whose terms expire in December 2030 and December 2031, respectively. Our Robotics segment has 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the </w:t>
      </w:r>
      <w:r>
        <w:rPr>
          <w:rFonts w:ascii="Arial" w:cs="Arial" w:eastAsia="Arial" w:hAnsi="Arial"/>
          <w:sz w:val="18"/>
          <w:szCs w:val="18"/>
          <w:i w:val="1"/>
          <w:iCs w:val="1"/>
          <w:color w:val="auto"/>
        </w:rPr>
        <w:t>North Sea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Enabler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Glomar Wave</w:t>
      </w:r>
      <w:r>
        <w:rPr>
          <w:rFonts w:ascii="Arial" w:cs="Arial" w:eastAsia="Arial" w:hAnsi="Arial"/>
          <w:sz w:val="18"/>
          <w:szCs w:val="18"/>
          <w:color w:val="auto"/>
        </w:rPr>
        <w:t>, which charter terms expire in December 2030, May 2028, June 2026, December 2025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2025, respectively. In February 2025, our Robotics segment took delivery of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with a three-year charter that expires in February 2028. On April 1, 2025, we extended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charter by one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are involved in various legal proceedings in the normal course of business, including claims under the General Maritime Laws of the United States and the Merchant Marine Act of 1920 (commonly referred to as the Jones Act), contract-related disputes, employee-related disputes and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Statement of Cash Flow Information</w:t>
      </w:r>
    </w:p>
    <w:p>
      <w:pPr>
        <w:spacing w:after="0" w:line="21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The following table provides supplemental cash flow information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15,324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9,613</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4,504</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were $0.2 million at March 31, 2025 and $0.1 million at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Allowance for Credit Losses</w:t>
      </w:r>
    </w:p>
    <w:p>
      <w:pPr>
        <w:spacing w:after="0" w:line="212" w:lineRule="exact"/>
        <w:rPr>
          <w:sz w:val="20"/>
          <w:szCs w:val="20"/>
          <w:color w:val="auto"/>
        </w:rPr>
      </w:pPr>
    </w:p>
    <w:p>
      <w:pPr>
        <w:jc w:val="both"/>
        <w:ind w:right="240" w:firstLine="648"/>
        <w:spacing w:after="0" w:line="247"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3,407</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March 31,</w:t>
            </w:r>
          </w:p>
        </w:tc>
        <w:tc>
          <w:tcPr>
            <w:tcW w:w="4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3,597</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3,700</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reflect reserves for expected credit losses during the respective periods.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86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540"/>
              <w:spacing w:after="0"/>
              <w:rPr>
                <w:sz w:val="20"/>
                <w:szCs w:val="20"/>
                <w:color w:val="auto"/>
              </w:rPr>
            </w:pPr>
            <w:r>
              <w:rPr>
                <w:rFonts w:ascii="Arial" w:cs="Arial" w:eastAsia="Arial" w:hAnsi="Arial"/>
                <w:sz w:val="18"/>
                <w:szCs w:val="18"/>
                <w:b w:val="1"/>
                <w:bCs w:val="1"/>
                <w:color w:val="auto"/>
              </w:rPr>
              <w:t>March 31, 2025</w:t>
            </w:r>
          </w:p>
        </w:tc>
        <w:tc>
          <w:tcPr>
            <w:tcW w:w="120" w:type="dxa"/>
            <w:vAlign w:val="bottom"/>
          </w:tcPr>
          <w:p>
            <w:pPr>
              <w:spacing w:after="0"/>
              <w:rPr>
                <w:sz w:val="19"/>
                <w:szCs w:val="19"/>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2024</w:t>
            </w:r>
          </w:p>
        </w:tc>
      </w:tr>
      <w:tr>
        <w:trPr>
          <w:trHeight w:val="168"/>
        </w:trPr>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50"/>
              <w:spacing w:after="0" w:line="168" w:lineRule="exact"/>
              <w:rPr>
                <w:sz w:val="20"/>
                <w:szCs w:val="20"/>
                <w:color w:val="auto"/>
              </w:rPr>
            </w:pPr>
            <w:r>
              <w:rPr>
                <w:rFonts w:ascii="Arial" w:cs="Arial" w:eastAsia="Arial" w:hAnsi="Arial"/>
                <w:sz w:val="18"/>
                <w:szCs w:val="18"/>
                <w:b w:val="1"/>
                <w:bCs w:val="1"/>
                <w:color w:val="auto"/>
              </w:rPr>
              <w:t>Principal</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2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1"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10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18,994</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23,505</w:t>
            </w:r>
          </w:p>
        </w:tc>
      </w:tr>
      <w:tr>
        <w:trPr>
          <w:trHeight w:val="203"/>
        </w:trPr>
        <w:tc>
          <w:tcPr>
            <w:tcW w:w="43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321,000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319,500</w:t>
            </w:r>
          </w:p>
        </w:tc>
      </w:tr>
      <w:tr>
        <w:trPr>
          <w:trHeight w:val="196"/>
        </w:trPr>
        <w:tc>
          <w:tcPr>
            <w:tcW w:w="436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319,294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339,994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323,831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343,005</w:t>
            </w:r>
          </w:p>
        </w:tc>
      </w:tr>
      <w:tr>
        <w:trPr>
          <w:trHeight w:val="20"/>
        </w:trPr>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ind w:left="660" w:right="60" w:hanging="65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discount and debt issuance costs. See Note 5 for additional disclosures on our long-term debt.</w:t>
      </w:r>
    </w:p>
    <w:p>
      <w:pPr>
        <w:spacing w:after="0" w:line="45" w:lineRule="exact"/>
        <w:rPr>
          <w:rFonts w:ascii="Arial" w:cs="Arial" w:eastAsia="Arial" w:hAnsi="Arial"/>
          <w:sz w:val="18"/>
          <w:szCs w:val="18"/>
          <w:color w:val="auto"/>
        </w:rPr>
      </w:pPr>
    </w:p>
    <w:p>
      <w:pPr>
        <w:ind w:left="660" w:right="460" w:hanging="65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estimated fair value was determined using Level 2 fair value inputs under the market approach, which was determined using quotes in inactive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0" w:lineRule="exact"/>
        <w:rPr>
          <w:sz w:val="20"/>
          <w:szCs w:val="20"/>
          <w:color w:val="auto"/>
        </w:rPr>
      </w:pPr>
    </w:p>
    <w:p>
      <w:pPr>
        <w:ind w:left="680" w:right="720" w:hanging="321"/>
        <w:spacing w:after="0" w:line="24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4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cash flows, future operations expenditures or other financial items;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4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jc w:val="both"/>
        <w:ind w:left="680" w:right="3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2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energy transition and energy security;</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identify, effect and integrate mergers, acquisitions, joint ventures or other transactions and any subsequently identified legacy issues with respect thereto;</w:t>
      </w:r>
    </w:p>
    <w:p>
      <w:pPr>
        <w:ind w:left="680" w:right="560" w:hanging="321"/>
        <w:spacing w:after="0" w:line="248" w:lineRule="auto"/>
        <w:tabs>
          <w:tab w:leader="none" w:pos="68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statements regarding the acquisition, construction, completion, upgrades to or maintenance and/or regulatory certification of vessels, systems or equipment and any anticipated costs or downtime related thereto;</w:t>
      </w:r>
    </w:p>
    <w:p>
      <w:pPr>
        <w:ind w:left="680" w:right="3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right="340" w:hanging="321"/>
        <w:spacing w:after="0" w:line="24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Times New Roman" w:cs="Times New Roman" w:eastAsia="Times New Roman" w:hAnsi="Times New Roman"/>
          <w:sz w:val="18"/>
          <w:szCs w:val="18"/>
          <w:color w:val="auto"/>
        </w:rPr>
      </w:pPr>
    </w:p>
    <w:p>
      <w:pPr>
        <w:ind w:left="680" w:right="2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sustainability initiatives and the successes thereon or regarding our environmental efforts, including with respect to greenhouse gas emissions;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management, including our ability to retain our senior management and other key employees;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share repurchase authorization or program;</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100" w:hanging="321"/>
        <w:spacing w:after="0" w:line="24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natural gas price volatility and the cyclical nature of the oil and gas market;</w:t>
      </w:r>
    </w:p>
    <w:p>
      <w:pPr>
        <w:spacing w:after="0" w:line="8" w:lineRule="exact"/>
        <w:rPr>
          <w:rFonts w:ascii="Times New Roman" w:cs="Times New Roman" w:eastAsia="Times New Roman" w:hAnsi="Times New Roman"/>
          <w:sz w:val="18"/>
          <w:szCs w:val="18"/>
          <w:color w:val="auto"/>
        </w:rPr>
      </w:pPr>
    </w:p>
    <w:p>
      <w:pPr>
        <w:ind w:left="680" w:right="12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geopolitical and domestic policy changes, including tariffs, that may negatively affect oil and gas production and/or pricing or adversely impact offshore renewable energy projects, costs of materials, regulations surrounding safe offshore well intervention, regulations of decommissioning offshore oil and gas wells, and global trade, economic growth and stability;</w:t>
      </w:r>
    </w:p>
    <w:p>
      <w:pPr>
        <w:spacing w:after="0" w:line="1" w:lineRule="exact"/>
        <w:rPr>
          <w:rFonts w:ascii="Times New Roman" w:cs="Times New Roman" w:eastAsia="Times New Roman" w:hAnsi="Times New Roman"/>
          <w:sz w:val="18"/>
          <w:szCs w:val="18"/>
          <w:color w:val="auto"/>
        </w:rPr>
      </w:pPr>
    </w:p>
    <w:p>
      <w:pPr>
        <w:jc w:val="both"/>
        <w:ind w:left="680" w:right="2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p>
      <w:pPr>
        <w:spacing w:after="0" w:line="1" w:lineRule="exact"/>
        <w:rPr>
          <w:rFonts w:ascii="Times New Roman" w:cs="Times New Roman" w:eastAsia="Times New Roman" w:hAnsi="Times New Roman"/>
          <w:sz w:val="18"/>
          <w:szCs w:val="18"/>
          <w:color w:val="auto"/>
        </w:rPr>
      </w:pPr>
    </w:p>
    <w:p>
      <w:pPr>
        <w:ind w:left="680" w:right="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amounts payable in connection therewith,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results of acquired properties and/or equipment;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8"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jc w:val="both"/>
        <w:ind w:left="680" w:right="2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contracts by customers, suppliers and other counterparties;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ind w:left="680" w:right="2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right="5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risk management activities and processes, including with respect to our cybersecurity initiatives and disclosures;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26" w:lineRule="exact"/>
        <w:rPr>
          <w:rFonts w:ascii="Times New Roman" w:cs="Times New Roman" w:eastAsia="Times New Roman" w:hAnsi="Times New Roman"/>
          <w:sz w:val="18"/>
          <w:szCs w:val="18"/>
          <w:color w:val="auto"/>
        </w:rPr>
      </w:pPr>
    </w:p>
    <w:p>
      <w:pPr>
        <w:ind w:left="680" w:right="90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right="48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stock price on our financing activities such as repurchases of our common stock under share repurchase programs;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sustainability initiatives and disclosures;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any future hedging activities;</w:t>
      </w:r>
    </w:p>
    <w:p>
      <w:pPr>
        <w:spacing w:after="0" w:line="8" w:lineRule="exact"/>
        <w:rPr>
          <w:rFonts w:ascii="Times New Roman" w:cs="Times New Roman" w:eastAsia="Times New Roman" w:hAnsi="Times New Roman"/>
          <w:sz w:val="18"/>
          <w:szCs w:val="18"/>
          <w:color w:val="auto"/>
        </w:rPr>
      </w:pPr>
    </w:p>
    <w:p>
      <w:pPr>
        <w:ind w:left="680" w:right="18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management, including a loss of one or more key employees;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factors generally described in Item 1A. Risk Factors in our 2024 Form 10-K.</w:t>
      </w:r>
    </w:p>
    <w:p>
      <w:pPr>
        <w:spacing w:after="0" w:line="206"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2024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2024 Form 10-K that attempt to advise interested parties of the risks and factors that may affect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segment includes seven purpose-built well intervention vessels and 12 intervention systems. Our Robotics segment includes 39 work-class ROVs, six trenchers, two IROV boulder grabs, and robotics support vessels chartered on long-term, short-term, flexible and spot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w:t>
      </w:r>
    </w:p>
    <w:p>
      <w:pPr>
        <w:spacing w:after="0" w:line="183"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level of spending of offshore energy companies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is affected by commodity prices as well as governmental regulations and political forces globally.</w:t>
      </w:r>
    </w:p>
    <w:p>
      <w:pPr>
        <w:spacing w:after="0" w:line="17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our well intervention vessels have a competitive advantage in performing these services efficiently and with our suite of shallow water assets and capabilities, we are the only provider capable of providing all facets of decommissioning services in the Gulf of America shelf.</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support the energy transition to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Environment</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Commodity prices continued to be volatile during the first quarter 2025. Oil prices dropped precipitously into the low $60s in early April 2025 following the U.S. government’s enactment of record tariffs levied globally and the announcement of significant increases in oil production by members of the Organization of Petroleum Exporting Countries (“OPEC”) and other non-OPEC producer nations (collectively with OPEC members, “OPEC+”). These events follow increasing regulatory actions in the U.K., where the British government has enacted the Energy Profits Levy (windfall tax) and other changes that have significantly increased our customers’ costs in that region. Furthermore, there have been recent merger announcements of operators in the U.K. North Sea. Pending mergers historically result in reductions in spending during the merger process.</w:t>
      </w:r>
    </w:p>
    <w:p>
      <w:pPr>
        <w:spacing w:after="0" w:line="185"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production increases, tariffs and resulting trade wars are expected to result in slower economic growth and substantially increase the risk of a recession, both of which would reduce global demand for oil, putting further pressure on commodity prices, which is likely to result in lower customer spending for the industry. Additionally, the industry continues to be threatened by decisions from OPEC+, governmental regulations and changes thereto, geopolitical instability and uncertainty, regional conflicts, unrest in the Middle East, various governmental and customer sustainability initiatives and continued shifting of resource allocation to renewable energy. We expect these factors will continue to contribute to commodity price volatility and may prolong existing lower commodity prices with the potential to temper customer spending for offshore oil and gas projects.</w:t>
      </w:r>
    </w:p>
    <w:p>
      <w:pPr>
        <w:spacing w:after="0" w:line="18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The international wind market continues to be robust, with continued activity and sanctioned work primarily in Europe and Asia Pacific. U.S. windfarm activity is expected to decline following the 2025 Wind Energy Ban, a Presidential Memorandum issued in the U.S. in January 2025 temporarily withdrawing wind energy leasing in the U.S. Outer Continental Shelf.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Following the production increases announced by OPEC+ and the tariffs announced by the U.S. government in early April as described above, we anticipate more uncertainty and expect a more challenging spot market for Well Intervention and Shallow Water Abandonment in 2025, although our performance should be supported by our backlog from new contracting at improved rates and by increasing demand for our decommissioning services internationally, which should grow over mid- to long-term as the subsea tree base expands, as customers reduce their decommissioning obligations, and as customers shift resources to renewable energy. We expect the demand for shallow water decommissioning services in the Gulf of America to improve over the mid- to long-term as oil and gas properties revert to former owners due to bankruptcies, who are expected to address their decommissioning obligations. We expect growth in our renewables services as the global demand for energy increases and the international energy market continues offshore renewable energy developments.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backlog is represented by signed contracts. As of March 31, 2025, our consolidated backlog totaled approximately $1.4 billion, of which $592 million is expected to be performed over the remainder of 2025. Our various contracts with Shell and Subsea 7 globally, our contracts with Trident Energy and Petrobras in Brazil, and our contracts with Talos in the Gulf of America represented approximately 86% of our total backlog as of March 31, 2025. Backlog is not necessarily a reliable indicator of revenues derived from our contracts as (i) services are often added but may sometimes be subtracted; (ii) contracts may be renegotiated, deferred, canceled and in many cases modified while in progress; and (iii)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18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65"/>
        </w:trPr>
        <w:tc>
          <w:tcPr>
            <w:tcW w:w="8480" w:type="dxa"/>
            <w:vAlign w:val="bottom"/>
            <w:gridSpan w:val="5"/>
          </w:tcPr>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(26,287)</w:t>
            </w:r>
          </w:p>
        </w:tc>
      </w:tr>
      <w:tr>
        <w:trPr>
          <w:trHeight w:val="203"/>
        </w:trPr>
        <w:tc>
          <w:tcPr>
            <w:tcW w:w="6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6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5,706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5,477</w:t>
            </w:r>
          </w:p>
        </w:tc>
      </w:tr>
      <w:tr>
        <w:trPr>
          <w:trHeight w:val="203"/>
        </w:trPr>
        <w:tc>
          <w:tcPr>
            <w:tcW w:w="6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2,216</w:t>
            </w:r>
          </w:p>
        </w:tc>
      </w:tr>
      <w:tr>
        <w:trPr>
          <w:trHeight w:val="203"/>
        </w:trPr>
        <w:tc>
          <w:tcPr>
            <w:tcW w:w="680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42,482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46,353</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52,070</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26,061</w:t>
            </w:r>
          </w:p>
        </w:tc>
      </w:tr>
      <w:tr>
        <w:trPr>
          <w:trHeight w:val="196"/>
        </w:trPr>
        <w:tc>
          <w:tcPr>
            <w:tcW w:w="68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disposition of assets, net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03"/>
        </w:trPr>
        <w:tc>
          <w:tcPr>
            <w:tcW w:w="6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General release of current expected credit losses</w:t>
            </w:r>
          </w:p>
        </w:tc>
        <w:tc>
          <w:tcPr>
            <w:tcW w:w="30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(85)</w:t>
            </w: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6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r>
      <w:tr>
        <w:trPr>
          <w:trHeight w:val="196"/>
        </w:trPr>
        <w:tc>
          <w:tcPr>
            <w:tcW w:w="680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51,985</w:t>
            </w:r>
          </w:p>
        </w:tc>
        <w:tc>
          <w:tcPr>
            <w:tcW w:w="2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46,990</w:t>
            </w: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16,442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64,484</w:t>
            </w:r>
          </w:p>
        </w:tc>
      </w:tr>
      <w:tr>
        <w:trPr>
          <w:trHeight w:val="184"/>
        </w:trPr>
        <w:tc>
          <w:tcPr>
            <w:tcW w:w="6800" w:type="dxa"/>
            <w:vAlign w:val="bottom"/>
          </w:tcPr>
          <w:p>
            <w:pPr>
              <w:ind w:left="120"/>
              <w:spacing w:after="0" w:line="183" w:lineRule="exact"/>
              <w:rPr>
                <w:sz w:val="20"/>
                <w:szCs w:val="20"/>
                <w:color w:val="auto"/>
              </w:rPr>
            </w:pPr>
            <w:r>
              <w:rPr>
                <w:rFonts w:ascii="Arial" w:cs="Arial" w:eastAsia="Arial" w:hAnsi="Arial"/>
                <w:sz w:val="18"/>
                <w:szCs w:val="18"/>
                <w:color w:val="auto"/>
              </w:rPr>
              <w:t>Less: Capital expenditures, net of proceeds from asset sales and insurance</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recoveries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11,954</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61,242</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311,109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Cash and cash equivalents</w:t>
            </w:r>
          </w:p>
        </w:tc>
        <w:tc>
          <w:tcPr>
            <w:tcW w:w="2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(369,987)</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(368,030)</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2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(58,878)</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(52,873)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60" w:type="dxa"/>
            <w:vAlign w:val="bottom"/>
            <w:vMerge w:val="restart"/>
          </w:tcPr>
          <w:p>
            <w:pPr>
              <w:jc w:val="right"/>
              <w:ind w:right="165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1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2025 and 2024</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198,374</w:t>
            </w:r>
          </w:p>
        </w:tc>
        <w:tc>
          <w:tcPr>
            <w:tcW w:w="12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211,300</w:t>
            </w:r>
          </w:p>
        </w:tc>
        <w:tc>
          <w:tcPr>
            <w:tcW w:w="1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(12,926)</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16,818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26,853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(10,035)</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(4,315)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(8,007)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8,396</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278,064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296,211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24,322</w:t>
            </w:r>
          </w:p>
        </w:tc>
        <w:tc>
          <w:tcPr>
            <w:tcW w:w="12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23,144</w:t>
            </w:r>
          </w:p>
        </w:tc>
        <w:tc>
          <w:tcPr>
            <w:tcW w:w="1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(167)</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(11,582)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(9,763)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(1,819)</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16 %</w:t>
            </w: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(69)%</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38 %</w:t>
            </w: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67 %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 51 %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 58 %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67 %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74 %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 30 %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 41 %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154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26 / 11 %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26 %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43" w:lineRule="exact"/>
        <w:rPr>
          <w:rFonts w:ascii="Arial" w:cs="Arial" w:eastAsia="Arial" w:hAnsi="Arial"/>
          <w:sz w:val="17"/>
          <w:szCs w:val="17"/>
          <w:color w:val="auto"/>
        </w:rPr>
      </w:pPr>
    </w:p>
    <w:p>
      <w:pPr>
        <w:ind w:left="660" w:right="80" w:hanging="652"/>
        <w:spacing w:after="0" w:line="24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in the applicable period. Utilization rate of chartered Robotics vessels during the three-month period ended March 31, 2024 included 91 spot vessel days at full utilization.</w:t>
      </w:r>
    </w:p>
    <w:p>
      <w:pPr>
        <w:spacing w:after="0" w:line="6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5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(6,093)</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7,955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10,228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(2,273)</w:t>
            </w:r>
          </w:p>
        </w:tc>
      </w:tr>
      <w:tr>
        <w:trPr>
          <w:trHeight w:val="203"/>
        </w:trPr>
        <w:tc>
          <w:tcPr>
            <w:tcW w:w="54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r>
      <w:tr>
        <w:trPr>
          <w:trHeight w:val="196"/>
        </w:trPr>
        <w:tc>
          <w:tcPr>
            <w:tcW w:w="54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8,007</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16,403</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March 31, 2025 decreased by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same period in 2024, reflecting lower revenues in our Well Intervention, Shallow Water Abandonment and Production Facilities business segments, offset in part by higher revenues in our Robotics segment.</w:t>
      </w:r>
    </w:p>
    <w:p>
      <w:pPr>
        <w:spacing w:after="0" w:line="16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Our Well Intervention revenues decreased by 6% for the three-month period ended March 31, 2025 as compared to the same period in 2024, primarily reflecting lower utilization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offset in part by higher rates during the first quarter 2025. Revenues decreased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which was idle during the first quarter 2025 as compared to being nearly fully utilized operating in the western Mediterranean during the first quarter 2024. Revenues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were lower due to the vessel recognizing only six days of revenue in Brazil during the first quarter 2025 as compared to being fully utilized in Australia during the first quarter 2024.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completed its mobilization and regulatory docking and commenced its 400-day contract in Brazil at the end of March 2025. During the first quarter 2025,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generated higher integrated project revenues while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worked at higher contracted rates as compared to the first quarter 2024. Additionally during the first quarter 2025,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operated at higher rates on its contract extension with Trident as compared to the first quarter 2024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operated at higher rates on its new contract with Petrobras that commenced early January 2025.</w:t>
      </w:r>
    </w:p>
    <w:p>
      <w:pPr>
        <w:spacing w:after="0" w:line="186"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Our Robotics revenues increased by 1% for the three-month period ended March 31, 2025 as compared to the same period in 2024, primarily reflecting increased trenching activities, offset in part by a reduction in other ROV and vessel utilization. The first quarter 2025 included 135 integrated vessel trenching days and 90 days of trenching on a third-party vessel as compared to 85 integrated vessel trenching days during the first quarter 2024. Chartered vessel activity decreased to 244 days during the first quarter 2025 as compared to 333 days during the first quarter 2024. Overall ROV and trencher utilization decreased to 51% during the first quarter 2025 from 58% during the first quarter 2024.</w:t>
      </w:r>
    </w:p>
    <w:p>
      <w:pPr>
        <w:spacing w:after="0" w:line="179" w:lineRule="exact"/>
        <w:rPr>
          <w:sz w:val="20"/>
          <w:szCs w:val="20"/>
          <w:color w:val="auto"/>
        </w:rPr>
      </w:pPr>
    </w:p>
    <w:p>
      <w:pPr>
        <w:ind w:right="40" w:firstLine="648"/>
        <w:spacing w:after="0" w:line="266" w:lineRule="auto"/>
        <w:rPr>
          <w:sz w:val="20"/>
          <w:szCs w:val="20"/>
          <w:color w:val="auto"/>
        </w:rPr>
      </w:pPr>
      <w:r>
        <w:rPr>
          <w:rFonts w:ascii="Arial" w:cs="Arial" w:eastAsia="Arial" w:hAnsi="Arial"/>
          <w:sz w:val="17"/>
          <w:szCs w:val="17"/>
          <w:color w:val="auto"/>
        </w:rPr>
        <w:t>Our Shallow Water Abandonment revenues decreased by 37% for the three-month period ended March 31, 2025 as compared to the same period in 2024 due to lower vessel and system utilization. Overall vessel utilization was 30% during the first quarter 2025 as compared to 41% during the first quarter 2024. P&amp;A systems and CT systems utilization decreased to 264 days, or 11%, during the first quarter 2025 as compared to 626 days, or 26%, during the first quarter 2024.</w:t>
      </w:r>
    </w:p>
    <w:p>
      <w:pPr>
        <w:spacing w:after="0" w:line="159" w:lineRule="exact"/>
        <w:rPr>
          <w:sz w:val="20"/>
          <w:szCs w:val="20"/>
          <w:color w:val="auto"/>
        </w:rPr>
      </w:pPr>
    </w:p>
    <w:p>
      <w:pPr>
        <w:ind w:right="300" w:firstLine="648"/>
        <w:spacing w:after="0" w:line="247" w:lineRule="auto"/>
        <w:rPr>
          <w:sz w:val="20"/>
          <w:szCs w:val="20"/>
          <w:color w:val="auto"/>
        </w:rPr>
      </w:pPr>
      <w:r>
        <w:rPr>
          <w:rFonts w:ascii="Arial" w:cs="Arial" w:eastAsia="Arial" w:hAnsi="Arial"/>
          <w:sz w:val="18"/>
          <w:szCs w:val="18"/>
          <w:color w:val="auto"/>
        </w:rPr>
        <w:t>Our Production Facilities revenues decreased by 18% for the three-month period ended March 31, 2025 as compared to the same period in 2024, primarily reflecting lower oil and gas production and prices during the first quarter 2025. Oil and gas production during the first quarter 2025 did not include production from the Thunder Hawk wells, which were active during the first quarter 2024 but have been shut-in since the third quarter 2024.</w:t>
      </w:r>
    </w:p>
    <w:p>
      <w:pPr>
        <w:spacing w:after="0" w:line="174" w:lineRule="exact"/>
        <w:rPr>
          <w:sz w:val="20"/>
          <w:szCs w:val="20"/>
          <w:color w:val="auto"/>
        </w:rPr>
      </w:pPr>
    </w:p>
    <w:p>
      <w:pPr>
        <w:ind w:right="5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increased by $8.0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2025 as compared to the same period in 2024, primarily reflecting increased profitability from our Well Intervention and Production Facilities business segments, offset in part by reduced profitability from our Shallow Water Abandonment segment.</w:t>
      </w:r>
    </w:p>
    <w:p>
      <w:pPr>
        <w:spacing w:after="0" w:line="17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Our Well Intervention segment gross profit increased by $ 1.2 million for the three-month period ended March 31, 2025 as compared to the same period in 2024, primarily reflecting lower idle vessel costs in the North Sea and cost deferrals on the </w:t>
      </w:r>
      <w:r>
        <w:rPr>
          <w:rFonts w:ascii="Arial" w:cs="Arial" w:eastAsia="Arial" w:hAnsi="Arial"/>
          <w:sz w:val="17"/>
          <w:szCs w:val="17"/>
          <w:i w:val="1"/>
          <w:iCs w:val="1"/>
          <w:color w:val="auto"/>
        </w:rPr>
        <w:t>Q7000</w:t>
      </w:r>
      <w:r>
        <w:rPr>
          <w:rFonts w:ascii="Arial" w:cs="Arial" w:eastAsia="Arial" w:hAnsi="Arial"/>
          <w:sz w:val="17"/>
          <w:szCs w:val="17"/>
          <w:color w:val="auto"/>
        </w:rPr>
        <w:t xml:space="preserve"> during its mobilization and regulatory docking, offset in part by lower revenues during the first quarter 2025.</w:t>
      </w:r>
    </w:p>
    <w:p>
      <w:pPr>
        <w:spacing w:after="0" w:line="15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Our Robotics gross profit remained relatively flat for the three-month period ended March 31, 2025 as compared to the same period in 2024.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Our Shallow Water Abandonment gross loss increased by $1.8 million for the three-month period ended March 31, 2025 as compared to the same period in 2024, primarily reflecting lower revenues, offset in part by lower costs during the first quarter 2025.</w:t>
      </w:r>
    </w:p>
    <w:p>
      <w:pPr>
        <w:spacing w:after="0" w:line="169"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Our Production Facilities had a gross profit of $7.5 million for the three-month period ended March 31, 2025 as compared to a gross loss of $1.3 million for the same period in 2024 primarily due to the incurrence of well workover costs related to the Thunder Hawk wells during the first quarter 2024.</w:t>
      </w:r>
    </w:p>
    <w:p>
      <w:pPr>
        <w:spacing w:after="0" w:line="16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$ 19.4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March 31, 2025 as compared to $20.7 million for the same period in 2024, primarily reflecting lower employee compensation costs.</w:t>
      </w:r>
    </w:p>
    <w:p>
      <w:pPr>
        <w:spacing w:after="0" w:line="16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$5.7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$5.5 million for the same period in 2024, primarily reflecting lower interest income on our invested cash (Note 5).</w:t>
      </w:r>
    </w:p>
    <w:p>
      <w:pPr>
        <w:spacing w:after="0" w:line="169"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Losses Related to Convertible Senior Notes. </w:t>
      </w:r>
      <w:r>
        <w:rPr>
          <w:rFonts w:ascii="Arial" w:cs="Arial" w:eastAsia="Arial" w:hAnsi="Arial"/>
          <w:sz w:val="18"/>
          <w:szCs w:val="18"/>
          <w:color w:val="auto"/>
        </w:rPr>
        <w:t>The losses during the three-month period ended March 31,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associated with the redemption of our 2026 Notes (Note 5).</w:t>
      </w:r>
    </w:p>
    <w:p>
      <w:pPr>
        <w:spacing w:after="0" w:line="154" w:lineRule="exact"/>
        <w:rPr>
          <w:sz w:val="20"/>
          <w:szCs w:val="20"/>
          <w:color w:val="auto"/>
        </w:rPr>
      </w:pPr>
    </w:p>
    <w:p>
      <w:pPr>
        <w:ind w:right="220" w:firstLine="648"/>
        <w:spacing w:after="0" w:line="24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$0.4 million for the three-month period ended March 31,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$2.2 million for the same period in 2024. Net other expense during the first quarter 2025 primarily reflects foreign currency losses related to the appreciation of the British pound on net cash balances denominated in U.S. dollar in our U.K. entities. Net other expense during the first quarter 2024 primarily reflects foreign currency losses related to the depreciation of the British pound primarily on U.S. dollar denominated intercompany debt in our U.K. entities.</w:t>
      </w:r>
    </w:p>
    <w:p>
      <w:pPr>
        <w:spacing w:after="0" w:line="17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$0.5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income tax benefit of $1.7 million for the same period in 2024. The effective tax rate for the three-month period ended March 31, 2025 was impacted by a discrete non-U.S. tax benefit. The effective rate for the three-month period ended March 31, 2024 was impacted by the non-deductibility of certain losses associated with the 2026 Notes Redemptions, which was characterized as a discrete event.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412,812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405,266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Long-term debt (excluding current maturities)</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301,697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305,971</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404,673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429,586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color w:val="auto"/>
        </w:rPr>
        <w:t>Long-term debt in the table above, presented net of unamortized debt discount and debt issuance costs, includes our MARAD Debt and the 2029 Notes and excludes current maturities of $9.4 million at March 31, 2025 and $9.2 million at December 31, 2024. See Note 5 for information relating to our long-term debt.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 xml:space="preserve">We define liquidity as cash and cash equivalents plus available capacity under our credit facility, but excluding cash pledged as collateral toward the Amended ABL Facility. Our liquidity at March 31, 2025 included $370.0 million of cash and cash equivalents and $62.7 million of available borrowing capacity under the Amended ABL Facility (Note 5) and excluded $28.0 million of pledged cash. Our liquidity at December 31, 2024 included $368.0 million of cash and cash equivalents and $66.6 million of available borrowing capacity under the Amended ABL Facility and excluded $5.0 million of pledged cash. The reduction in availability on the facility was primarily attributable to higher letter of credit usage in order to support the Nigeria project on the </w:t>
      </w:r>
      <w:r>
        <w:rPr>
          <w:rFonts w:ascii="Arial" w:cs="Arial" w:eastAsia="Arial" w:hAnsi="Arial"/>
          <w:sz w:val="18"/>
          <w:szCs w:val="18"/>
          <w:i w:val="1"/>
          <w:iCs w:val="1"/>
          <w:color w:val="auto"/>
        </w:rPr>
        <w:t>Q4000</w:t>
      </w:r>
      <w:r>
        <w:rPr>
          <w:rFonts w:ascii="Arial" w:cs="Arial" w:eastAsia="Arial" w:hAnsi="Arial"/>
          <w:sz w:val="18"/>
          <w:szCs w:val="18"/>
          <w:color w:val="auto"/>
        </w:rPr>
        <w:t>.</w:t>
      </w:r>
    </w:p>
    <w:p>
      <w:pPr>
        <w:spacing w:after="0" w:line="185"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 xml:space="preserve">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expect availability on the Amended ABL Facility to increase following the completion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Nigeria campaign. We currently do not anticipate borrowing under the Amended ABL Facility and expect to only use the facility for the issuance of letters of credit.</w:t>
      </w:r>
    </w:p>
    <w:p>
      <w:pPr>
        <w:spacing w:after="0" w:line="17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right="1120" w:firstLine="648"/>
        <w:spacing w:after="0" w:line="271"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4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16,442</w:t>
            </w: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64,484</w:t>
            </w:r>
          </w:p>
        </w:tc>
      </w:tr>
      <w:tr>
        <w:trPr>
          <w:trHeight w:val="203"/>
        </w:trPr>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(3,242)</w:t>
            </w:r>
          </w:p>
        </w:tc>
      </w:tr>
      <w:tr>
        <w:trPr>
          <w:trHeight w:val="239"/>
        </w:trPr>
        <w:tc>
          <w:tcPr>
            <w:tcW w:w="4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(11,075)</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(69,304)</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Our operating cash flows for the three-month period ended March 31, 2025 decreased despite higher earnings as compared to the same period in 2024, primarily reflecting higher regulatory recertification costs on our vessels and systems and lower working capital inflows. Regulatory recertification spending on our vessels and systems was $17.9 million and $9.6 million, respectively, during the comparable year over year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600" w:firstLine="648"/>
        <w:spacing w:after="0" w:line="271" w:lineRule="auto"/>
        <w:rPr>
          <w:sz w:val="20"/>
          <w:szCs w:val="20"/>
          <w:color w:val="auto"/>
        </w:rPr>
      </w:pPr>
      <w:r>
        <w:rPr>
          <w:rFonts w:ascii="Arial" w:cs="Arial" w:eastAsia="Arial" w:hAnsi="Arial"/>
          <w:sz w:val="18"/>
          <w:szCs w:val="18"/>
          <w:color w:val="auto"/>
        </w:rPr>
        <w:t>Cash flows used in investing activities for the three-month period ended March 31, 2025 increased slightly as compared to the same period in 2024 primarily due to higher capital expenditures.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Net cash outflows from financing activities for the three-month period ended March 31, 2025 primarily reflect the principal repayment of $ 4.5 million related to the MARAD Debt and payments in satisfaction of tax obligations upon vesting of share-based awards. Net cash outflows from financing activities for the three-month period ended March 31, 2024 primarily reflect cash outflows of $ 60.7 million related to the 2026 Notes, the principal repayment of $4.3 million related to the MARAD Debt and $4.2 million in repurchases of our common stock under the 2023 Repurchase Program. These outflows were offset in part by $4.4 million of cash inflows from the proportionate settlement of the 2026 Capped Calls.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following table summarizes (in thousands) the principal amount of our long-term debt and related debt service costs as well as other contractual commitments, which include commitments for property and equipment and operating lease obligations, as of March 31, 2025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March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19,294</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9,412</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9,882</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116,702</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30,717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85,985</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11,998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11,998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839,828</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160,099</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679,729</w:t>
            </w: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1,287,822</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212,226</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1,075,596</w:t>
            </w:r>
          </w:p>
        </w:tc>
      </w:tr>
      <w:tr>
        <w:trPr>
          <w:trHeight w:val="20"/>
        </w:trPr>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20" w:hanging="652"/>
        <w:spacing w:after="0" w:line="26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leases include vessel charters and facility and equipment leases, including commitments related to leases executed but not yet commenced. At March 31, 2025, our commitment related to long-term vessel charters totaled approximately $804.9 million, of which $409.3 million was related to the non-lease (services) components that are not included in operating lease liabilities in the condensed consolidated balance sheet as of March 31, 2025.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$80.9 million (undiscounted) for Thunder Hawk Field oil and gas properties and $37.1 million (undiscounted) for Droshky oil and gas properties as of March 31, 2025, none of which is expected to be paid during the next 12 months. We are entitled to receive $30.0 million (undiscounted) from Marathon Oil Corporation as certain decommissioning obligations associated with Droshky oil and gas properties are fulfilled.</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vessels and systems are subject to certain regulatory recertification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spacing w:after="0" w:line="17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2024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54" w:lineRule="exact"/>
        <w:rPr>
          <w:sz w:val="20"/>
          <w:szCs w:val="20"/>
          <w:color w:val="auto"/>
        </w:rPr>
      </w:pPr>
    </w:p>
    <w:p>
      <w:pPr>
        <w:ind w:right="2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three-month period ended March 31, 2025, we recorded foreign currency translation gains of $27.2 million to accumulated other comprehensive loss. Deferred taxes have not been provided on foreign currency translation adjustments as any outside stock basis differences would be realized in a tax-free manner.</w:t>
      </w:r>
    </w:p>
    <w:p>
      <w:pPr>
        <w:spacing w:after="0" w:line="17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March 31, 2025, we recorded net foreign currency losses of $0.4 million, primarily related to U.S. dollar denominated cash balances in our U.K. entities.</w:t>
      </w:r>
    </w:p>
    <w:p>
      <w:pPr>
        <w:spacing w:after="0" w:line="18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minimize the risk of changes to our cash flow due to changing interest rates,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spacing w:after="0" w:line="17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2024 Form 10-K for a list of factors affecting oil and gas prices.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right="40" w:firstLine="656"/>
        <w:spacing w:after="0"/>
        <w:tabs>
          <w:tab w:leader="none" w:pos="9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March 31, 2025. Based on this evaluation, our principal executive officer and principal financial officer have concluded that our disclosure controls and procedures were effective as of March 31, 2025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80" w:lineRule="exact"/>
        <w:rPr>
          <w:rFonts w:ascii="Arial" w:cs="Arial" w:eastAsia="Arial" w:hAnsi="Arial"/>
          <w:sz w:val="18"/>
          <w:szCs w:val="18"/>
          <w:color w:val="auto"/>
        </w:rPr>
      </w:pPr>
    </w:p>
    <w:p>
      <w:pPr>
        <w:ind w:right="260" w:firstLine="656"/>
        <w:spacing w:after="0" w:line="253" w:lineRule="auto"/>
        <w:tabs>
          <w:tab w:leader="none" w:pos="9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three-month period ended March 31, 2025 that have materially affected, or are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See Part I, Item 1, Note 13 — Commitments and Contingencies and Other Matters to the Condensed Consolidated Financial Statements,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There have been no material changes during the period ended March 31, 2025 in our “Risk Factors” as discussed in Item 1A of our Annual Report on Form 10-K for the year ended December 31,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20" w:type="dxa"/>
            <w:vAlign w:val="bottom"/>
            <w:gridSpan w:val="8"/>
          </w:tcPr>
          <w:p>
            <w:pPr>
              <w:ind w:left="38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93"/>
        </w:trPr>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193"/>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3"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part of publicly</w:t>
            </w:r>
          </w:p>
        </w:tc>
        <w:tc>
          <w:tcPr>
            <w:tcW w:w="200" w:type="dxa"/>
            <w:vAlign w:val="bottom"/>
          </w:tcPr>
          <w:p>
            <w:pPr>
              <w:spacing w:after="0"/>
              <w:rPr>
                <w:sz w:val="16"/>
                <w:szCs w:val="16"/>
                <w:color w:val="auto"/>
              </w:rPr>
            </w:pPr>
          </w:p>
        </w:tc>
        <w:tc>
          <w:tcPr>
            <w:tcW w:w="182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price paid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(2)</w:t>
            </w:r>
          </w:p>
        </w:tc>
      </w:tr>
      <w:tr>
        <w:trPr>
          <w:trHeight w:val="23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or programs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29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 to January 31, 2025</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394,215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158,392</w:t>
            </w: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February 1 to February 28, 2025</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385,304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200" w:type="dxa"/>
            <w:vAlign w:val="bottom"/>
          </w:tcPr>
          <w:p>
            <w:pPr>
              <w:spacing w:after="0"/>
              <w:rPr>
                <w:sz w:val="17"/>
                <w:szCs w:val="17"/>
                <w:color w:val="auto"/>
              </w:rPr>
            </w:pPr>
          </w:p>
        </w:tc>
        <w:tc>
          <w:tcPr>
            <w:tcW w:w="1520" w:type="dxa"/>
            <w:vAlign w:val="bottom"/>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158,392</w:t>
            </w: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 to March 31, 2025</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158,392</w:t>
            </w:r>
          </w:p>
        </w:tc>
      </w:tr>
      <w:tr>
        <w:trPr>
          <w:trHeight w:val="196"/>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779,519</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9.32</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76" w:lineRule="exact"/>
        <w:rPr>
          <w:sz w:val="20"/>
          <w:szCs w:val="20"/>
          <w:color w:val="auto"/>
        </w:rPr>
      </w:pPr>
    </w:p>
    <w:p>
      <w:pPr>
        <w:ind w:left="660" w:right="340" w:hanging="652"/>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shares forfeited in satisfaction of tax obligations upon vesting of share-based awards under our existing long-term incentive plans.</w:t>
      </w:r>
    </w:p>
    <w:p>
      <w:pPr>
        <w:spacing w:after="0" w:line="45" w:lineRule="exact"/>
        <w:rPr>
          <w:rFonts w:ascii="Arial" w:cs="Arial" w:eastAsia="Arial" w:hAnsi="Arial"/>
          <w:sz w:val="18"/>
          <w:szCs w:val="18"/>
          <w:color w:val="auto"/>
        </w:rPr>
      </w:pPr>
    </w:p>
    <w:p>
      <w:pPr>
        <w:ind w:left="660" w:right="680" w:hanging="652"/>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7 to this Quarterly Report on Form 10-Q and Note 10 to our 2024 Annual Report on Form 10-K for additional information regarding our share repurchase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right="320" w:firstLine="656"/>
        <w:spacing w:after="0" w:line="253" w:lineRule="auto"/>
        <w:tabs>
          <w:tab w:leader="none" w:pos="9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three-month period ended March 31, 2025, no director or “officer” of Helix adopted or terminated a “Rule 10b5-1 trading arrangement” or “non-Rule 10b5-1 trading arrangement,” as each term is defined in Item 408(a)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9"/>
              </w:rPr>
              <w:t>Filed or Furnished Herewith 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Incorporated by Reference from the</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Following Documents (Registration or File</w:t>
            </w:r>
          </w:p>
        </w:tc>
        <w:tc>
          <w:tcPr>
            <w:tcW w:w="0" w:type="dxa"/>
            <w:vAlign w:val="bottom"/>
          </w:tcPr>
          <w:p>
            <w:pPr>
              <w:spacing w:after="0"/>
              <w:rPr>
                <w:sz w:val="1"/>
                <w:szCs w:val="1"/>
                <w:color w:val="auto"/>
              </w:rPr>
            </w:pPr>
          </w:p>
        </w:tc>
      </w:tr>
      <w:tr>
        <w:trPr>
          <w:trHeight w:val="22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14"/>
          </w:tcPr>
          <w:p>
            <w:pPr>
              <w:ind w:left="100"/>
              <w:spacing w:after="0"/>
              <w:rPr>
                <w:sz w:val="20"/>
                <w:szCs w:val="20"/>
                <w:color w:val="auto"/>
              </w:rPr>
            </w:pPr>
            <w:r>
              <w:rPr>
                <w:rFonts w:ascii="Arial" w:cs="Arial" w:eastAsia="Arial" w:hAnsi="Arial"/>
                <w:sz w:val="18"/>
                <w:szCs w:val="18"/>
                <w:b w:val="1"/>
                <w:bCs w:val="1"/>
                <w:color w:val="auto"/>
              </w:rPr>
              <w:t>Description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176"/>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540" w:type="dxa"/>
            <w:vAlign w:val="bottom"/>
            <w:tcBorders>
              <w:top w:val="single" w:sz="8" w:color="auto"/>
            </w:tcBorders>
            <w:gridSpan w:val="15"/>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2005 Amended and Restated Articles of Incorporation,</w:t>
              </w:r>
            </w:hyperlink>
          </w:p>
        </w:tc>
        <w:tc>
          <w:tcPr>
            <w:tcW w:w="140" w:type="dxa"/>
            <w:vAlign w:val="bottom"/>
          </w:tcPr>
          <w:p>
            <w:pPr>
              <w:spacing w:after="0"/>
              <w:rPr>
                <w:sz w:val="15"/>
                <w:szCs w:val="15"/>
                <w:color w:val="auto"/>
              </w:rPr>
            </w:pPr>
          </w:p>
        </w:tc>
        <w:tc>
          <w:tcPr>
            <w:tcW w:w="3760" w:type="dxa"/>
            <w:vAlign w:val="bottom"/>
            <w:tcBorders>
              <w:top w:val="single" w:sz="8" w:color="auto"/>
            </w:tcBorders>
          </w:tcPr>
          <w:p>
            <w:pPr>
              <w:ind w:left="40"/>
              <w:spacing w:after="0" w:line="176" w:lineRule="exact"/>
              <w:rPr>
                <w:sz w:val="20"/>
                <w:szCs w:val="20"/>
                <w:color w:val="auto"/>
              </w:rPr>
            </w:pPr>
            <w:r>
              <w:rPr>
                <w:rFonts w:ascii="Arial" w:cs="Arial" w:eastAsia="Arial" w:hAnsi="Arial"/>
                <w:sz w:val="18"/>
                <w:szCs w:val="18"/>
                <w:color w:val="auto"/>
              </w:rPr>
              <w:t>Exhibit 3.1 to the Current Report on Form 8-K</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as amended, of Helix Energy Solutions Group,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3760" w:type="dxa"/>
            <w:vAlign w:val="bottom"/>
          </w:tcPr>
          <w:p>
            <w:pPr>
              <w:ind w:left="40"/>
              <w:spacing w:after="0" w:line="182" w:lineRule="exact"/>
              <w:rPr>
                <w:sz w:val="20"/>
                <w:szCs w:val="20"/>
                <w:color w:val="auto"/>
              </w:rPr>
            </w:pPr>
            <w:r>
              <w:rPr>
                <w:rFonts w:ascii="Arial" w:cs="Arial" w:eastAsia="Arial" w:hAnsi="Arial"/>
                <w:sz w:val="18"/>
                <w:szCs w:val="18"/>
                <w:color w:val="auto"/>
              </w:rPr>
              <w:t>filed on March 1, 2006 (000-22739)</w:t>
            </w: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Second  Amended  and  Restated  By-Laws  of</w:t>
              </w:r>
            </w:hyperlink>
          </w:p>
        </w:tc>
        <w:tc>
          <w:tcPr>
            <w:tcW w:w="640" w:type="dxa"/>
            <w:vAlign w:val="bottom"/>
            <w:gridSpan w:val="10"/>
          </w:tcPr>
          <w:p>
            <w:pPr>
              <w:jc w:val="right"/>
              <w:ind w:right="280"/>
              <w:spacing w:after="0" w:line="182" w:lineRule="exact"/>
              <w:rPr>
                <w:rFonts w:ascii="Arial" w:cs="Arial" w:eastAsia="Arial" w:hAnsi="Arial"/>
                <w:sz w:val="18"/>
                <w:szCs w:val="18"/>
                <w:color w:val="0000EE"/>
                <w:w w:val="84"/>
              </w:rPr>
            </w:pPr>
            <w:hyperlink r:id="rId49">
              <w:r>
                <w:rPr>
                  <w:rFonts w:ascii="Arial" w:cs="Arial" w:eastAsia="Arial" w:hAnsi="Arial"/>
                  <w:sz w:val="18"/>
                  <w:szCs w:val="18"/>
                  <w:color w:val="0000EE"/>
                  <w:w w:val="84"/>
                </w:rPr>
                <w:t>Helix</w:t>
              </w:r>
            </w:hyperlink>
          </w:p>
        </w:tc>
        <w:tc>
          <w:tcPr>
            <w:tcW w:w="3760" w:type="dxa"/>
            <w:vAlign w:val="bottom"/>
          </w:tcPr>
          <w:p>
            <w:pPr>
              <w:ind w:left="40"/>
              <w:spacing w:after="0" w:line="182" w:lineRule="exact"/>
              <w:rPr>
                <w:sz w:val="20"/>
                <w:szCs w:val="20"/>
                <w:color w:val="auto"/>
              </w:rPr>
            </w:pPr>
            <w:r>
              <w:rPr>
                <w:rFonts w:ascii="Arial" w:cs="Arial" w:eastAsia="Arial" w:hAnsi="Arial"/>
                <w:sz w:val="18"/>
                <w:szCs w:val="18"/>
                <w:color w:val="auto"/>
              </w:rPr>
              <w:t>Exhibit 3.1 to the Current Report on Form 8-K</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Energy Solutions Group, Inc., as amended.</w:t>
              </w:r>
            </w:hyperlink>
          </w:p>
        </w:tc>
        <w:tc>
          <w:tcPr>
            <w:tcW w:w="160" w:type="dxa"/>
            <w:vAlign w:val="bottom"/>
            <w:gridSpan w:val="2"/>
          </w:tcPr>
          <w:p>
            <w:pPr>
              <w:spacing w:after="0"/>
              <w:rPr>
                <w:sz w:val="15"/>
                <w:szCs w:val="15"/>
                <w:color w:val="auto"/>
              </w:rPr>
            </w:pPr>
          </w:p>
        </w:tc>
        <w:tc>
          <w:tcPr>
            <w:tcW w:w="3760" w:type="dxa"/>
            <w:vAlign w:val="bottom"/>
          </w:tcPr>
          <w:p>
            <w:pPr>
              <w:ind w:left="40"/>
              <w:spacing w:after="0" w:line="182" w:lineRule="exact"/>
              <w:rPr>
                <w:sz w:val="20"/>
                <w:szCs w:val="20"/>
                <w:color w:val="auto"/>
              </w:rPr>
            </w:pPr>
            <w:r>
              <w:rPr>
                <w:rFonts w:ascii="Arial" w:cs="Arial" w:eastAsia="Arial" w:hAnsi="Arial"/>
                <w:sz w:val="18"/>
                <w:szCs w:val="18"/>
                <w:color w:val="auto"/>
              </w:rPr>
              <w:t>filed on September 28, 2006 (001-32936)</w:t>
            </w: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Amendment and Assignment Agreement</w:t>
              </w:r>
            </w:hyperlink>
          </w:p>
        </w:tc>
        <w:tc>
          <w:tcPr>
            <w:tcW w:w="1240" w:type="dxa"/>
            <w:vAlign w:val="bottom"/>
            <w:gridSpan w:val="11"/>
          </w:tcPr>
          <w:p>
            <w:pPr>
              <w:jc w:val="right"/>
              <w:ind w:right="300"/>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to Strategic</w:t>
              </w:r>
            </w:hyperlink>
          </w:p>
        </w:tc>
        <w:tc>
          <w:tcPr>
            <w:tcW w:w="3760" w:type="dxa"/>
            <w:vAlign w:val="bottom"/>
          </w:tcPr>
          <w:p>
            <w:pPr>
              <w:ind w:left="40"/>
              <w:spacing w:after="0" w:line="182" w:lineRule="exact"/>
              <w:rPr>
                <w:sz w:val="20"/>
                <w:szCs w:val="20"/>
                <w:color w:val="auto"/>
              </w:rPr>
            </w:pPr>
            <w:r>
              <w:rPr>
                <w:rFonts w:ascii="Arial" w:cs="Arial" w:eastAsia="Arial" w:hAnsi="Arial"/>
                <w:sz w:val="18"/>
                <w:szCs w:val="18"/>
                <w:color w:val="auto"/>
              </w:rPr>
              <w:t>Exhibit 10.1 to the Current Report on Form 8-</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Alliance Agreement.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3760" w:type="dxa"/>
            <w:vAlign w:val="bottom"/>
          </w:tcPr>
          <w:p>
            <w:pPr>
              <w:ind w:left="40"/>
              <w:spacing w:after="0" w:line="182" w:lineRule="exact"/>
              <w:rPr>
                <w:sz w:val="20"/>
                <w:szCs w:val="20"/>
                <w:color w:val="auto"/>
              </w:rPr>
            </w:pPr>
            <w:r>
              <w:rPr>
                <w:rFonts w:ascii="Arial" w:cs="Arial" w:eastAsia="Arial" w:hAnsi="Arial"/>
                <w:sz w:val="18"/>
                <w:szCs w:val="18"/>
                <w:color w:val="auto"/>
              </w:rPr>
              <w:t>K filed on February 21, 2025 (001-32936)</w:t>
            </w: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1"/>
              </w:rPr>
              <w:t>Certification Pursuant</w:t>
            </w:r>
          </w:p>
        </w:tc>
        <w:tc>
          <w:tcPr>
            <w:tcW w:w="200" w:type="dxa"/>
            <w:vAlign w:val="bottom"/>
          </w:tcPr>
          <w:p>
            <w:pPr>
              <w:spacing w:after="0"/>
              <w:rPr>
                <w:sz w:val="15"/>
                <w:szCs w:val="15"/>
                <w:color w:val="auto"/>
              </w:rPr>
            </w:pPr>
          </w:p>
        </w:tc>
        <w:tc>
          <w:tcPr>
            <w:tcW w:w="2880" w:type="dxa"/>
            <w:vAlign w:val="bottom"/>
            <w:gridSpan w:val="13"/>
          </w:tcPr>
          <w:p>
            <w:pPr>
              <w:jc w:val="right"/>
              <w:ind w:right="280"/>
              <w:spacing w:after="0" w:line="182" w:lineRule="exact"/>
              <w:rPr>
                <w:sz w:val="20"/>
                <w:szCs w:val="20"/>
                <w:color w:val="auto"/>
              </w:rPr>
            </w:pPr>
            <w:r>
              <w:rPr>
                <w:rFonts w:ascii="Arial" w:cs="Arial" w:eastAsia="Arial" w:hAnsi="Arial"/>
                <w:sz w:val="18"/>
                <w:szCs w:val="18"/>
                <w:color w:val="0000EE"/>
              </w:rPr>
              <w:t>to Rule 13a-14(a) under the</w:t>
            </w:r>
          </w:p>
        </w:tc>
        <w:tc>
          <w:tcPr>
            <w:tcW w:w="3760" w:type="dxa"/>
            <w:vAlign w:val="bottom"/>
          </w:tcPr>
          <w:p>
            <w:pPr>
              <w:ind w:left="4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180" w:type="dxa"/>
            <w:vAlign w:val="bottom"/>
            <w:gridSpan w:val="3"/>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02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80" w:type="dxa"/>
            <w:vAlign w:val="bottom"/>
            <w:gridSpan w:val="16"/>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180" w:type="dxa"/>
            <w:vAlign w:val="bottom"/>
            <w:gridSpan w:val="3"/>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Chief Financial Officer.</w:t>
            </w: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Certification  of  Helix’s</w:t>
            </w:r>
          </w:p>
        </w:tc>
        <w:tc>
          <w:tcPr>
            <w:tcW w:w="2880" w:type="dxa"/>
            <w:vAlign w:val="bottom"/>
            <w:gridSpan w:val="13"/>
          </w:tcPr>
          <w:p>
            <w:pPr>
              <w:jc w:val="right"/>
              <w:ind w:right="280"/>
              <w:spacing w:after="0" w:line="182" w:lineRule="exact"/>
              <w:rPr>
                <w:sz w:val="20"/>
                <w:szCs w:val="20"/>
                <w:color w:val="auto"/>
              </w:rPr>
            </w:pPr>
            <w:r>
              <w:rPr>
                <w:rFonts w:ascii="Arial" w:cs="Arial" w:eastAsia="Arial" w:hAnsi="Arial"/>
                <w:sz w:val="18"/>
                <w:szCs w:val="18"/>
                <w:color w:val="0000EE"/>
              </w:rPr>
              <w:t>Chief  Executive  Officer  and</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200" w:type="dxa"/>
            <w:vAlign w:val="bottom"/>
            <w:gridSpan w:val="4"/>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44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Sarbanes–Oxley Act of 2002.</w:t>
            </w:r>
          </w:p>
        </w:tc>
        <w:tc>
          <w:tcPr>
            <w:tcW w:w="240" w:type="dxa"/>
            <w:vAlign w:val="bottom"/>
            <w:gridSpan w:val="6"/>
          </w:tcPr>
          <w:p>
            <w:pPr>
              <w:spacing w:after="0"/>
              <w:rPr>
                <w:sz w:val="15"/>
                <w:szCs w:val="15"/>
                <w:color w:val="auto"/>
              </w:rPr>
            </w:pPr>
          </w:p>
        </w:tc>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The instance document does not appear in</w:t>
            </w:r>
          </w:p>
        </w:tc>
        <w:tc>
          <w:tcPr>
            <w:tcW w:w="0" w:type="dxa"/>
            <w:vAlign w:val="bottom"/>
          </w:tcPr>
          <w:p>
            <w:pPr>
              <w:spacing w:after="0"/>
              <w:rPr>
                <w:sz w:val="1"/>
                <w:szCs w:val="1"/>
                <w:color w:val="auto"/>
              </w:rPr>
            </w:pPr>
          </w:p>
        </w:tc>
      </w:tr>
      <w:tr>
        <w:trPr>
          <w:trHeight w:val="191"/>
        </w:trPr>
        <w:tc>
          <w:tcPr>
            <w:tcW w:w="1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Borders>
              <w:top w:val="single" w:sz="8" w:color="0000EE"/>
            </w:tcBorders>
            <w:gridSpan w:val="4"/>
          </w:tcPr>
          <w:p>
            <w:pPr>
              <w:spacing w:after="0" w:line="191" w:lineRule="exact"/>
              <w:rPr>
                <w:sz w:val="20"/>
                <w:szCs w:val="20"/>
                <w:color w:val="auto"/>
              </w:rPr>
            </w:pPr>
            <w:r>
              <w:rPr>
                <w:rFonts w:ascii="Arial" w:cs="Arial" w:eastAsia="Arial" w:hAnsi="Arial"/>
                <w:sz w:val="18"/>
                <w:szCs w:val="18"/>
                <w:color w:val="auto"/>
              </w:rPr>
              <w:t>XBRL Instance Document.</w:t>
            </w:r>
          </w:p>
        </w:tc>
        <w:tc>
          <w:tcPr>
            <w:tcW w:w="2340" w:type="dxa"/>
            <w:vAlign w:val="bottom"/>
            <w:gridSpan w:val="12"/>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the Interactive Data File because its XBRL</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tags are embedded within the Inline XBRL</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101.SCH</w:t>
            </w: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Document.</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Document.</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Document.</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Linkbase Document.</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60"/>
              <w:spacing w:after="0" w:line="202"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80" w:type="dxa"/>
            <w:vAlign w:val="bottom"/>
            <w:gridSpan w:val="16"/>
          </w:tcPr>
          <w:p>
            <w:pPr>
              <w:spacing w:after="0" w:line="202" w:lineRule="exact"/>
              <w:rPr>
                <w:sz w:val="20"/>
                <w:szCs w:val="20"/>
                <w:color w:val="auto"/>
              </w:rPr>
            </w:pPr>
            <w:r>
              <w:rPr>
                <w:rFonts w:ascii="Arial" w:cs="Arial" w:eastAsia="Arial" w:hAnsi="Arial"/>
                <w:sz w:val="18"/>
                <w:szCs w:val="18"/>
                <w:color w:val="auto"/>
              </w:rPr>
              <w:t>Cover Page Interactive Data File (formatted as inline</w:t>
            </w:r>
          </w:p>
        </w:tc>
        <w:tc>
          <w:tcPr>
            <w:tcW w:w="376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80" w:type="dxa"/>
            <w:vAlign w:val="bottom"/>
            <w:gridSpan w:val="16"/>
          </w:tcPr>
          <w:p>
            <w:pPr>
              <w:spacing w:after="0"/>
              <w:rPr>
                <w:sz w:val="20"/>
                <w:szCs w:val="20"/>
                <w:color w:val="auto"/>
              </w:rPr>
            </w:pPr>
            <w:r>
              <w:rPr>
                <w:rFonts w:ascii="Arial" w:cs="Arial" w:eastAsia="Arial" w:hAnsi="Arial"/>
                <w:sz w:val="18"/>
                <w:szCs w:val="18"/>
                <w:color w:val="auto"/>
              </w:rPr>
              <w:t>XBRL and contained in Exhibit 101).</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7"/>
          </w:tcPr>
          <w:p>
            <w:pPr>
              <w:jc w:val="right"/>
              <w:ind w:right="37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April 24, 2025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April 24, 2025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April 24,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April 24,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March 31, 2025,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April 24,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April 24,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5"/>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48" Type="http://schemas.openxmlformats.org/officeDocument/2006/relationships/hyperlink" Target="https://www.sec.gov/Archives/edgar/data/0000866829/000095012906002103/h33539exv3w1.htm" TargetMode="External"/><Relationship Id="rId49" Type="http://schemas.openxmlformats.org/officeDocument/2006/relationships/hyperlink" Target="https://www.sec.gov/Archives/edgar/data/866829/000095012906008744/h39963exv3w1.htm" TargetMode="External"/><Relationship Id="rId50" Type="http://schemas.openxmlformats.org/officeDocument/2006/relationships/hyperlink" Target="https://www.sec.gov/Archives/edgar/data/866829/000086682925000003/hlx-2025022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2025-04-24T15:38:27Z</dcterms:created>
  <dcterms:modified xsi:type="dcterms:W3CDTF">2025-04-24T15:38:27Z</dcterms:modified>
</cp:coreProperties>
</file>